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70" w:rsidRDefault="00315370" w:rsidP="0031537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北京市住房和城乡建设委员会</w:t>
      </w:r>
    </w:p>
    <w:p w:rsidR="00696D4B" w:rsidRPr="00793C04" w:rsidRDefault="001C420B" w:rsidP="0031537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793C04">
        <w:rPr>
          <w:rFonts w:ascii="方正小标宋简体" w:eastAsia="方正小标宋简体" w:hint="eastAsia"/>
          <w:sz w:val="44"/>
          <w:szCs w:val="44"/>
        </w:rPr>
        <w:t>2021年度</w:t>
      </w:r>
      <w:r w:rsidR="00D156A9">
        <w:rPr>
          <w:rFonts w:ascii="方正小标宋简体" w:eastAsia="方正小标宋简体" w:hint="eastAsia"/>
          <w:sz w:val="44"/>
          <w:szCs w:val="44"/>
        </w:rPr>
        <w:t>执法检查计划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536"/>
        <w:gridCol w:w="1701"/>
        <w:gridCol w:w="2551"/>
        <w:gridCol w:w="2323"/>
        <w:gridCol w:w="1930"/>
      </w:tblGrid>
      <w:tr w:rsidR="00696D4B" w:rsidRPr="00793C04" w:rsidTr="00793C04">
        <w:trPr>
          <w:jc w:val="center"/>
        </w:trPr>
        <w:tc>
          <w:tcPr>
            <w:tcW w:w="959" w:type="dxa"/>
            <w:shd w:val="clear" w:color="auto" w:fill="auto"/>
          </w:tcPr>
          <w:p w:rsidR="00696D4B" w:rsidRPr="00793C04" w:rsidRDefault="00696D4B" w:rsidP="00793C0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3C04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4536" w:type="dxa"/>
            <w:shd w:val="clear" w:color="auto" w:fill="auto"/>
          </w:tcPr>
          <w:p w:rsidR="00696D4B" w:rsidRPr="00793C04" w:rsidRDefault="00696D4B" w:rsidP="00793C0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3C04">
              <w:rPr>
                <w:rFonts w:ascii="黑体" w:eastAsia="黑体" w:hAnsi="黑体" w:hint="eastAsia"/>
                <w:sz w:val="32"/>
                <w:szCs w:val="32"/>
              </w:rPr>
              <w:t>检查事项</w:t>
            </w:r>
          </w:p>
        </w:tc>
        <w:tc>
          <w:tcPr>
            <w:tcW w:w="1701" w:type="dxa"/>
            <w:shd w:val="clear" w:color="auto" w:fill="auto"/>
          </w:tcPr>
          <w:p w:rsidR="00696D4B" w:rsidRPr="00793C04" w:rsidRDefault="00696D4B" w:rsidP="00793C0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3C04">
              <w:rPr>
                <w:rFonts w:ascii="黑体" w:eastAsia="黑体" w:hAnsi="黑体" w:hint="eastAsia"/>
                <w:sz w:val="32"/>
                <w:szCs w:val="32"/>
              </w:rPr>
              <w:t>检查方式</w:t>
            </w:r>
          </w:p>
        </w:tc>
        <w:tc>
          <w:tcPr>
            <w:tcW w:w="2551" w:type="dxa"/>
            <w:shd w:val="clear" w:color="auto" w:fill="auto"/>
          </w:tcPr>
          <w:p w:rsidR="00696D4B" w:rsidRPr="00793C04" w:rsidRDefault="00696D4B" w:rsidP="00793C0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3C04">
              <w:rPr>
                <w:rFonts w:ascii="黑体" w:eastAsia="黑体" w:hAnsi="黑体" w:hint="eastAsia"/>
                <w:sz w:val="32"/>
                <w:szCs w:val="32"/>
              </w:rPr>
              <w:t>管理对象基数</w:t>
            </w:r>
          </w:p>
        </w:tc>
        <w:tc>
          <w:tcPr>
            <w:tcW w:w="2323" w:type="dxa"/>
            <w:shd w:val="clear" w:color="auto" w:fill="auto"/>
          </w:tcPr>
          <w:p w:rsidR="00696D4B" w:rsidRPr="00793C04" w:rsidRDefault="00696D4B" w:rsidP="00793C0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3C04">
              <w:rPr>
                <w:rFonts w:ascii="黑体" w:eastAsia="黑体" w:hAnsi="黑体" w:hint="eastAsia"/>
                <w:sz w:val="32"/>
                <w:szCs w:val="32"/>
              </w:rPr>
              <w:t>检查比例</w:t>
            </w:r>
          </w:p>
        </w:tc>
        <w:tc>
          <w:tcPr>
            <w:tcW w:w="1930" w:type="dxa"/>
            <w:shd w:val="clear" w:color="auto" w:fill="auto"/>
          </w:tcPr>
          <w:p w:rsidR="00696D4B" w:rsidRPr="00793C04" w:rsidRDefault="00696D4B" w:rsidP="00793C0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3C04">
              <w:rPr>
                <w:rFonts w:ascii="黑体" w:eastAsia="黑体" w:hAnsi="黑体" w:hint="eastAsia"/>
                <w:sz w:val="32"/>
                <w:szCs w:val="32"/>
              </w:rPr>
              <w:t>检查主体</w:t>
            </w:r>
          </w:p>
        </w:tc>
      </w:tr>
      <w:tr w:rsidR="00B92926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B92926" w:rsidRPr="00793C04" w:rsidRDefault="00B92926" w:rsidP="00793C04">
            <w:pPr>
              <w:jc w:val="center"/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92926" w:rsidRPr="00793C04" w:rsidRDefault="00A77E50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对在施工程施工许可情况的日常检查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2926" w:rsidRPr="00793C04" w:rsidRDefault="00B92926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92926" w:rsidRPr="00793C04" w:rsidRDefault="00A77E50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核发施工许可证工程项目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2926" w:rsidRPr="00793C04" w:rsidRDefault="00B92926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核发施工许可证的5%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B92926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1C420B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C420B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对普通地下室使用登记备案的检查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专项检查/其他方式检查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本市行政区域内平时使用的普通地下室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</w:p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≥0.1%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1C420B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C420B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对普通地下室安全使用的监督检查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双随机抽查/专项检查/其他方式检查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本市行政区域内平时使用的普通地下室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≥0.1%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1C420B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C420B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对房屋安全鉴定机构从事房屋建筑安全评估、安全鉴定活动进行备案及变更备案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双随机抽查/其他方式检查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当期备案鉴定机构数量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≥10%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1C420B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C420B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对房屋安全鉴定机构的市场行为进行监督检查</w:t>
            </w:r>
          </w:p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双随机抽查/其他方式检查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投诉举报等事项的数量</w:t>
            </w:r>
          </w:p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当期备案鉴定机构数量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≥10%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1C420B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C420B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C420B" w:rsidRPr="00793C04" w:rsidRDefault="00312573" w:rsidP="00793C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对超限高层建筑工程抗震设防的检查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420B" w:rsidRPr="00793C04" w:rsidRDefault="00312573" w:rsidP="00793C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双随机检查/</w:t>
            </w:r>
            <w:r w:rsidR="001C420B" w:rsidRPr="00793C04">
              <w:rPr>
                <w:rFonts w:ascii="仿宋_GB2312" w:eastAsia="仿宋_GB2312" w:hint="eastAsia"/>
                <w:szCs w:val="21"/>
              </w:rPr>
              <w:t>网络检查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具备承担超限高层建筑工程的勘察、设计单位。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100%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1C420B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C420B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新建商品房预售秩序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日常巡检（含书面检查）/双随机抽查/综合或专项检查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200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80%以上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1C420B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C420B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房地产估价机构经营秩序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日常巡检（含书面检查）/双随机抽查/综合或专</w:t>
            </w:r>
            <w:r w:rsidRPr="00793C04">
              <w:rPr>
                <w:rFonts w:ascii="仿宋_GB2312" w:eastAsia="仿宋_GB2312" w:hint="eastAsia"/>
                <w:szCs w:val="21"/>
              </w:rPr>
              <w:lastRenderedPageBreak/>
              <w:t>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420B" w:rsidRPr="00793C04" w:rsidRDefault="00E25995" w:rsidP="00793C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14</w:t>
            </w:r>
            <w:r w:rsidR="001C420B" w:rsidRPr="00793C0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80%以上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1C420B" w:rsidRPr="00793C04" w:rsidRDefault="001C420B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房地产经纪机构及分支机构备案情况的检查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现场检查、网络检查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2889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3%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AF3D7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房地产经纪机构（分支机构）经营秩序的检查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现场检查、网络检查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2889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3%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AF3D7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对建筑节能与建材使用管理的专项检查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处于结构施工1/2后至装修施工阶段的在施房屋建筑工程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3%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对预拌混凝土原材料、资质和绿色生产管理情况的专项检查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131个站点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23%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新型墙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体材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料专项基金和散装水泥专项资金项目的专项抽查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截止“135号文”实施日未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申请返退且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未竣工验收备案的项目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7%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对建筑业企业资质许可条件的检查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市住建委受理的市属集团公司及其所属公司、国资委监管的企业及其下属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层级企业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5%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对建筑业企业资质许可条件的检查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建筑业企业2020年动态监管平台积分达到20分,或发生较大生产安全事故、被投诉举报、农民工工资支付不良信用等存在违法违规行为的企业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100%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对工程监理企业资质许可条件的检查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截至2020年底有效期内的工程监理企业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5%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对工程监理企业资质许可条件的检查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发生较大生产安全事故、</w:t>
            </w:r>
            <w:r w:rsidRPr="00793C04">
              <w:rPr>
                <w:rFonts w:ascii="仿宋_GB2312" w:eastAsia="仿宋_GB2312" w:hint="eastAsia"/>
                <w:szCs w:val="21"/>
              </w:rPr>
              <w:lastRenderedPageBreak/>
              <w:t>被投诉举报等存在违法违规行为的工程监理企业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lastRenderedPageBreak/>
              <w:t>100%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</w:t>
            </w:r>
            <w:r w:rsidRPr="00B552CE">
              <w:rPr>
                <w:rFonts w:ascii="仿宋_GB2312" w:eastAsia="仿宋_GB2312" w:hint="eastAsia"/>
                <w:szCs w:val="21"/>
              </w:rPr>
              <w:lastRenderedPageBreak/>
              <w:t>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安全生产条件检查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现场检查（抽查企业或者施工现场）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发生事故、扬尘、火灾等安全管理薄弱的单位（每年大约50-150家）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不低于50%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对公共租赁住房（廉租住房）使用进行监督检查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公共租赁住房（廉租住房）入驻项目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≥1%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招标人自行招标条件备案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122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30%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资格预审文件的检查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1568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招标文件备案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2066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招投标情况书面报告备案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1708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对建筑市场行为（包括分包、违法发包、转包、违法分包及挂靠等）进行监督检查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市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发施工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许可手续的在施建设项目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≥20%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对人员（包括项目经理、注册建造师、注册监理工程师）履职和执业情况进行监督检查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市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发施工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许可手续的在施建设项目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≥20%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对商品房销售情况检查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在售商品房项目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≥20%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房屋租赁市场及中介机构（含估价）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2582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≥10%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物业管理及房屋安全专项执法检查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“12345”市民热线物业管理诉求量排名前100名小区（动态更新）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≥20%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29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对住宅项目建筑市场情况的检查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有施工许可手续的在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施住宅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建设项目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≥10%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对重点工程、重大活动服务保障的检查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在施的重点工程项目、重大活动区域内物业项目及房地产经纪机构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≥10%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对大型公共建筑室内温控的检查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1680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≥2%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外省市建筑企业来京施工备案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市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发施工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许可证(施工意见函)的在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施项目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总数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30%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对本市建设工程施工现场人员进行实名制备案情况的检查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市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发施工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许可证(施工意见函)的在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施项目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总数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30%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对建筑劳务企业施工队长岗位资格情况进行检查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市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发施工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许可证(施工意见函)的在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施项目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总数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30%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对劳务分包合同的检查（合同订立情况、价款结算支付情况、履约数据在合同履约平台报送情况等内容）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市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发施工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许可证(施工意见函)的在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施项目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总数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30%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对普法维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权培训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落实情况的检查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市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发施工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许可证(施工意见函)的在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施项目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总数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30%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对劳务管理体系建立及管理例会资料情况的检查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市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发施工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许可证(施工意见函)的在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施项目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总数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30%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二级建造师执业资格注册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17412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建筑施工企业主要负责人、项目负责人和专职安全生产管理人员安全生产考核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66351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建筑施工特种作业人员考核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11311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41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对本市房屋、市政重点工程和轨道交通工程质量实施监督检查。对轨道交通工程实施安全检查。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双随机检查、专项检查和其他方式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房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建重点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工程：经统计，目前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在施房建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工程共计50项（动态变化）、涉及13家建设单位（动态变化）、11家施工企业（动态变化）、10家监理企业（动态变化），专业分包单位项目数随工程进度变化较大，无有效统计口径，无准确数字；</w:t>
            </w:r>
          </w:p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市政重点工程：经统计，目前在施市政工程共计69项（动态变化）、涉及7家建设单位（动态变化）、27家施工企业（动态变化）、25家监理企业（动态变化），专业分包单位项目数随工程进度变化较大，无有效统计口径，无准确数字；</w:t>
            </w:r>
          </w:p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轨道交通工程：经统计，目前在监轨道交通建设工程共计110个标段，建设单位2家，施工总承包单位36家，监理单位16家，分包单位数量动态变化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100%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B552CE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42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对本市房屋、市政工程实施安全质量、施工扬尘、机电（消防）抽查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双随机抽查、专项检查和其他方式检查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根据北京市工程质量风险分级管控平台统计，目前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在施房建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工程共计3000余项左右（动态变化）、涉及1500余家建设开发企业左右（动态变化）、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632余家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施工企业左右（动态变化）、</w:t>
            </w:r>
            <w:proofErr w:type="gramStart"/>
            <w:r w:rsidRPr="00793C04">
              <w:rPr>
                <w:rFonts w:ascii="仿宋_GB2312" w:eastAsia="仿宋_GB2312" w:hint="eastAsia"/>
                <w:szCs w:val="21"/>
              </w:rPr>
              <w:t>232余家</w:t>
            </w:r>
            <w:proofErr w:type="gramEnd"/>
            <w:r w:rsidRPr="00793C04">
              <w:rPr>
                <w:rFonts w:ascii="仿宋_GB2312" w:eastAsia="仿宋_GB2312" w:hint="eastAsia"/>
                <w:szCs w:val="21"/>
              </w:rPr>
              <w:t>监理企业左右（动态变化），专业分包单位项目数随工程进度变化较大，无有效统计口径，无准确数字。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5%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DB52BD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对本市“三类企业”进行质量检查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双随机抽查、专项检查和其他方式检查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工程质量检测机构：80家</w:t>
            </w:r>
          </w:p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预拌混凝土生产企业：129家</w:t>
            </w:r>
          </w:p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混凝土预制构件生产企业：16家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100%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DB52BD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对建筑市场主体计价活动进行监督检查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电子招标系统中在招项目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DB52BD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45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对外省市工程造价咨询企业在京承接业务备案情况的检查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办理备案的事项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100%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DB52BD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未按规定办理备案的工程造价咨询企业（经举报投诉或其他形式发现）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100%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Default="00793C04">
            <w:r w:rsidRPr="00DB52BD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46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对工程造价咨询企业资质许可条件的核查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工程造价咨询单位（截至2020年底有效期内）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5%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未上报2020年统计报表及存在违法违规行为的工程造价咨询企业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100%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对抗震节能农宅建设任务抽查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2019-2020年纳入抗震节能农宅建设任务的已验收农宅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≥0.1%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Pr="00793C04" w:rsidRDefault="00964DB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房地产开发企业资质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双随机抽查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108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10%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Pr="00793C04" w:rsidRDefault="00964DB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对建筑业企业资质申报中技术负责人业绩、身份证、简历等涉嫌造假的企业开展约谈核查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其他方式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动态调整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≥0.1%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Pr="00793C04" w:rsidRDefault="00964DB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全市工程监理专项监督检查（上下半年各一次）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我市资质有效期内市属工程监理企业共计349家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抽查20家左右监理单位监理的工程项目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Pr="00793C04" w:rsidRDefault="00964DB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预拌混凝土驻厂监理工作监督检查（上下半年各一次）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全市已累计进驻99个预拌混凝土搅拌站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抽查20个驻厂监理站点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Pr="00793C04" w:rsidRDefault="00964DB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  <w:tr w:rsidR="00793C04" w:rsidRPr="00793C04" w:rsidTr="00154AC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93C04" w:rsidRPr="00793C04" w:rsidRDefault="00793C04" w:rsidP="00793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计划竣工住宅工程跟踪督导检查（上下半年各一次）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专项检查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全市在监住宅工程1900余项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93C04" w:rsidRPr="00793C04" w:rsidRDefault="00793C0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抽查计划竣工住宅工程20项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3C04" w:rsidRPr="00793C04" w:rsidRDefault="00964DB4" w:rsidP="00793C04">
            <w:pPr>
              <w:rPr>
                <w:rFonts w:ascii="仿宋_GB2312" w:eastAsia="仿宋_GB2312"/>
                <w:szCs w:val="21"/>
              </w:rPr>
            </w:pPr>
            <w:r w:rsidRPr="00793C04">
              <w:rPr>
                <w:rFonts w:ascii="仿宋_GB2312" w:eastAsia="仿宋_GB2312" w:hint="eastAsia"/>
                <w:szCs w:val="21"/>
              </w:rPr>
              <w:t>北京市住房和城乡建设委员会</w:t>
            </w:r>
          </w:p>
        </w:tc>
      </w:tr>
    </w:tbl>
    <w:p w:rsidR="009E3C51" w:rsidRPr="00793C04" w:rsidRDefault="009E3C51" w:rsidP="00793C04">
      <w:pPr>
        <w:rPr>
          <w:rFonts w:ascii="仿宋_GB2312" w:eastAsia="仿宋_GB2312"/>
          <w:szCs w:val="21"/>
        </w:rPr>
      </w:pPr>
    </w:p>
    <w:sectPr w:rsidR="009E3C51" w:rsidRPr="00793C04" w:rsidSect="00696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1B" w:rsidRDefault="005D001B" w:rsidP="00D5362E">
      <w:r>
        <w:separator/>
      </w:r>
    </w:p>
  </w:endnote>
  <w:endnote w:type="continuationSeparator" w:id="0">
    <w:p w:rsidR="005D001B" w:rsidRDefault="005D001B" w:rsidP="00D5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C0" w:rsidRDefault="00EF58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C0" w:rsidRDefault="00EF58C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C0" w:rsidRDefault="00EF58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1B" w:rsidRDefault="005D001B" w:rsidP="00D5362E">
      <w:r>
        <w:separator/>
      </w:r>
    </w:p>
  </w:footnote>
  <w:footnote w:type="continuationSeparator" w:id="0">
    <w:p w:rsidR="005D001B" w:rsidRDefault="005D001B" w:rsidP="00D53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C0" w:rsidRDefault="00EF58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62E" w:rsidRDefault="00D5362E" w:rsidP="00EF58C0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C0" w:rsidRDefault="00EF58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02114"/>
    <w:multiLevelType w:val="hybridMultilevel"/>
    <w:tmpl w:val="5E24EE08"/>
    <w:lvl w:ilvl="0" w:tplc="9E22F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FE"/>
    <w:rsid w:val="000054FB"/>
    <w:rsid w:val="00012471"/>
    <w:rsid w:val="00012B7B"/>
    <w:rsid w:val="0001428C"/>
    <w:rsid w:val="00083B05"/>
    <w:rsid w:val="0008717D"/>
    <w:rsid w:val="00091BCB"/>
    <w:rsid w:val="0009413B"/>
    <w:rsid w:val="000A438C"/>
    <w:rsid w:val="000B7CE3"/>
    <w:rsid w:val="000C2477"/>
    <w:rsid w:val="000E2AB1"/>
    <w:rsid w:val="000E43AE"/>
    <w:rsid w:val="000E4737"/>
    <w:rsid w:val="000F19FE"/>
    <w:rsid w:val="000F78DD"/>
    <w:rsid w:val="001259F5"/>
    <w:rsid w:val="0013651C"/>
    <w:rsid w:val="0014327B"/>
    <w:rsid w:val="0014535C"/>
    <w:rsid w:val="00150485"/>
    <w:rsid w:val="00154AC4"/>
    <w:rsid w:val="00163B06"/>
    <w:rsid w:val="00191E99"/>
    <w:rsid w:val="001C1A01"/>
    <w:rsid w:val="001C420B"/>
    <w:rsid w:val="001C601F"/>
    <w:rsid w:val="001E17AC"/>
    <w:rsid w:val="001E6AF0"/>
    <w:rsid w:val="001F156F"/>
    <w:rsid w:val="001F3A6D"/>
    <w:rsid w:val="001F5F92"/>
    <w:rsid w:val="00255DC9"/>
    <w:rsid w:val="0026343E"/>
    <w:rsid w:val="002636FB"/>
    <w:rsid w:val="002C4131"/>
    <w:rsid w:val="002E4E4D"/>
    <w:rsid w:val="002F0E73"/>
    <w:rsid w:val="00303705"/>
    <w:rsid w:val="00303937"/>
    <w:rsid w:val="00312573"/>
    <w:rsid w:val="00315370"/>
    <w:rsid w:val="00316B9F"/>
    <w:rsid w:val="003319C8"/>
    <w:rsid w:val="00357942"/>
    <w:rsid w:val="003648A3"/>
    <w:rsid w:val="00374899"/>
    <w:rsid w:val="00376022"/>
    <w:rsid w:val="0038300B"/>
    <w:rsid w:val="0038529C"/>
    <w:rsid w:val="003A13B7"/>
    <w:rsid w:val="003A5708"/>
    <w:rsid w:val="003D15AF"/>
    <w:rsid w:val="003D3CF7"/>
    <w:rsid w:val="003D6285"/>
    <w:rsid w:val="003E2851"/>
    <w:rsid w:val="003F7251"/>
    <w:rsid w:val="004422AB"/>
    <w:rsid w:val="004454D2"/>
    <w:rsid w:val="00463315"/>
    <w:rsid w:val="00467E0E"/>
    <w:rsid w:val="004C68AB"/>
    <w:rsid w:val="004C7530"/>
    <w:rsid w:val="004F20B6"/>
    <w:rsid w:val="004F4B31"/>
    <w:rsid w:val="00503155"/>
    <w:rsid w:val="00512438"/>
    <w:rsid w:val="00520563"/>
    <w:rsid w:val="00523861"/>
    <w:rsid w:val="00525155"/>
    <w:rsid w:val="005534C1"/>
    <w:rsid w:val="0057544B"/>
    <w:rsid w:val="005958B0"/>
    <w:rsid w:val="005C0BCF"/>
    <w:rsid w:val="005D001B"/>
    <w:rsid w:val="005F4AF6"/>
    <w:rsid w:val="00616ECF"/>
    <w:rsid w:val="00620A08"/>
    <w:rsid w:val="00622E70"/>
    <w:rsid w:val="006752DF"/>
    <w:rsid w:val="00696D4B"/>
    <w:rsid w:val="006D4B14"/>
    <w:rsid w:val="006D6E8A"/>
    <w:rsid w:val="006F137E"/>
    <w:rsid w:val="0073126F"/>
    <w:rsid w:val="00737137"/>
    <w:rsid w:val="00744714"/>
    <w:rsid w:val="0075795D"/>
    <w:rsid w:val="00793C04"/>
    <w:rsid w:val="007A654C"/>
    <w:rsid w:val="007B76A8"/>
    <w:rsid w:val="007E21AB"/>
    <w:rsid w:val="007F5A73"/>
    <w:rsid w:val="00807AD1"/>
    <w:rsid w:val="00817FC3"/>
    <w:rsid w:val="00825092"/>
    <w:rsid w:val="00843996"/>
    <w:rsid w:val="008C283D"/>
    <w:rsid w:val="008D1B70"/>
    <w:rsid w:val="008E0328"/>
    <w:rsid w:val="008F4829"/>
    <w:rsid w:val="009248C9"/>
    <w:rsid w:val="00932D6B"/>
    <w:rsid w:val="00961893"/>
    <w:rsid w:val="00962B68"/>
    <w:rsid w:val="00964DB4"/>
    <w:rsid w:val="00990C7C"/>
    <w:rsid w:val="00991B9C"/>
    <w:rsid w:val="00996A4B"/>
    <w:rsid w:val="009B3C50"/>
    <w:rsid w:val="009B7497"/>
    <w:rsid w:val="009D37C8"/>
    <w:rsid w:val="009D510C"/>
    <w:rsid w:val="009D64E4"/>
    <w:rsid w:val="009E3C51"/>
    <w:rsid w:val="009F417F"/>
    <w:rsid w:val="00A14D8A"/>
    <w:rsid w:val="00A24559"/>
    <w:rsid w:val="00A32562"/>
    <w:rsid w:val="00A54986"/>
    <w:rsid w:val="00A566AD"/>
    <w:rsid w:val="00A63B30"/>
    <w:rsid w:val="00A73442"/>
    <w:rsid w:val="00A77E50"/>
    <w:rsid w:val="00A81137"/>
    <w:rsid w:val="00A868A2"/>
    <w:rsid w:val="00AA12AE"/>
    <w:rsid w:val="00AB2001"/>
    <w:rsid w:val="00AB76DA"/>
    <w:rsid w:val="00AC6C2F"/>
    <w:rsid w:val="00AE3DA0"/>
    <w:rsid w:val="00AE693B"/>
    <w:rsid w:val="00AF6401"/>
    <w:rsid w:val="00B0234F"/>
    <w:rsid w:val="00B1533F"/>
    <w:rsid w:val="00B17E01"/>
    <w:rsid w:val="00B50D03"/>
    <w:rsid w:val="00B574D8"/>
    <w:rsid w:val="00B836A9"/>
    <w:rsid w:val="00B92926"/>
    <w:rsid w:val="00B94E54"/>
    <w:rsid w:val="00BB2ACD"/>
    <w:rsid w:val="00BB3799"/>
    <w:rsid w:val="00BD6D9C"/>
    <w:rsid w:val="00BF0556"/>
    <w:rsid w:val="00BF4636"/>
    <w:rsid w:val="00C03AF9"/>
    <w:rsid w:val="00C113C7"/>
    <w:rsid w:val="00C140FA"/>
    <w:rsid w:val="00C1638F"/>
    <w:rsid w:val="00C20190"/>
    <w:rsid w:val="00C23DF0"/>
    <w:rsid w:val="00C44E1E"/>
    <w:rsid w:val="00C64294"/>
    <w:rsid w:val="00C84772"/>
    <w:rsid w:val="00C9074D"/>
    <w:rsid w:val="00CB0054"/>
    <w:rsid w:val="00CB416F"/>
    <w:rsid w:val="00CD376C"/>
    <w:rsid w:val="00CD5C3E"/>
    <w:rsid w:val="00CD6C19"/>
    <w:rsid w:val="00CD7C0D"/>
    <w:rsid w:val="00D01945"/>
    <w:rsid w:val="00D0230A"/>
    <w:rsid w:val="00D04CFC"/>
    <w:rsid w:val="00D07571"/>
    <w:rsid w:val="00D156A9"/>
    <w:rsid w:val="00D25C61"/>
    <w:rsid w:val="00D25D98"/>
    <w:rsid w:val="00D35514"/>
    <w:rsid w:val="00D47C9B"/>
    <w:rsid w:val="00D5362E"/>
    <w:rsid w:val="00D669D1"/>
    <w:rsid w:val="00D7076D"/>
    <w:rsid w:val="00D90BA2"/>
    <w:rsid w:val="00D91A35"/>
    <w:rsid w:val="00D96FD2"/>
    <w:rsid w:val="00DB6E18"/>
    <w:rsid w:val="00DD5DC9"/>
    <w:rsid w:val="00DE338A"/>
    <w:rsid w:val="00DF327C"/>
    <w:rsid w:val="00E07B7A"/>
    <w:rsid w:val="00E25995"/>
    <w:rsid w:val="00E578EE"/>
    <w:rsid w:val="00E74A6A"/>
    <w:rsid w:val="00E80230"/>
    <w:rsid w:val="00EA5F49"/>
    <w:rsid w:val="00EB2F08"/>
    <w:rsid w:val="00EE5D11"/>
    <w:rsid w:val="00EF58C0"/>
    <w:rsid w:val="00EF7FC6"/>
    <w:rsid w:val="00F16FDD"/>
    <w:rsid w:val="00F64243"/>
    <w:rsid w:val="00F70DB3"/>
    <w:rsid w:val="00F87237"/>
    <w:rsid w:val="00F90D3A"/>
    <w:rsid w:val="00F967F2"/>
    <w:rsid w:val="00FB0373"/>
    <w:rsid w:val="00FB3D22"/>
    <w:rsid w:val="00FB68CD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4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C1A01"/>
    <w:pPr>
      <w:keepNext/>
      <w:keepLines/>
      <w:spacing w:beforeLines="50" w:afterLines="50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1C1A01"/>
    <w:pPr>
      <w:keepNext/>
      <w:keepLines/>
      <w:spacing w:beforeLines="50" w:afterLines="50"/>
      <w:ind w:firstLineChars="200" w:firstLine="200"/>
      <w:outlineLvl w:val="1"/>
    </w:pPr>
    <w:rPr>
      <w:rFonts w:ascii="Cambria" w:eastAsia="楷体" w:hAnsi="Cambria"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1C1A01"/>
    <w:pPr>
      <w:keepNext/>
      <w:keepLines/>
      <w:spacing w:beforeLines="50" w:afterLines="50"/>
      <w:ind w:firstLineChars="200" w:firstLine="200"/>
      <w:outlineLvl w:val="2"/>
    </w:pPr>
    <w:rPr>
      <w:rFonts w:ascii="Times New Roman" w:eastAsia="仿宋_GB2312" w:hAnsi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1C1A01"/>
    <w:rPr>
      <w:rFonts w:ascii="Calibri" w:eastAsia="黑体" w:hAnsi="Calibri"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rsid w:val="001C1A01"/>
    <w:rPr>
      <w:rFonts w:ascii="Cambria" w:eastAsia="楷体" w:hAnsi="Cambria"/>
      <w:bCs/>
      <w:sz w:val="32"/>
      <w:szCs w:val="32"/>
    </w:rPr>
  </w:style>
  <w:style w:type="character" w:customStyle="1" w:styleId="3Char">
    <w:name w:val="标题 3 Char"/>
    <w:link w:val="3"/>
    <w:uiPriority w:val="9"/>
    <w:rsid w:val="001C1A01"/>
    <w:rPr>
      <w:rFonts w:eastAsia="仿宋_GB2312"/>
      <w:bCs/>
      <w:sz w:val="32"/>
      <w:szCs w:val="32"/>
    </w:rPr>
  </w:style>
  <w:style w:type="paragraph" w:styleId="a3">
    <w:name w:val="Title"/>
    <w:basedOn w:val="a"/>
    <w:next w:val="a"/>
    <w:link w:val="Char"/>
    <w:uiPriority w:val="99"/>
    <w:qFormat/>
    <w:rsid w:val="001C1A0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uiPriority w:val="99"/>
    <w:qFormat/>
    <w:rsid w:val="001C1A01"/>
    <w:rPr>
      <w:rFonts w:ascii="Cambria" w:hAnsi="Cambria"/>
      <w:b/>
      <w:bCs/>
      <w:kern w:val="2"/>
      <w:sz w:val="32"/>
      <w:szCs w:val="32"/>
    </w:rPr>
  </w:style>
  <w:style w:type="character" w:styleId="a4">
    <w:name w:val="Emphasis"/>
    <w:qFormat/>
    <w:rsid w:val="001C1A01"/>
    <w:rPr>
      <w:i/>
      <w:iCs/>
    </w:rPr>
  </w:style>
  <w:style w:type="paragraph" w:styleId="a5">
    <w:name w:val="List Paragraph"/>
    <w:basedOn w:val="a"/>
    <w:uiPriority w:val="34"/>
    <w:qFormat/>
    <w:rsid w:val="001C1A01"/>
    <w:pPr>
      <w:ind w:firstLineChars="200" w:firstLine="420"/>
    </w:pPr>
    <w:rPr>
      <w:szCs w:val="20"/>
    </w:rPr>
  </w:style>
  <w:style w:type="paragraph" w:customStyle="1" w:styleId="Char1CharCharCharCharCharCharCharCharChar">
    <w:name w:val="Char1 Char Char Char Char Char Char Char Char Char"/>
    <w:basedOn w:val="a"/>
    <w:rsid w:val="00696D4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header"/>
    <w:basedOn w:val="a"/>
    <w:link w:val="Char0"/>
    <w:uiPriority w:val="99"/>
    <w:semiHidden/>
    <w:unhideWhenUsed/>
    <w:rsid w:val="00D53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5362E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53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5362E"/>
    <w:rPr>
      <w:rFonts w:ascii="Calibri" w:hAnsi="Calibri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AF6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F6401"/>
    <w:rPr>
      <w:rFonts w:ascii="宋体" w:hAnsi="宋体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E2599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2599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4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C1A01"/>
    <w:pPr>
      <w:keepNext/>
      <w:keepLines/>
      <w:spacing w:beforeLines="50" w:afterLines="50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1C1A01"/>
    <w:pPr>
      <w:keepNext/>
      <w:keepLines/>
      <w:spacing w:beforeLines="50" w:afterLines="50"/>
      <w:ind w:firstLineChars="200" w:firstLine="200"/>
      <w:outlineLvl w:val="1"/>
    </w:pPr>
    <w:rPr>
      <w:rFonts w:ascii="Cambria" w:eastAsia="楷体" w:hAnsi="Cambria"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1C1A01"/>
    <w:pPr>
      <w:keepNext/>
      <w:keepLines/>
      <w:spacing w:beforeLines="50" w:afterLines="50"/>
      <w:ind w:firstLineChars="200" w:firstLine="200"/>
      <w:outlineLvl w:val="2"/>
    </w:pPr>
    <w:rPr>
      <w:rFonts w:ascii="Times New Roman" w:eastAsia="仿宋_GB2312" w:hAnsi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1C1A01"/>
    <w:rPr>
      <w:rFonts w:ascii="Calibri" w:eastAsia="黑体" w:hAnsi="Calibri"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rsid w:val="001C1A01"/>
    <w:rPr>
      <w:rFonts w:ascii="Cambria" w:eastAsia="楷体" w:hAnsi="Cambria"/>
      <w:bCs/>
      <w:sz w:val="32"/>
      <w:szCs w:val="32"/>
    </w:rPr>
  </w:style>
  <w:style w:type="character" w:customStyle="1" w:styleId="3Char">
    <w:name w:val="标题 3 Char"/>
    <w:link w:val="3"/>
    <w:uiPriority w:val="9"/>
    <w:rsid w:val="001C1A01"/>
    <w:rPr>
      <w:rFonts w:eastAsia="仿宋_GB2312"/>
      <w:bCs/>
      <w:sz w:val="32"/>
      <w:szCs w:val="32"/>
    </w:rPr>
  </w:style>
  <w:style w:type="paragraph" w:styleId="a3">
    <w:name w:val="Title"/>
    <w:basedOn w:val="a"/>
    <w:next w:val="a"/>
    <w:link w:val="Char"/>
    <w:uiPriority w:val="99"/>
    <w:qFormat/>
    <w:rsid w:val="001C1A0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uiPriority w:val="99"/>
    <w:qFormat/>
    <w:rsid w:val="001C1A01"/>
    <w:rPr>
      <w:rFonts w:ascii="Cambria" w:hAnsi="Cambria"/>
      <w:b/>
      <w:bCs/>
      <w:kern w:val="2"/>
      <w:sz w:val="32"/>
      <w:szCs w:val="32"/>
    </w:rPr>
  </w:style>
  <w:style w:type="character" w:styleId="a4">
    <w:name w:val="Emphasis"/>
    <w:qFormat/>
    <w:rsid w:val="001C1A01"/>
    <w:rPr>
      <w:i/>
      <w:iCs/>
    </w:rPr>
  </w:style>
  <w:style w:type="paragraph" w:styleId="a5">
    <w:name w:val="List Paragraph"/>
    <w:basedOn w:val="a"/>
    <w:uiPriority w:val="34"/>
    <w:qFormat/>
    <w:rsid w:val="001C1A01"/>
    <w:pPr>
      <w:ind w:firstLineChars="200" w:firstLine="420"/>
    </w:pPr>
    <w:rPr>
      <w:szCs w:val="20"/>
    </w:rPr>
  </w:style>
  <w:style w:type="paragraph" w:customStyle="1" w:styleId="Char1CharCharCharCharCharCharCharCharChar">
    <w:name w:val="Char1 Char Char Char Char Char Char Char Char Char"/>
    <w:basedOn w:val="a"/>
    <w:rsid w:val="00696D4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header"/>
    <w:basedOn w:val="a"/>
    <w:link w:val="Char0"/>
    <w:uiPriority w:val="99"/>
    <w:semiHidden/>
    <w:unhideWhenUsed/>
    <w:rsid w:val="00D53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5362E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53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5362E"/>
    <w:rPr>
      <w:rFonts w:ascii="Calibri" w:hAnsi="Calibri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AF6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F6401"/>
    <w:rPr>
      <w:rFonts w:ascii="宋体" w:hAnsi="宋体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E2599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2599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620</Words>
  <Characters>3538</Characters>
  <Application>Microsoft Office Word</Application>
  <DocSecurity>0</DocSecurity>
  <Lines>29</Lines>
  <Paragraphs>8</Paragraphs>
  <ScaleCrop>false</ScaleCrop>
  <Company>P R C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晋津</dc:creator>
  <cp:lastModifiedBy>晋津</cp:lastModifiedBy>
  <cp:revision>9</cp:revision>
  <cp:lastPrinted>2021-03-18T07:51:00Z</cp:lastPrinted>
  <dcterms:created xsi:type="dcterms:W3CDTF">2021-02-23T02:22:00Z</dcterms:created>
  <dcterms:modified xsi:type="dcterms:W3CDTF">2021-03-19T07:37:00Z</dcterms:modified>
</cp:coreProperties>
</file>