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324" w:type="dxa"/>
        <w:jc w:val="center"/>
        <w:tblLayout w:type="fixed"/>
        <w:tblCellMar>
          <w:top w:w="0" w:type="dxa"/>
          <w:left w:w="108" w:type="dxa"/>
          <w:bottom w:w="0" w:type="dxa"/>
          <w:right w:w="108" w:type="dxa"/>
        </w:tblCellMar>
      </w:tblPr>
      <w:tblGrid>
        <w:gridCol w:w="724"/>
        <w:gridCol w:w="1116"/>
        <w:gridCol w:w="475"/>
        <w:gridCol w:w="2595"/>
        <w:gridCol w:w="90"/>
        <w:gridCol w:w="1480"/>
        <w:gridCol w:w="1500"/>
        <w:gridCol w:w="1220"/>
        <w:gridCol w:w="1720"/>
        <w:gridCol w:w="4404"/>
      </w:tblGrid>
      <w:tr>
        <w:tblPrEx>
          <w:tblCellMar>
            <w:top w:w="0" w:type="dxa"/>
            <w:left w:w="108" w:type="dxa"/>
            <w:bottom w:w="0" w:type="dxa"/>
            <w:right w:w="108" w:type="dxa"/>
          </w:tblCellMar>
        </w:tblPrEx>
        <w:trPr>
          <w:trHeight w:val="555" w:hRule="atLeast"/>
          <w:jc w:val="center"/>
        </w:trPr>
        <w:tc>
          <w:tcPr>
            <w:tcW w:w="1840" w:type="dxa"/>
            <w:gridSpan w:val="2"/>
            <w:tcBorders>
              <w:top w:val="nil"/>
              <w:left w:val="nil"/>
              <w:bottom w:val="nil"/>
              <w:right w:val="nil"/>
            </w:tcBorders>
            <w:noWrap/>
            <w:vAlign w:val="center"/>
          </w:tcPr>
          <w:p>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tc>
        <w:tc>
          <w:tcPr>
            <w:tcW w:w="3160" w:type="dxa"/>
            <w:gridSpan w:val="3"/>
            <w:tcBorders>
              <w:top w:val="nil"/>
              <w:left w:val="nil"/>
              <w:bottom w:val="nil"/>
              <w:right w:val="nil"/>
            </w:tcBorders>
            <w:noWrap/>
            <w:vAlign w:val="bottom"/>
          </w:tcPr>
          <w:p>
            <w:pPr>
              <w:widowControl/>
              <w:jc w:val="center"/>
              <w:rPr>
                <w:rFonts w:ascii="宋体" w:hAnsi="宋体" w:cs="宋体"/>
                <w:color w:val="000000"/>
                <w:kern w:val="0"/>
                <w:sz w:val="22"/>
                <w:szCs w:val="22"/>
              </w:rPr>
            </w:pPr>
          </w:p>
        </w:tc>
        <w:tc>
          <w:tcPr>
            <w:tcW w:w="1480" w:type="dxa"/>
            <w:tcBorders>
              <w:top w:val="nil"/>
              <w:left w:val="nil"/>
              <w:bottom w:val="nil"/>
              <w:right w:val="nil"/>
            </w:tcBorders>
            <w:noWrap/>
            <w:vAlign w:val="bottom"/>
          </w:tcPr>
          <w:p>
            <w:pPr>
              <w:widowControl/>
              <w:jc w:val="center"/>
              <w:rPr>
                <w:rFonts w:ascii="宋体" w:hAnsi="宋体" w:cs="宋体"/>
                <w:color w:val="000000"/>
                <w:kern w:val="0"/>
                <w:sz w:val="22"/>
                <w:szCs w:val="22"/>
              </w:rPr>
            </w:pPr>
          </w:p>
        </w:tc>
        <w:tc>
          <w:tcPr>
            <w:tcW w:w="1500" w:type="dxa"/>
            <w:tcBorders>
              <w:top w:val="nil"/>
              <w:left w:val="nil"/>
              <w:bottom w:val="nil"/>
              <w:right w:val="nil"/>
            </w:tcBorders>
            <w:noWrap/>
            <w:vAlign w:val="bottom"/>
          </w:tcPr>
          <w:p>
            <w:pPr>
              <w:widowControl/>
              <w:jc w:val="center"/>
              <w:rPr>
                <w:rFonts w:ascii="宋体" w:hAnsi="宋体" w:cs="宋体"/>
                <w:color w:val="000000"/>
                <w:kern w:val="0"/>
                <w:sz w:val="22"/>
                <w:szCs w:val="22"/>
              </w:rPr>
            </w:pPr>
          </w:p>
        </w:tc>
        <w:tc>
          <w:tcPr>
            <w:tcW w:w="1220" w:type="dxa"/>
            <w:tcBorders>
              <w:top w:val="nil"/>
              <w:left w:val="nil"/>
              <w:bottom w:val="nil"/>
              <w:right w:val="nil"/>
            </w:tcBorders>
            <w:noWrap/>
            <w:vAlign w:val="bottom"/>
          </w:tcPr>
          <w:p>
            <w:pPr>
              <w:widowControl/>
              <w:jc w:val="center"/>
              <w:rPr>
                <w:rFonts w:ascii="宋体" w:hAnsi="宋体" w:cs="宋体"/>
                <w:color w:val="000000"/>
                <w:kern w:val="0"/>
                <w:sz w:val="22"/>
                <w:szCs w:val="22"/>
              </w:rPr>
            </w:pPr>
          </w:p>
        </w:tc>
        <w:tc>
          <w:tcPr>
            <w:tcW w:w="1720" w:type="dxa"/>
            <w:tcBorders>
              <w:top w:val="nil"/>
              <w:left w:val="nil"/>
              <w:bottom w:val="nil"/>
              <w:right w:val="nil"/>
            </w:tcBorders>
            <w:noWrap/>
            <w:vAlign w:val="bottom"/>
          </w:tcPr>
          <w:p>
            <w:pPr>
              <w:widowControl/>
              <w:jc w:val="center"/>
              <w:rPr>
                <w:rFonts w:ascii="宋体" w:hAnsi="宋体" w:cs="宋体"/>
                <w:color w:val="000000"/>
                <w:kern w:val="0"/>
                <w:sz w:val="22"/>
                <w:szCs w:val="22"/>
              </w:rPr>
            </w:pPr>
          </w:p>
        </w:tc>
        <w:tc>
          <w:tcPr>
            <w:tcW w:w="4404" w:type="dxa"/>
            <w:tcBorders>
              <w:top w:val="nil"/>
              <w:left w:val="nil"/>
              <w:bottom w:val="nil"/>
              <w:right w:val="nil"/>
            </w:tcBorders>
            <w:noWrap/>
            <w:vAlign w:val="bottom"/>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720" w:hRule="atLeast"/>
          <w:jc w:val="center"/>
        </w:trPr>
        <w:tc>
          <w:tcPr>
            <w:tcW w:w="15324" w:type="dxa"/>
            <w:gridSpan w:val="10"/>
            <w:tcBorders>
              <w:top w:val="nil"/>
              <w:left w:val="nil"/>
              <w:bottom w:val="single" w:color="auto" w:sz="4" w:space="0"/>
              <w:right w:val="nil"/>
            </w:tcBorders>
            <w:noWrap w:val="0"/>
            <w:vAlign w:val="center"/>
          </w:tcPr>
          <w:p>
            <w:pPr>
              <w:widowControl/>
              <w:jc w:val="center"/>
              <w:rPr>
                <w:rFonts w:ascii="方正小标宋简体" w:hAnsi="宋体" w:eastAsia="方正小标宋简体" w:cs="宋体"/>
                <w:color w:val="000000"/>
                <w:kern w:val="0"/>
                <w:sz w:val="40"/>
                <w:szCs w:val="40"/>
              </w:rPr>
            </w:pPr>
            <w:bookmarkStart w:id="0" w:name="_GoBack"/>
            <w:r>
              <w:rPr>
                <w:rFonts w:hint="eastAsia" w:ascii="方正小标宋简体" w:hAnsi="宋体" w:eastAsia="方正小标宋简体" w:cs="宋体"/>
                <w:color w:val="000000"/>
                <w:kern w:val="0"/>
                <w:sz w:val="40"/>
                <w:szCs w:val="40"/>
              </w:rPr>
              <w:t>北京市住房和建设委员会202</w:t>
            </w:r>
            <w:r>
              <w:rPr>
                <w:rFonts w:hint="eastAsia" w:ascii="方正小标宋简体" w:hAnsi="宋体" w:eastAsia="方正小标宋简体" w:cs="宋体"/>
                <w:color w:val="000000"/>
                <w:kern w:val="0"/>
                <w:sz w:val="40"/>
                <w:szCs w:val="40"/>
                <w:lang w:val="en-US" w:eastAsia="zh-CN"/>
              </w:rPr>
              <w:t>3</w:t>
            </w:r>
            <w:r>
              <w:rPr>
                <w:rFonts w:hint="eastAsia" w:ascii="方正小标宋简体" w:hAnsi="宋体" w:eastAsia="方正小标宋简体" w:cs="宋体"/>
                <w:color w:val="000000"/>
                <w:kern w:val="0"/>
                <w:sz w:val="40"/>
                <w:szCs w:val="40"/>
              </w:rPr>
              <w:t>年度“双随机、一公开”抽查事项清单</w:t>
            </w:r>
            <w:bookmarkEnd w:id="0"/>
          </w:p>
        </w:tc>
      </w:tr>
      <w:tr>
        <w:tblPrEx>
          <w:tblCellMar>
            <w:top w:w="0" w:type="dxa"/>
            <w:left w:w="108" w:type="dxa"/>
            <w:bottom w:w="0" w:type="dxa"/>
            <w:right w:w="108" w:type="dxa"/>
          </w:tblCellMar>
        </w:tblPrEx>
        <w:trPr>
          <w:trHeight w:val="510" w:hRule="atLeast"/>
          <w:jc w:val="center"/>
        </w:trPr>
        <w:tc>
          <w:tcPr>
            <w:tcW w:w="7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4186" w:type="dxa"/>
            <w:gridSpan w:val="3"/>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抽查项目</w:t>
            </w:r>
          </w:p>
        </w:tc>
        <w:tc>
          <w:tcPr>
            <w:tcW w:w="157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检查对象</w:t>
            </w:r>
          </w:p>
        </w:tc>
        <w:tc>
          <w:tcPr>
            <w:tcW w:w="15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事项类别</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检查方式</w:t>
            </w:r>
          </w:p>
        </w:tc>
        <w:tc>
          <w:tcPr>
            <w:tcW w:w="17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检查主体</w:t>
            </w:r>
          </w:p>
        </w:tc>
        <w:tc>
          <w:tcPr>
            <w:tcW w:w="440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检查依据</w:t>
            </w:r>
          </w:p>
        </w:tc>
      </w:tr>
      <w:tr>
        <w:tblPrEx>
          <w:tblCellMar>
            <w:top w:w="0" w:type="dxa"/>
            <w:left w:w="108" w:type="dxa"/>
            <w:bottom w:w="0" w:type="dxa"/>
            <w:right w:w="108" w:type="dxa"/>
          </w:tblCellMar>
        </w:tblPrEx>
        <w:trPr>
          <w:trHeight w:val="480" w:hRule="atLeast"/>
          <w:jc w:val="center"/>
        </w:trPr>
        <w:tc>
          <w:tcPr>
            <w:tcW w:w="72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p>
        </w:tc>
        <w:tc>
          <w:tcPr>
            <w:tcW w:w="1591" w:type="dxa"/>
            <w:gridSpan w:val="2"/>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抽查类别</w:t>
            </w:r>
          </w:p>
        </w:tc>
        <w:tc>
          <w:tcPr>
            <w:tcW w:w="2595"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抽查事项</w:t>
            </w:r>
          </w:p>
        </w:tc>
        <w:tc>
          <w:tcPr>
            <w:tcW w:w="1570" w:type="dxa"/>
            <w:gridSpan w:val="2"/>
            <w:vMerge w:val="continue"/>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p>
        </w:tc>
        <w:tc>
          <w:tcPr>
            <w:tcW w:w="150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p>
        </w:tc>
        <w:tc>
          <w:tcPr>
            <w:tcW w:w="122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p>
        </w:tc>
        <w:tc>
          <w:tcPr>
            <w:tcW w:w="172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p>
        </w:tc>
        <w:tc>
          <w:tcPr>
            <w:tcW w:w="440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建筑工程施工许可证检查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对建筑工程施工许可（市建委核发的施工许可证建设项目）的检查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建设单位、施工单位、监理单位</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《建筑工程施工许可管理办法》《北京市建筑工程施工许可办法》《关于加强和规范全市建筑工程施工许可审批事中事后监管的通知》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鉴定机构检查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对房屋安全鉴定机构从事房屋建筑安全评估、安全鉴定活动进行备案及变更备案</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备案房屋安全鉴定机构</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网络检查、日常巡查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市级住房城乡建设行政主管部门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《城市危险房屋管理规定》《北京市建设工程质量条例》《北京市房屋建筑使用安全管理办法》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3</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对房屋安全鉴定机构的市场行为进行监督检查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备案房屋安全鉴定机构</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网络检查、日常巡查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市级住房城乡建设行政主管部门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《城市危险房屋管理规定》《北京市建设工程质量条例》《北京市房屋建筑使用安全管理办法》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4</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普通地下室安全使用检查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对普通地下室安全使用的监督检查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单位和个人</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《北京市人民防空工程和普通地下室安全使用管理办法》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对普通地下室使用登记备案的检查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单位和个人</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《北京市人民防空工程和普通地下室安全使用管理办法》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超限高层建筑工程抗震设防审批</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对超限高层建筑工程抗震设防的检查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勘察、设计单位</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市级住房城乡建设行政主管部门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《国务院对确需保留的行政审批项目设定行政许可的决定》《建设工程抗震管理条例》《超限高层建筑工程抗震设防管理规定》</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房地产估价经营秩序</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对房地产估价机构经营秩序（注册房地产估价师）的检查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房地产估价机构</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日常巡查、专项检查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《房地产估价机构管理办法》《关于加强房地产估价机构监管有关问题的通知》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商品房销售情况</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对商品房预售许可的检查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房地产开发企业</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日常巡查、专项检查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《中华人民共和国城市房地产管理法》《城市商品房预售管理办法》《商品房销售管理办法》《北京市城市房地产转让管理办法》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建筑业企业资质许可条件检查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对建筑业企业资质许可条件（标准考核项）的检查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建筑业企业</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现场检查、书面检查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《建筑业企业资质管理规定》</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对工程监理企业资质许可条件（标准考核项）的检查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工程监理企业</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现场检查、书面检查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市级住房城乡建设行政主管部门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《工程监理企业资质管理规定》</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开发企业资质许可条件的检查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对房地产开发企业资质的检查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房地产开发企业</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《关于印发北京市房地产开发企业资质抽查工作方案的通知》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安全生产条件</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对建筑施工企业安全生产条件的检查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建筑施工企业</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现场检查（抽查企业或者施工现场）</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市级住房城乡建设行政主管部门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施工企业安全生产许可证管理规定》《建筑施工企业安全生产许可证动态监管暂行办法》《关于严格实施建筑施工企业安全生产许可证制度的若干补充规定》《建筑施工企业安全生产许可证管理规定实施意见》《建筑施工安全检查标准》</w:t>
            </w:r>
            <w:r>
              <w:rPr>
                <w:rFonts w:hint="eastAsia" w:ascii="宋体" w:hAnsi="宋体" w:cs="宋体"/>
                <w:i w:val="0"/>
                <w:iCs w:val="0"/>
                <w:color w:val="000000"/>
                <w:kern w:val="0"/>
                <w:sz w:val="20"/>
                <w:szCs w:val="20"/>
                <w:u w:val="none"/>
                <w:lang w:val="en-US" w:eastAsia="zh-CN" w:bidi="ar"/>
              </w:rPr>
              <w:t>《北京市建设工程施工现场管理办法》《建筑起重机械安全监督管理规定》等</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对公共租赁住房（廉租住房）使用进行监督检查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对公共租赁住房（廉租住房）使用进行监督检查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公租房项目产权人</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《公共租赁住房管理办法》《廉租住房保障办法》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住房租赁市场秩序</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cs="宋体"/>
                <w:i w:val="0"/>
                <w:iCs w:val="0"/>
                <w:color w:val="000000"/>
                <w:kern w:val="0"/>
                <w:sz w:val="20"/>
                <w:szCs w:val="20"/>
                <w:u w:val="none"/>
                <w:lang w:val="en-US" w:eastAsia="zh-CN" w:bidi="ar"/>
              </w:rPr>
              <w:t>对住房</w:t>
            </w:r>
            <w:r>
              <w:rPr>
                <w:rFonts w:hint="eastAsia" w:ascii="宋体" w:hAnsi="宋体" w:eastAsia="宋体" w:cs="宋体"/>
                <w:i w:val="0"/>
                <w:iCs w:val="0"/>
                <w:color w:val="000000"/>
                <w:kern w:val="0"/>
                <w:sz w:val="20"/>
                <w:szCs w:val="20"/>
                <w:u w:val="none"/>
                <w:lang w:val="en-US" w:eastAsia="zh-CN" w:bidi="ar"/>
              </w:rPr>
              <w:t>租赁企业、房地产经纪机构经营行为</w:t>
            </w:r>
            <w:r>
              <w:rPr>
                <w:rFonts w:hint="eastAsia" w:ascii="宋体" w:hAnsi="宋体" w:cs="宋体"/>
                <w:i w:val="0"/>
                <w:iCs w:val="0"/>
                <w:color w:val="000000"/>
                <w:kern w:val="0"/>
                <w:sz w:val="20"/>
                <w:szCs w:val="20"/>
                <w:u w:val="none"/>
                <w:lang w:val="en-US" w:eastAsia="zh-CN" w:bidi="ar"/>
              </w:rPr>
              <w:t>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住房租赁企业、房地产经纪机构</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一般性检查</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日常巡查、专项检查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《房地产经纪管理办法》《商品商屋租赁管理办法》《北京市住房租赁条例》</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物业服务企业检查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对物业服务企业动态监督管理的检查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物业服务企业</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市级住房城乡建设行政主管部门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《北京市物业管理条例》及相关法律文件</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招投标事项检查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对招标（资审）公告的检查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机关、事业单位、企业、社会团体、其他组织</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《北京市建设工程招标投标监督管理规定》《中华人民共和国招标投标法》《中华人民共和国招标投标法实施条例》《建筑业企业资质管理规定》《必须招标的工程项目规定》</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17</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对招标人自行招标条件备案的检查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机关、事业单位、企业、社会团体、其他组织</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中华人民共和国招标投标法实施条例》《北京市招标投标条例》《北京市建设工程招标投标监督管理规定》《房屋建筑和市政基础设施工程施工招标投标管理办法》《工程建设项目自行招标试行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对资格预审文件备案的检查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机关、事业单位、企业、社会团体、其他组织</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《北京市建设工程质量条例》</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对资格预审评审委员会组成的检查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评审委员会</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《中华人民共和国招标投标法》《中华人民共和国招标投标法实施条例》《北京市工程建设项目施工招标资格预审办法》《北京市工程建设项目施工评标办法》《北京市建设工程施工综合定量评标办法》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对投标人投标资格的检查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机关、事业单位、企业、社会团体、其他组织</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《中华人民共和国招标投标法实施条例》《北京市工程建设项目施工招标资格预审办法》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对招标文件备案的检查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机关、事业单位、企业、社会团体、其他组织</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《北京市建设工程质量条例》《北京市建设工程招标投标监督管理规定》《房屋建筑和市政基础设施工程施工招标投标管理办法》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对评标委员会组成的检查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评标委员会</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《中华人民共和国招标投标法》《中华人民共和国招标投标法实施条例》《北京市工程建设项目施工招标资格预审办法》《北京市工程建设项目施工评标办法》《北京市建设工程施工综合定量评标办法》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23</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对开标、评标、中标候选人公示的检查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机关、事业单位、企业、社会团体、其他组织、评标委员会</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中华人民共和国招标投标法实施条例》《房屋建筑和市政基础设施工程施工招标投标管理办法》《北京市工程建设项目施工评标办法》《北京市建设工程施工综合定量评标办法》《北京市建设工程评标专家动态监督管理办法》《招标公告和公示信息发布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对招投标情况书面报告备案的检查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机关、事业单位、企业、社会团体、其他组织</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招标投标法》《北京市招标投标条例》《北京市建设工程招标投标监督管理规定》《房屋建筑和市政基础设施工程施工招标投标管理办法》《工程建设项目施工招标投标办法》《工程建设项目货物招标投标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对建筑市场行为的检查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对有关建设工程安全生产所涉及的建筑市场行为的法律、法规执行情况的监督检查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全市在施建设项目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26</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对行政区域内建筑工程违法发包、转包、违法分包及挂靠等违法行为进行监督检查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全市在施建设项目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《建筑工程施工发包与承包违法行为认定查处管理办法》《关于进一步加强建筑市场监管工作的意见》《关于进一步规范北京市房屋建筑和市政基础设施工程施工发包承包活动的通知》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27</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对房屋建筑和市政基础设施工程施工分包情况进行监督检查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全市在施建设项目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《房屋建筑和市政基础设施工程施工分包管理办法》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28</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对有关建设工程质量所涉及的建筑市场行为的法律、法规执行情况的监督检查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全市在施建设项目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《建设工程质量管理条例》《北京市建设工程质量条例》</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对外省市建筑企业来京施工备案情况的检查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对外省市监理企业进京承揽业务进行备案的检查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建设项目【市、区两级发放施工许可证(施工意见函)的在施项目】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《北京市建设工程质量条例》《北京市工程建设监理管理办法》《住房城乡建设部关于印发推动建筑市场统一开放若干规定的通知》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对外省市建筑企业来京施工备案的检查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建设项目【市、区两级发放施工许可证(施工意见函)的在施项目】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《北京市建设工程质量条例》《北京市人民政府关于外地建筑企业来京施工管理暂行规定》《关于印发推动建筑市场统一开放若干规定的通知》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31</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对建设工程劳务管理的检查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对本市建设工程施工现场人员实名制管理情况的检查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建设项目【市、区两级发放施工许可证(施工意见函)的在施项目】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《保障农民工工资支付条例》《住建部、人保部关于印发建筑工人实名制管理办法（试行）的通知》《北京市工程建设领域保障农民工工资支付工作管理办法》《北京市施工现场人员实名制管理办法》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对建筑劳务企业施工队长岗位资格情况进行检查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建设项目【市、区两级发放施工许可证(施工意见函)的在施项目】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《关于进一步完善劳务企业施工队长管理的通知》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对劳务分包合同的检查（合同订立情况、价款结算支付情况、履约数据在合同履约平台报送情况等内容）</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建设项目【市、区两级发放施工许可证(施工意见函)的在施项目】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《关于加强北京市房屋建筑与市政基础设施工程劳务管理的通知》《北京市房屋建筑和市政基础设施工程劳务分包合同管理暂行办法》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34</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对普法维权培训落实情况的检查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建设项目【市、区两级发放施工许可证(施工意见函)的在施项目】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《北京市建筑业劳务作业人员普法维权培训工作指导意见》</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对劳务管理体系建立及管理例会资料情况的检查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建设项目【市、区两级发放施工许可证(施工意见函)的在施项目】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《关于加强北京市房屋建筑与市政基础设施工程劳务管理的通知》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36</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执业人员的资格许可条件检查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对二级建造师执业资格注册的检查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二级建造师</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市级住房城乡建设</w:t>
            </w:r>
            <w:r>
              <w:rPr>
                <w:rFonts w:hint="eastAsia" w:ascii="宋体" w:hAnsi="宋体" w:cs="宋体"/>
                <w:i w:val="0"/>
                <w:iCs w:val="0"/>
                <w:color w:val="000000"/>
                <w:kern w:val="0"/>
                <w:sz w:val="20"/>
                <w:szCs w:val="20"/>
                <w:u w:val="none"/>
                <w:lang w:val="en-US" w:eastAsia="zh-CN" w:bidi="ar"/>
              </w:rPr>
              <w:t>行政</w:t>
            </w:r>
            <w:r>
              <w:rPr>
                <w:rFonts w:hint="eastAsia" w:ascii="宋体" w:hAnsi="宋体" w:eastAsia="宋体" w:cs="宋体"/>
                <w:i w:val="0"/>
                <w:iCs w:val="0"/>
                <w:color w:val="000000"/>
                <w:kern w:val="0"/>
                <w:sz w:val="20"/>
                <w:szCs w:val="20"/>
                <w:u w:val="none"/>
                <w:lang w:val="en-US" w:eastAsia="zh-CN" w:bidi="ar"/>
              </w:rPr>
              <w:t>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《注册建造师管理规定》《关于对&lt;北京市二级建造师注册实施办法&gt;部分条款修改的通知》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37</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对二级造价工程师执业资格注册的检查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二级造价工程师</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市级住房城乡建设</w:t>
            </w:r>
            <w:r>
              <w:rPr>
                <w:rFonts w:hint="eastAsia" w:ascii="宋体" w:hAnsi="宋体" w:cs="宋体"/>
                <w:i w:val="0"/>
                <w:iCs w:val="0"/>
                <w:color w:val="000000"/>
                <w:kern w:val="0"/>
                <w:sz w:val="20"/>
                <w:szCs w:val="20"/>
                <w:u w:val="none"/>
                <w:lang w:val="en-US" w:eastAsia="zh-CN" w:bidi="ar"/>
              </w:rPr>
              <w:t>行政</w:t>
            </w:r>
            <w:r>
              <w:rPr>
                <w:rFonts w:hint="eastAsia" w:ascii="宋体" w:hAnsi="宋体" w:eastAsia="宋体" w:cs="宋体"/>
                <w:i w:val="0"/>
                <w:iCs w:val="0"/>
                <w:color w:val="000000"/>
                <w:kern w:val="0"/>
                <w:sz w:val="20"/>
                <w:szCs w:val="20"/>
                <w:u w:val="none"/>
                <w:lang w:val="en-US" w:eastAsia="zh-CN" w:bidi="ar"/>
              </w:rPr>
              <w:t>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《注册造价工程师管理办法》《关于开展北京市二级造价工程师执业资格注册工作的通知》</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38</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从业人员的资格许可条件检查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对建筑施工企业主要负责人、项目负责人和专职安全生产管理人员安全生产考核的检查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建筑施工企业主要负责人、项目负责人和专职安全生产管理人员</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市级住房城乡建设</w:t>
            </w:r>
            <w:r>
              <w:rPr>
                <w:rFonts w:hint="eastAsia" w:ascii="宋体" w:hAnsi="宋体" w:cs="宋体"/>
                <w:i w:val="0"/>
                <w:iCs w:val="0"/>
                <w:color w:val="000000"/>
                <w:kern w:val="0"/>
                <w:sz w:val="20"/>
                <w:szCs w:val="20"/>
                <w:u w:val="none"/>
                <w:lang w:val="en-US" w:eastAsia="zh-CN" w:bidi="ar"/>
              </w:rPr>
              <w:t>行政</w:t>
            </w:r>
            <w:r>
              <w:rPr>
                <w:rFonts w:hint="eastAsia" w:ascii="宋体" w:hAnsi="宋体" w:eastAsia="宋体" w:cs="宋体"/>
                <w:i w:val="0"/>
                <w:iCs w:val="0"/>
                <w:color w:val="000000"/>
                <w:kern w:val="0"/>
                <w:sz w:val="20"/>
                <w:szCs w:val="20"/>
                <w:u w:val="none"/>
                <w:lang w:val="en-US" w:eastAsia="zh-CN" w:bidi="ar"/>
              </w:rPr>
              <w:t>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《建筑施工企业主要负责人、项目负责人和专职安全生产管理人员安全生产管理规定》</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39</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对建筑施工特种作业人员操作资格考核的检查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建筑施工特种作业人员</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市级住房城乡建设</w:t>
            </w:r>
            <w:r>
              <w:rPr>
                <w:rFonts w:hint="eastAsia" w:ascii="宋体" w:hAnsi="宋体" w:cs="宋体"/>
                <w:i w:val="0"/>
                <w:iCs w:val="0"/>
                <w:color w:val="000000"/>
                <w:kern w:val="0"/>
                <w:sz w:val="20"/>
                <w:szCs w:val="20"/>
                <w:u w:val="none"/>
                <w:lang w:val="en-US" w:eastAsia="zh-CN" w:bidi="ar"/>
              </w:rPr>
              <w:t>行政</w:t>
            </w:r>
            <w:r>
              <w:rPr>
                <w:rFonts w:hint="eastAsia" w:ascii="宋体" w:hAnsi="宋体" w:eastAsia="宋体" w:cs="宋体"/>
                <w:i w:val="0"/>
                <w:iCs w:val="0"/>
                <w:color w:val="000000"/>
                <w:kern w:val="0"/>
                <w:sz w:val="20"/>
                <w:szCs w:val="20"/>
                <w:u w:val="none"/>
                <w:lang w:val="en-US" w:eastAsia="zh-CN" w:bidi="ar"/>
              </w:rPr>
              <w:t>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《建筑施工特种作业人员管理规定》</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c>
          <w:tcPr>
            <w:tcW w:w="1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对施工现场的检查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对注册建造师的注册、执业和继续教育实施监督检查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全市在施建设项目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《注册建造师管理规定》《北京市注册建造师执业管理办法》</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41</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对注册监理工程师的注册、执业和继续教育实施监督检查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全市在施建设项目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《注册监理工程师管理规定》</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42</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对项目经理履职情况进行监督检查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全市在施建设项目</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《建筑施工项目经理质量安全责任十项规定（试行）》</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对本行政区内工程质量实施监督管理工作的检查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建设工程及工程相关建设单位、施工总承包单位、专业工程分包单位和监理单位、工程质量检测机构</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按项目（标段）或主体随机</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房屋建筑和市政基础设施工程质量监督管理规定》《建设工程质量管理条例》《北京市建设工程质量条例》《实施工程建设强制性标准监督规定》《建设工程质量检测管理办法》《北京市建设工程质量检测机构资质及人员动态监督管理办法》《民用建筑节能管理规定》《铁路建设工程质量监督管理规定》等</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18"/>
                <w:szCs w:val="18"/>
              </w:rPr>
            </w:pP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进入被检查单位和被检查单位的施工现场进行检查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建设工程相关的施工总承包单位、专业工程分包单位和监理单位</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重点检查事项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按项目（标段）随机</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市、区住房城乡建设行政主管部门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《建筑起重机械安全监督管理规定》《建设工程安全生产管理条例》《安全生产法》《房屋建筑和市政基础设施工程施工安全监督规定》等</w:t>
            </w: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对建筑市场主体计价活动的检查</w:t>
            </w:r>
          </w:p>
        </w:tc>
        <w:tc>
          <w:tcPr>
            <w:tcW w:w="25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对建筑市场主体计价活动进行监督检查</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建设工程及工程相关建设单位、施工单位、造价咨询企业等相关市场主体，以及注册造价工程师等工程造价从业人员</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一般检查事项</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现场检查、网络检查</w:t>
            </w:r>
          </w:p>
        </w:tc>
        <w:tc>
          <w:tcPr>
            <w:tcW w:w="17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市</w:t>
            </w:r>
            <w:r>
              <w:rPr>
                <w:rFonts w:hint="eastAsia" w:ascii="宋体" w:hAnsi="宋体" w:cs="宋体"/>
                <w:i w:val="0"/>
                <w:iCs w:val="0"/>
                <w:color w:val="000000"/>
                <w:kern w:val="0"/>
                <w:sz w:val="20"/>
                <w:szCs w:val="20"/>
                <w:u w:val="none"/>
                <w:lang w:val="en-US" w:eastAsia="zh-CN" w:bidi="ar"/>
              </w:rPr>
              <w:t>级</w:t>
            </w:r>
            <w:r>
              <w:rPr>
                <w:rFonts w:hint="eastAsia" w:ascii="宋体" w:hAnsi="宋体" w:eastAsia="宋体" w:cs="宋体"/>
                <w:i w:val="0"/>
                <w:iCs w:val="0"/>
                <w:color w:val="000000"/>
                <w:kern w:val="0"/>
                <w:sz w:val="20"/>
                <w:szCs w:val="20"/>
                <w:u w:val="none"/>
                <w:lang w:val="en-US" w:eastAsia="zh-CN" w:bidi="ar"/>
              </w:rPr>
              <w:t>住房城乡建设行政主管部门</w:t>
            </w:r>
          </w:p>
        </w:tc>
        <w:tc>
          <w:tcPr>
            <w:tcW w:w="440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工程造价咨询企业管理办法》《建筑工程施工发包与承包计价管理办法》《住房和城乡建设部关于印发&lt;工程质量治理两年行动方案&gt;的通知》《住房和城乡建设部关于进一步推进工程造价管理改革的指导意见》《关于贯彻执行&lt;建筑工程施工发包与承包计价管理办法&gt;的通知》《北京市建设工程造价管理暂行规定》</w:t>
            </w:r>
          </w:p>
        </w:tc>
      </w:tr>
    </w:tbl>
    <w:p>
      <w:pPr>
        <w:jc w:val="center"/>
      </w:pPr>
    </w:p>
    <w:p>
      <w:pPr>
        <w:jc w:val="center"/>
      </w:pPr>
    </w:p>
    <w:p>
      <w:pPr>
        <w:jc w:val="both"/>
        <w:rPr>
          <w:rFonts w:hint="eastAsia" w:ascii="CESI黑体-GB2312" w:hAnsi="CESI黑体-GB2312" w:eastAsia="CESI黑体-GB2312" w:cs="CESI黑体-GB2312"/>
          <w:sz w:val="32"/>
          <w:szCs w:val="32"/>
          <w:lang w:eastAsia="zh-CN"/>
        </w:rPr>
      </w:pPr>
    </w:p>
    <w:p>
      <w:pPr>
        <w:spacing w:line="360" w:lineRule="exact"/>
        <w:jc w:val="left"/>
        <w:rPr>
          <w:rFonts w:hint="eastAsia" w:ascii="仿宋_GB2312" w:eastAsia="仿宋_GB2312"/>
          <w:spacing w:val="-20"/>
          <w:kern w:val="32"/>
          <w:sz w:val="32"/>
          <w:szCs w:val="32"/>
        </w:rPr>
      </w:pPr>
    </w:p>
    <w:p>
      <w:pPr>
        <w:spacing w:line="360" w:lineRule="exact"/>
        <w:jc w:val="left"/>
        <w:rPr>
          <w:rFonts w:hint="eastAsia" w:ascii="仿宋_GB2312" w:eastAsia="仿宋_GB2312"/>
          <w:spacing w:val="-20"/>
          <w:kern w:val="32"/>
          <w:sz w:val="32"/>
          <w:szCs w:val="32"/>
        </w:rPr>
      </w:pPr>
    </w:p>
    <w:p>
      <w:pPr>
        <w:spacing w:line="360" w:lineRule="exact"/>
        <w:jc w:val="left"/>
        <w:rPr>
          <w:rFonts w:hint="eastAsia" w:ascii="仿宋_GB2312" w:eastAsia="仿宋_GB2312"/>
          <w:spacing w:val="-20"/>
          <w:kern w:val="32"/>
          <w:sz w:val="32"/>
          <w:szCs w:val="32"/>
          <w:lang w:eastAsia="zh-CN"/>
        </w:rPr>
      </w:pPr>
    </w:p>
    <w:sectPr>
      <w:footerReference r:id="rId3"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CESI宋体-GB2312">
    <w:panose1 w:val="02000500000000000000"/>
    <w:charset w:val="86"/>
    <w:family w:val="auto"/>
    <w:pitch w:val="default"/>
    <w:sig w:usb0="800002AF" w:usb1="08476CF8" w:usb2="00000010" w:usb3="00000000" w:csb0="0004000F" w:csb1="00000000"/>
  </w:font>
  <w:font w:name="仿宋_GB2312">
    <w:altName w:val="方正仿宋_GBK"/>
    <w:panose1 w:val="02010609030101010101"/>
    <w:charset w:val="00"/>
    <w:family w:val="modern"/>
    <w:pitch w:val="default"/>
    <w:sig w:usb0="00000001" w:usb1="080E0000" w:usb2="00000000" w:usb3="00000000" w:csb0="00040000" w:csb1="00000000"/>
  </w:font>
  <w:font w:name="楷体_GB2312">
    <w:altName w:val="方正楷体_GBK"/>
    <w:panose1 w:val="02010609030101010101"/>
    <w:charset w:val="00"/>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775B1"/>
    <w:rsid w:val="1BCF5603"/>
    <w:rsid w:val="2FEF3A45"/>
    <w:rsid w:val="2FF7AA99"/>
    <w:rsid w:val="3EFB1648"/>
    <w:rsid w:val="3F2FC7C3"/>
    <w:rsid w:val="5BE7C0A1"/>
    <w:rsid w:val="627758E7"/>
    <w:rsid w:val="6F7DA822"/>
    <w:rsid w:val="6FDBBA0D"/>
    <w:rsid w:val="77BF3BBA"/>
    <w:rsid w:val="7AFDF992"/>
    <w:rsid w:val="7BF78A54"/>
    <w:rsid w:val="7DAFDBB5"/>
    <w:rsid w:val="7EBF2875"/>
    <w:rsid w:val="7FBA4C5F"/>
    <w:rsid w:val="7FCF8910"/>
    <w:rsid w:val="97F74817"/>
    <w:rsid w:val="AF6BB6DA"/>
    <w:rsid w:val="BDAF647D"/>
    <w:rsid w:val="BFD7A03D"/>
    <w:rsid w:val="DDFF9536"/>
    <w:rsid w:val="DFD32951"/>
    <w:rsid w:val="E5EA0C56"/>
    <w:rsid w:val="EDD424DB"/>
    <w:rsid w:val="EFFE29F8"/>
    <w:rsid w:val="F17510E2"/>
    <w:rsid w:val="F4DF33DB"/>
    <w:rsid w:val="F5B8F9D5"/>
    <w:rsid w:val="F8B3EBD1"/>
    <w:rsid w:val="F94B0451"/>
    <w:rsid w:val="FACF51D5"/>
    <w:rsid w:val="FDCB91E1"/>
    <w:rsid w:val="FFB775B1"/>
    <w:rsid w:val="FFBA3B0D"/>
    <w:rsid w:val="FFFD7D51"/>
    <w:rsid w:val="FFFF6E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16.6666666666667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2022-03-08T06:13:00Z</dcterms:created>
  <dc:creator>uos</dc:creator>
  <cp:lastModifiedBy>uos</cp:lastModifiedBy>
  <cp:lastPrinted>2023-04-01T06:21:57Z</cp:lastPrinted>
  <dcterms:modified xsi:type="dcterms:W3CDTF">2023-03-31T15:56:01Z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506B64939F625A3DB960216469C4ACB3</vt:lpwstr>
  </property>
</Properties>
</file>