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4"/>
        <w:pageBreakBefore w:val="0"/>
        <w:kinsoku/>
        <w:wordWrap/>
        <w:overflowPunct/>
        <w:topLinePunct w:val="0"/>
        <w:bidi w:val="0"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参选供应商须知</w:t>
      </w:r>
    </w:p>
    <w:p>
      <w:pPr>
        <w:pStyle w:val="2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/>
          <w:lang w:eastAsia="zh-CN"/>
        </w:rPr>
      </w:pP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一、参选要求</w:t>
      </w:r>
    </w:p>
    <w:p>
      <w:pPr>
        <w:pageBreakBefore w:val="0"/>
        <w:widowControl/>
        <w:kinsoku/>
        <w:wordWrap/>
        <w:overflowPunct/>
        <w:topLinePunct w:val="0"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应认真阅读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中所有的事项、格式、条款和技术规范等。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未按照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要求提交资料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或资料内前后关键内容不一致（如报价等），按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无效申请处理。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Toc436658694"/>
      <w:bookmarkStart w:id="1" w:name="_Toc176252200"/>
      <w:bookmarkStart w:id="2" w:name="_Toc1553"/>
      <w:bookmarkStart w:id="3" w:name="_Toc441323268"/>
      <w:bookmarkStart w:id="4" w:name="_Toc269138190"/>
      <w:bookmarkStart w:id="5" w:name="_Toc268077453"/>
      <w:bookmarkStart w:id="6" w:name="_Toc455776609"/>
      <w:bookmarkStart w:id="7" w:name="_Toc18438"/>
      <w:bookmarkStart w:id="8" w:name="_Toc508119559"/>
      <w:bookmarkStart w:id="9" w:name="_Toc5205"/>
      <w:bookmarkStart w:id="10" w:name="_Toc268193521"/>
      <w:bookmarkStart w:id="11" w:name="_Toc508119479"/>
      <w:bookmarkStart w:id="12" w:name="_Toc503181105"/>
      <w:bookmarkStart w:id="13" w:name="_Toc86052489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参选文件要求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本通知已附示范文本的，均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示范文本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统一格式填写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统一编目编码装订成册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编排混乱导致被误读或查找不到，其责任应当由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承担。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须保证所提供的全部资料真实可靠，并接受评审委员会对其中任何资料进一步审查的要求。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3.参选文件均应使用中文简体字。参选文件中涉及的计量单位，均应为中华人民共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和国法定计量单位。 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</w:t>
      </w:r>
      <w:bookmarkStart w:id="43" w:name="_GoBack"/>
      <w:bookmarkEnd w:id="43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份, 副本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份，电子版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正本、副本和电子版的封面上应清楚地标记“正本”“副本” 或“电子版”的字样。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正本中所有提交的复印件、影印件等必须加盖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供应商公章，以证明真实、有效。正本中加盖的公章是复印、影印形式的，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当副本和正本不一致时，以正本为准。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电子版需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签字加盖公章后正本的彩色扫描件(P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DF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格式)及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word版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，存储在一个U盘或光盘中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需要签字盖章的，应由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签字，加盖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公章。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密封递交，封口处应有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签字或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提交资料中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如有修改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，必须由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法定代表人或其授权代理人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在修改处签字或盖章。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如提交资料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因字迹潦草或表达不清所引起的后果由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负责。</w:t>
      </w:r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.本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中所要求的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供应商公章是指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供应商的“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公章”，不得加盖其它“合同专用章、投标专用章、财务专用章”等非行政公章；签字是指手写签字或签章。否则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无效申请处理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</w:rPr>
        <w:t>。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对于比选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中标记了“实质性格式”文件的，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供应商不得改变格式中给定的文字所表达的含义，不得删减格式中的实质性内容，不得自行添加与格式中给定的文字内容相矛盾的内容，不得对应当填写的空格不填写或不实质性响应，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否则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</w:rPr>
        <w:t>响应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highlight w:val="none"/>
        </w:rPr>
        <w:t>无效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。未标记“实质性格式”的文件和比选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未提供格式的内容，可由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eastAsia="zh-CN"/>
        </w:rPr>
        <w:t>参选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</w:rPr>
        <w:t>供应商自行编写。</w:t>
      </w:r>
    </w:p>
    <w:p>
      <w:pPr>
        <w:pageBreakBefore w:val="0"/>
        <w:widowControl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14" w:name="_Toc508119560"/>
      <w:bookmarkStart w:id="15" w:name="_Toc86052490"/>
      <w:bookmarkStart w:id="16" w:name="_Toc508119480"/>
      <w:bookmarkStart w:id="17" w:name="_Toc268193522"/>
      <w:bookmarkStart w:id="18" w:name="_Toc11353"/>
      <w:bookmarkStart w:id="19" w:name="_Toc269138191"/>
      <w:bookmarkStart w:id="20" w:name="_Toc268077454"/>
      <w:bookmarkStart w:id="21" w:name="_Toc441323269"/>
      <w:bookmarkStart w:id="22" w:name="_Toc503181106"/>
      <w:bookmarkStart w:id="23" w:name="_Toc176252201"/>
      <w:bookmarkStart w:id="24" w:name="_Toc436658695"/>
      <w:bookmarkStart w:id="25" w:name="_Toc455776610"/>
      <w:bookmarkStart w:id="26" w:name="_Toc312"/>
      <w:bookmarkStart w:id="27" w:name="_Toc21063"/>
      <w:bookmarkStart w:id="28" w:name="_Toc166647429"/>
      <w:bookmarkStart w:id="29" w:name="_Toc129190727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参选文件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的递交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bookmarkEnd w:id="29"/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bookmarkStart w:id="30" w:name="_Toc166647430"/>
      <w:bookmarkStart w:id="31" w:name="_Toc129190728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参选供应商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应在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本通知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规定的截止日期和时间内，将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参选文件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递交至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通知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中规定的地址。</w:t>
      </w:r>
    </w:p>
    <w:p>
      <w:pPr>
        <w:pageBreakBefore w:val="0"/>
        <w:kinsoku/>
        <w:wordWrap/>
        <w:overflowPunct/>
        <w:topLinePunct w:val="0"/>
        <w:bidi w:val="0"/>
        <w:spacing w:beforeLines="0" w:afterLines="0" w:line="560" w:lineRule="exact"/>
        <w:ind w:firstLine="640"/>
        <w:jc w:val="left"/>
        <w:textAlignment w:val="auto"/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比选组织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项目单位组建评审小组，遵循公平、公正、公开、科学、择优的原则，对各参选供应商申报材料进行评审。评审小组根据合格参选供应商得分由高到低进行排序，确定排名第一的参选供应商为中选候选人，并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在规定的期限内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通过原公开渠道公布中选人名单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ageBreakBefore w:val="0"/>
        <w:tabs>
          <w:tab w:val="left" w:pos="900"/>
          <w:tab w:val="left" w:pos="1980"/>
        </w:tabs>
        <w:kinsoku/>
        <w:wordWrap/>
        <w:overflowPunct/>
        <w:topLinePunct w:val="0"/>
        <w:bidi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若中选候选人放弃中选、因不可抗力提出不能履行合同时，评选小组可以确定排名其后的参选供应商为中选人，以此类推。</w:t>
      </w:r>
    </w:p>
    <w:bookmarkEnd w:id="30"/>
    <w:bookmarkEnd w:id="31"/>
    <w:p>
      <w:pPr>
        <w:pageBreakBefore w:val="0"/>
        <w:kinsoku/>
        <w:wordWrap/>
        <w:overflowPunct/>
        <w:topLinePunct w:val="0"/>
        <w:bidi w:val="0"/>
        <w:adjustRightInd/>
        <w:snapToGrid/>
        <w:spacing w:beforeLines="0" w:afterLines="0" w:line="560" w:lineRule="exact"/>
        <w:ind w:firstLine="64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2" w:name="_Toc441323272"/>
      <w:bookmarkStart w:id="33" w:name="_Toc27313"/>
      <w:bookmarkStart w:id="34" w:name="_Toc15532"/>
      <w:bookmarkStart w:id="35" w:name="_Toc86052493"/>
      <w:bookmarkStart w:id="36" w:name="_Toc508119563"/>
      <w:bookmarkStart w:id="37" w:name="_Toc13472"/>
      <w:bookmarkStart w:id="38" w:name="_Toc508119483"/>
      <w:bookmarkStart w:id="39" w:name="_Toc503181109"/>
      <w:bookmarkStart w:id="40" w:name="_Toc176252204"/>
      <w:bookmarkStart w:id="41" w:name="_Toc455776613"/>
      <w:bookmarkStart w:id="42" w:name="_Toc436658698"/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、纪律和监督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供应商不得相互串通或与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串通，不得向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</w:rPr>
        <w:t>或者评审委员会成员行贿谋取中选，不得以他人名义申请或者以其他方式弄虚作假骗取中选；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参选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供应商不得以任何方式干扰、影响评审工作。</w:t>
      </w:r>
    </w:p>
    <w:sectPr>
      <w:footerReference r:id="rId5" w:type="first"/>
      <w:headerReference r:id="rId3" w:type="default"/>
      <w:footerReference r:id="rId4" w:type="default"/>
      <w:pgSz w:w="11906" w:h="16838"/>
      <w:pgMar w:top="1440" w:right="1797" w:bottom="1361" w:left="1797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81169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0381777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8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515" w:leftChars="-114" w:hanging="2880" w:hangingChars="900"/>
      <w:rPr>
        <w:rFonts w:hint="eastAsia" w:ascii="仿宋_GB2312" w:eastAsia="仿宋_GB2312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6D"/>
    <w:rsid w:val="000235BD"/>
    <w:rsid w:val="00034765"/>
    <w:rsid w:val="000577C3"/>
    <w:rsid w:val="000831D6"/>
    <w:rsid w:val="00091F91"/>
    <w:rsid w:val="00095708"/>
    <w:rsid w:val="000A2FEF"/>
    <w:rsid w:val="000B14B9"/>
    <w:rsid w:val="000B4978"/>
    <w:rsid w:val="000C4F03"/>
    <w:rsid w:val="000C5E2A"/>
    <w:rsid w:val="000D4033"/>
    <w:rsid w:val="000E3FDC"/>
    <w:rsid w:val="00102FDC"/>
    <w:rsid w:val="001058C3"/>
    <w:rsid w:val="00111182"/>
    <w:rsid w:val="001700EC"/>
    <w:rsid w:val="00173F2F"/>
    <w:rsid w:val="00175806"/>
    <w:rsid w:val="00190BF0"/>
    <w:rsid w:val="00194FF5"/>
    <w:rsid w:val="001C0616"/>
    <w:rsid w:val="001D724C"/>
    <w:rsid w:val="001D754B"/>
    <w:rsid w:val="00205054"/>
    <w:rsid w:val="00207940"/>
    <w:rsid w:val="00221B86"/>
    <w:rsid w:val="002224A0"/>
    <w:rsid w:val="00230D5F"/>
    <w:rsid w:val="00233013"/>
    <w:rsid w:val="00243EEE"/>
    <w:rsid w:val="00294E2B"/>
    <w:rsid w:val="002A3A2F"/>
    <w:rsid w:val="002B10AF"/>
    <w:rsid w:val="002B1B49"/>
    <w:rsid w:val="002C21B0"/>
    <w:rsid w:val="002C7999"/>
    <w:rsid w:val="002C7F3A"/>
    <w:rsid w:val="002E04EC"/>
    <w:rsid w:val="002E08AB"/>
    <w:rsid w:val="002E5715"/>
    <w:rsid w:val="002F2B65"/>
    <w:rsid w:val="002F394F"/>
    <w:rsid w:val="00311042"/>
    <w:rsid w:val="00311398"/>
    <w:rsid w:val="00315143"/>
    <w:rsid w:val="0031542C"/>
    <w:rsid w:val="00320E76"/>
    <w:rsid w:val="00321BC5"/>
    <w:rsid w:val="003333E2"/>
    <w:rsid w:val="00334088"/>
    <w:rsid w:val="00335C45"/>
    <w:rsid w:val="0034275C"/>
    <w:rsid w:val="00373403"/>
    <w:rsid w:val="00374810"/>
    <w:rsid w:val="00377FD6"/>
    <w:rsid w:val="003901FE"/>
    <w:rsid w:val="00406C27"/>
    <w:rsid w:val="00426A7C"/>
    <w:rsid w:val="004425F7"/>
    <w:rsid w:val="00452226"/>
    <w:rsid w:val="00453D24"/>
    <w:rsid w:val="00457383"/>
    <w:rsid w:val="00471F5F"/>
    <w:rsid w:val="0047559E"/>
    <w:rsid w:val="00475F34"/>
    <w:rsid w:val="00496A98"/>
    <w:rsid w:val="004E064D"/>
    <w:rsid w:val="004E3178"/>
    <w:rsid w:val="00532979"/>
    <w:rsid w:val="00532C8C"/>
    <w:rsid w:val="005358B8"/>
    <w:rsid w:val="0054208E"/>
    <w:rsid w:val="00545197"/>
    <w:rsid w:val="00552F95"/>
    <w:rsid w:val="00554060"/>
    <w:rsid w:val="005603E5"/>
    <w:rsid w:val="00570136"/>
    <w:rsid w:val="00581666"/>
    <w:rsid w:val="00584D59"/>
    <w:rsid w:val="005A2660"/>
    <w:rsid w:val="005B6ED7"/>
    <w:rsid w:val="005C10E8"/>
    <w:rsid w:val="005C172C"/>
    <w:rsid w:val="005C5CA3"/>
    <w:rsid w:val="005D0DDB"/>
    <w:rsid w:val="005D1595"/>
    <w:rsid w:val="005E3311"/>
    <w:rsid w:val="005F2F10"/>
    <w:rsid w:val="005F5B39"/>
    <w:rsid w:val="005F5D0D"/>
    <w:rsid w:val="00621DB3"/>
    <w:rsid w:val="00621DEF"/>
    <w:rsid w:val="00625E44"/>
    <w:rsid w:val="006379E4"/>
    <w:rsid w:val="00650729"/>
    <w:rsid w:val="0069134D"/>
    <w:rsid w:val="00695206"/>
    <w:rsid w:val="00697B52"/>
    <w:rsid w:val="006A0B3D"/>
    <w:rsid w:val="006A574D"/>
    <w:rsid w:val="006B105D"/>
    <w:rsid w:val="006E31CB"/>
    <w:rsid w:val="006E531F"/>
    <w:rsid w:val="006F5A9C"/>
    <w:rsid w:val="0071041E"/>
    <w:rsid w:val="00713B32"/>
    <w:rsid w:val="00717F50"/>
    <w:rsid w:val="00730139"/>
    <w:rsid w:val="007349F1"/>
    <w:rsid w:val="00780FFA"/>
    <w:rsid w:val="00792AD3"/>
    <w:rsid w:val="00796AD7"/>
    <w:rsid w:val="00796D8D"/>
    <w:rsid w:val="007C1F4C"/>
    <w:rsid w:val="007F46E3"/>
    <w:rsid w:val="00806B48"/>
    <w:rsid w:val="0081394C"/>
    <w:rsid w:val="008227A8"/>
    <w:rsid w:val="00831821"/>
    <w:rsid w:val="008438E1"/>
    <w:rsid w:val="00857AE9"/>
    <w:rsid w:val="0086701E"/>
    <w:rsid w:val="0088028A"/>
    <w:rsid w:val="008B6EAE"/>
    <w:rsid w:val="008D2A0B"/>
    <w:rsid w:val="008F201E"/>
    <w:rsid w:val="00911EF4"/>
    <w:rsid w:val="00922CC1"/>
    <w:rsid w:val="0093691F"/>
    <w:rsid w:val="0095026B"/>
    <w:rsid w:val="00971286"/>
    <w:rsid w:val="009734BB"/>
    <w:rsid w:val="00995A1A"/>
    <w:rsid w:val="009C4219"/>
    <w:rsid w:val="009D7AB8"/>
    <w:rsid w:val="009E4A87"/>
    <w:rsid w:val="00A019CD"/>
    <w:rsid w:val="00A01BE2"/>
    <w:rsid w:val="00A1521C"/>
    <w:rsid w:val="00A22CE6"/>
    <w:rsid w:val="00A771E7"/>
    <w:rsid w:val="00A90F1D"/>
    <w:rsid w:val="00AA69C3"/>
    <w:rsid w:val="00AB706D"/>
    <w:rsid w:val="00AC32EC"/>
    <w:rsid w:val="00AC3D3A"/>
    <w:rsid w:val="00AD326F"/>
    <w:rsid w:val="00AD60EC"/>
    <w:rsid w:val="00AD7F01"/>
    <w:rsid w:val="00AE6F50"/>
    <w:rsid w:val="00B5200B"/>
    <w:rsid w:val="00B70092"/>
    <w:rsid w:val="00B82113"/>
    <w:rsid w:val="00B87951"/>
    <w:rsid w:val="00BA0487"/>
    <w:rsid w:val="00BA11BA"/>
    <w:rsid w:val="00BC26EE"/>
    <w:rsid w:val="00BE411A"/>
    <w:rsid w:val="00BF0DFF"/>
    <w:rsid w:val="00C027C3"/>
    <w:rsid w:val="00C1063C"/>
    <w:rsid w:val="00C11BAA"/>
    <w:rsid w:val="00C4434A"/>
    <w:rsid w:val="00C457FE"/>
    <w:rsid w:val="00C519C8"/>
    <w:rsid w:val="00C61D76"/>
    <w:rsid w:val="00C93E89"/>
    <w:rsid w:val="00D03DCD"/>
    <w:rsid w:val="00D103D7"/>
    <w:rsid w:val="00D14518"/>
    <w:rsid w:val="00D50A57"/>
    <w:rsid w:val="00D5414D"/>
    <w:rsid w:val="00D60399"/>
    <w:rsid w:val="00D71A0E"/>
    <w:rsid w:val="00D71E85"/>
    <w:rsid w:val="00D91025"/>
    <w:rsid w:val="00D91D17"/>
    <w:rsid w:val="00DA4A92"/>
    <w:rsid w:val="00E14478"/>
    <w:rsid w:val="00E2174E"/>
    <w:rsid w:val="00E87482"/>
    <w:rsid w:val="00E90977"/>
    <w:rsid w:val="00EC3C8B"/>
    <w:rsid w:val="00EC7238"/>
    <w:rsid w:val="00ED6132"/>
    <w:rsid w:val="00EE5B0C"/>
    <w:rsid w:val="00EF2585"/>
    <w:rsid w:val="00F00F85"/>
    <w:rsid w:val="00F0363B"/>
    <w:rsid w:val="00F1472C"/>
    <w:rsid w:val="00F7770D"/>
    <w:rsid w:val="00F9778D"/>
    <w:rsid w:val="00FA6391"/>
    <w:rsid w:val="00FC3DD5"/>
    <w:rsid w:val="00FE4040"/>
    <w:rsid w:val="15C79298"/>
    <w:rsid w:val="1FCDF5CD"/>
    <w:rsid w:val="31DD5518"/>
    <w:rsid w:val="3ADB3A41"/>
    <w:rsid w:val="3C2200C8"/>
    <w:rsid w:val="3DFBF5F5"/>
    <w:rsid w:val="3FDB9AEE"/>
    <w:rsid w:val="3FFF60E8"/>
    <w:rsid w:val="4EBFE992"/>
    <w:rsid w:val="4FF66BAA"/>
    <w:rsid w:val="4FF9BF39"/>
    <w:rsid w:val="57FE321D"/>
    <w:rsid w:val="59F76EB7"/>
    <w:rsid w:val="5EFE917F"/>
    <w:rsid w:val="5FFD476D"/>
    <w:rsid w:val="65DC39FD"/>
    <w:rsid w:val="66E7C8B8"/>
    <w:rsid w:val="673FCA8B"/>
    <w:rsid w:val="67F7A274"/>
    <w:rsid w:val="6EE7DDDC"/>
    <w:rsid w:val="74BD3009"/>
    <w:rsid w:val="77BE0AB8"/>
    <w:rsid w:val="77DFECE8"/>
    <w:rsid w:val="7BFF26A3"/>
    <w:rsid w:val="7D79721F"/>
    <w:rsid w:val="7DBF6472"/>
    <w:rsid w:val="7DFE98E6"/>
    <w:rsid w:val="7F7D58EC"/>
    <w:rsid w:val="7F7F8E34"/>
    <w:rsid w:val="7FAB2DFF"/>
    <w:rsid w:val="7FAF1C6F"/>
    <w:rsid w:val="7FD75B22"/>
    <w:rsid w:val="7FDC8327"/>
    <w:rsid w:val="9D4B5CFF"/>
    <w:rsid w:val="9FAC0CB6"/>
    <w:rsid w:val="AC0F5FE4"/>
    <w:rsid w:val="BA7B23C6"/>
    <w:rsid w:val="BF6B6069"/>
    <w:rsid w:val="C8F75AA1"/>
    <w:rsid w:val="CEBA3371"/>
    <w:rsid w:val="D7FF83C7"/>
    <w:rsid w:val="DDFDE97B"/>
    <w:rsid w:val="DF5A7337"/>
    <w:rsid w:val="DFB73DBC"/>
    <w:rsid w:val="E0F5B668"/>
    <w:rsid w:val="EEDFF64F"/>
    <w:rsid w:val="EFCEBABE"/>
    <w:rsid w:val="EFDDD199"/>
    <w:rsid w:val="EFE929A8"/>
    <w:rsid w:val="F27FE8BD"/>
    <w:rsid w:val="F53F5D5D"/>
    <w:rsid w:val="F6CB8237"/>
    <w:rsid w:val="F7DFECA8"/>
    <w:rsid w:val="FAB7D2DB"/>
    <w:rsid w:val="FC3F7026"/>
    <w:rsid w:val="FD6F011A"/>
    <w:rsid w:val="FDF75FA6"/>
    <w:rsid w:val="FE6E54EB"/>
    <w:rsid w:val="FE734873"/>
    <w:rsid w:val="FF79C2E0"/>
    <w:rsid w:val="FF7EFC06"/>
    <w:rsid w:val="FFD91E08"/>
    <w:rsid w:val="FFE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widowControl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  <w:lang w:eastAsia="en-US" w:bidi="en-US"/>
    </w:rPr>
  </w:style>
  <w:style w:type="paragraph" w:styleId="4">
    <w:name w:val="heading 2"/>
    <w:basedOn w:val="1"/>
    <w:next w:val="2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5">
    <w:name w:val="Body Text"/>
    <w:basedOn w:val="1"/>
    <w:qFormat/>
    <w:uiPriority w:val="99"/>
    <w:pPr>
      <w:spacing w:after="120" w:afterLines="0"/>
    </w:p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rFonts w:ascii="Arial" w:hAnsi="Arial" w:eastAsia="仿宋_GB2312"/>
      <w:sz w:val="18"/>
      <w:szCs w:val="18"/>
    </w:rPr>
  </w:style>
  <w:style w:type="character" w:customStyle="1" w:styleId="17">
    <w:name w:val="日期 Char"/>
    <w:basedOn w:val="12"/>
    <w:link w:val="6"/>
    <w:semiHidden/>
    <w:qFormat/>
    <w:uiPriority w:val="99"/>
    <w:rPr>
      <w:rFonts w:ascii="Arial" w:hAnsi="Arial" w:eastAsia="仿宋_GB2312"/>
      <w:sz w:val="32"/>
    </w:rPr>
  </w:style>
  <w:style w:type="paragraph" w:styleId="18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微软雅黑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281</Words>
  <Characters>1606</Characters>
  <Lines>13</Lines>
  <Paragraphs>3</Paragraphs>
  <TotalTime>1284</TotalTime>
  <ScaleCrop>false</ScaleCrop>
  <LinksUpToDate>false</LinksUpToDate>
  <CharactersWithSpaces>1884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2024-12-21T16:50:00Z</dcterms:created>
  <dc:creator>cw</dc:creator>
  <cp:lastModifiedBy>uos</cp:lastModifiedBy>
  <cp:lastPrinted>2025-12-11T15:15:27Z</cp:lastPrinted>
  <dcterms:modified xsi:type="dcterms:W3CDTF">2025-12-17T09:10:57Z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