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35" w:leftChars="0" w:hanging="435" w:hangingChars="136"/>
        <w:jc w:val="left"/>
        <w:rPr>
          <w:rFonts w:hint="eastAsia" w:ascii="方正黑体_GBK" w:hAnsi="方正黑体_GBK" w:eastAsia="方正黑体_GBK" w:cs="方正黑体_GBK"/>
          <w:sz w:val="32"/>
          <w:szCs w:val="32"/>
          <w:lang w:eastAsia="zh-CN"/>
        </w:rPr>
      </w:pPr>
      <w:bookmarkStart w:id="0" w:name="_GoBack"/>
      <w:r>
        <w:rPr>
          <w:rFonts w:hint="eastAsia" w:ascii="方正黑体_GBK" w:hAnsi="方正黑体_GBK" w:eastAsia="方正黑体_GBK" w:cs="方正黑体_GBK"/>
          <w:sz w:val="32"/>
          <w:szCs w:val="32"/>
          <w:lang w:val="zh-CN"/>
        </w:rPr>
        <w:t>京建发〔202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lang w:val="zh-CN"/>
        </w:rPr>
        <w:t>〕</w:t>
      </w:r>
      <w:r>
        <w:rPr>
          <w:rFonts w:hint="eastAsia" w:ascii="方正黑体_GBK" w:hAnsi="方正黑体_GBK" w:eastAsia="方正黑体_GBK" w:cs="方正黑体_GBK"/>
          <w:sz w:val="32"/>
          <w:szCs w:val="32"/>
          <w:lang w:val="en-US" w:eastAsia="zh-CN"/>
        </w:rPr>
        <w:t>431</w:t>
      </w:r>
      <w:r>
        <w:rPr>
          <w:rFonts w:hint="eastAsia" w:ascii="方正黑体_GBK" w:hAnsi="方正黑体_GBK" w:eastAsia="方正黑体_GBK" w:cs="方正黑体_GBK"/>
          <w:sz w:val="32"/>
          <w:szCs w:val="32"/>
          <w:lang w:val="zh-CN"/>
        </w:rPr>
        <w:t>号</w:t>
      </w:r>
      <w:r>
        <w:rPr>
          <w:rFonts w:hint="eastAsia" w:ascii="方正黑体_GBK" w:hAnsi="方正黑体_GBK" w:eastAsia="方正黑体_GBK" w:cs="方正黑体_GBK"/>
          <w:sz w:val="32"/>
          <w:szCs w:val="32"/>
        </w:rPr>
        <w:t>附件</w:t>
      </w:r>
    </w:p>
    <w:bookmarkEnd w:id="0"/>
    <w:p>
      <w:pPr>
        <w:suppressAutoHyphens/>
        <w:bidi w:val="0"/>
        <w:spacing w:line="580" w:lineRule="exact"/>
        <w:jc w:val="center"/>
        <w:rPr>
          <w:rFonts w:hint="eastAsia" w:ascii="方正小标宋简体" w:hAnsi="方正小标宋简体" w:eastAsia="方正小标宋简体" w:cs="方正小标宋简体"/>
          <w:bCs/>
          <w:sz w:val="36"/>
          <w:szCs w:val="36"/>
        </w:rPr>
      </w:pPr>
    </w:p>
    <w:p>
      <w:pPr>
        <w:suppressAutoHyphens/>
        <w:bidi w:val="0"/>
        <w:spacing w:line="580" w:lineRule="exact"/>
        <w:jc w:val="center"/>
        <w:rPr>
          <w:rFonts w:hint="default" w:ascii="方正小标宋简体" w:hAnsi="方正小标宋简体" w:eastAsia="方正小标宋简体" w:cs="方正小标宋简体"/>
          <w:bCs/>
          <w:spacing w:val="-34"/>
          <w:sz w:val="44"/>
          <w:szCs w:val="44"/>
          <w:lang w:val="en-US" w:eastAsia="zh-CN"/>
        </w:rPr>
      </w:pPr>
      <w:r>
        <w:rPr>
          <w:rFonts w:hint="eastAsia" w:ascii="方正小标宋简体" w:hAnsi="方正小标宋简体" w:eastAsia="方正小标宋简体" w:cs="方正小标宋简体"/>
          <w:bCs/>
          <w:spacing w:val="-34"/>
          <w:sz w:val="44"/>
          <w:szCs w:val="44"/>
        </w:rPr>
        <w:t>北京市住房城乡建设系统轻微违法不予处罚事项清单</w:t>
      </w:r>
      <w:r>
        <w:rPr>
          <w:rFonts w:hint="eastAsia" w:ascii="方正小标宋简体" w:hAnsi="方正小标宋简体" w:eastAsia="方正小标宋简体" w:cs="方正小标宋简体"/>
          <w:bCs/>
          <w:spacing w:val="-34"/>
          <w:sz w:val="44"/>
          <w:szCs w:val="44"/>
          <w:lang w:val="en-US" w:eastAsia="zh-CN"/>
        </w:rPr>
        <w:t>(第二批)</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956"/>
        <w:gridCol w:w="1621"/>
        <w:gridCol w:w="1683"/>
        <w:gridCol w:w="1812"/>
        <w:gridCol w:w="3508"/>
        <w:gridCol w:w="2389"/>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blHeader/>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裁量基准编码</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违法行为名称</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违法行为依据　　</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行政处罚依据</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适用条件</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管理措施</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C1663700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对企业在商品住宅销售中不按照规定发放《住宅质量保证书》和《住宅使用说明书》的行为进行处罚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《北京市建设工程质量条例》第五十五条第</w:t>
            </w:r>
            <w:r>
              <w:rPr>
                <w:rFonts w:hint="eastAsia" w:ascii="宋体" w:hAnsi="宋体" w:cs="宋体"/>
                <w:i w:val="0"/>
                <w:iCs w:val="0"/>
                <w:color w:val="000000"/>
                <w:kern w:val="0"/>
                <w:sz w:val="18"/>
                <w:szCs w:val="18"/>
                <w:u w:val="none"/>
                <w:lang w:val="en-US" w:eastAsia="zh-CN" w:bidi="ar"/>
              </w:rPr>
              <w:t>一款</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《北京市建设工程质量条例》第九十七条</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1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50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38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c>
          <w:tcPr>
            <w:tcW w:w="91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C1663000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对房地产估价机构违法设立房地产估价分支机构，新设立的分支机构不备案的行为进行处罚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《房地产估价机构管理办法》第十</w:t>
            </w:r>
            <w:r>
              <w:rPr>
                <w:rFonts w:hint="eastAsia" w:ascii="宋体" w:hAnsi="宋体" w:cs="宋体"/>
                <w:i w:val="0"/>
                <w:iCs w:val="0"/>
                <w:color w:val="000000"/>
                <w:kern w:val="0"/>
                <w:sz w:val="18"/>
                <w:szCs w:val="18"/>
                <w:u w:val="none"/>
                <w:lang w:val="en-US" w:eastAsia="zh-CN" w:bidi="ar"/>
              </w:rPr>
              <w:t>九、二十、二十一</w:t>
            </w:r>
            <w:r>
              <w:rPr>
                <w:rFonts w:hint="eastAsia" w:ascii="宋体" w:hAnsi="宋体" w:eastAsia="宋体" w:cs="宋体"/>
                <w:i w:val="0"/>
                <w:iCs w:val="0"/>
                <w:color w:val="000000"/>
                <w:kern w:val="0"/>
                <w:sz w:val="18"/>
                <w:szCs w:val="18"/>
                <w:u w:val="none"/>
                <w:lang w:val="en-US" w:eastAsia="zh-CN" w:bidi="ar"/>
              </w:rPr>
              <w:t>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《房地产估价机构管理办法》第</w:t>
            </w:r>
            <w:r>
              <w:rPr>
                <w:rFonts w:hint="eastAsia" w:ascii="宋体" w:hAnsi="宋体" w:cs="宋体"/>
                <w:i w:val="0"/>
                <w:iCs w:val="0"/>
                <w:color w:val="000000"/>
                <w:kern w:val="0"/>
                <w:sz w:val="18"/>
                <w:szCs w:val="18"/>
                <w:u w:val="none"/>
                <w:lang w:val="en-US" w:eastAsia="zh-CN" w:bidi="ar"/>
              </w:rPr>
              <w:t>四十八</w:t>
            </w:r>
            <w:r>
              <w:rPr>
                <w:rFonts w:hint="eastAsia" w:ascii="宋体" w:hAnsi="宋体" w:eastAsia="宋体" w:cs="宋体"/>
                <w:i w:val="0"/>
                <w:iCs w:val="0"/>
                <w:color w:val="000000"/>
                <w:kern w:val="0"/>
                <w:sz w:val="18"/>
                <w:szCs w:val="18"/>
                <w:u w:val="none"/>
                <w:lang w:val="en-US" w:eastAsia="zh-CN" w:bidi="ar"/>
              </w:rPr>
              <w:t>条第</w:t>
            </w:r>
            <w:r>
              <w:rPr>
                <w:rFonts w:hint="eastAsia" w:ascii="宋体" w:hAnsi="宋体" w:cs="宋体"/>
                <w:i w:val="0"/>
                <w:iCs w:val="0"/>
                <w:color w:val="000000"/>
                <w:kern w:val="0"/>
                <w:sz w:val="18"/>
                <w:szCs w:val="18"/>
                <w:u w:val="none"/>
                <w:lang w:val="en-US" w:eastAsia="zh-CN" w:bidi="ar"/>
              </w:rPr>
              <w:t>（一）、</w:t>
            </w:r>
            <w:r>
              <w:rPr>
                <w:rFonts w:hint="eastAsia" w:ascii="宋体" w:hAnsi="宋体" w:eastAsia="宋体" w:cs="宋体"/>
                <w:i w:val="0"/>
                <w:iCs w:val="0"/>
                <w:color w:val="000000"/>
                <w:kern w:val="0"/>
                <w:sz w:val="18"/>
                <w:szCs w:val="18"/>
                <w:u w:val="none"/>
                <w:lang w:val="en-US" w:eastAsia="zh-CN" w:bidi="ar"/>
              </w:rPr>
              <w:t>（二）</w:t>
            </w:r>
            <w:r>
              <w:rPr>
                <w:rFonts w:hint="eastAsia" w:ascii="宋体" w:hAnsi="宋体" w:cs="宋体"/>
                <w:i w:val="0"/>
                <w:iCs w:val="0"/>
                <w:color w:val="000000"/>
                <w:kern w:val="0"/>
                <w:sz w:val="18"/>
                <w:szCs w:val="18"/>
                <w:u w:val="none"/>
                <w:lang w:val="en-US" w:eastAsia="zh-CN" w:bidi="ar"/>
              </w:rPr>
              <w:t>、（三）</w:t>
            </w:r>
            <w:r>
              <w:rPr>
                <w:rFonts w:hint="eastAsia" w:ascii="宋体" w:hAnsi="宋体" w:eastAsia="宋体" w:cs="宋体"/>
                <w:i w:val="0"/>
                <w:iCs w:val="0"/>
                <w:color w:val="000000"/>
                <w:kern w:val="0"/>
                <w:sz w:val="18"/>
                <w:szCs w:val="18"/>
                <w:u w:val="none"/>
                <w:lang w:val="en-US" w:eastAsia="zh-CN" w:bidi="ar"/>
              </w:rPr>
              <w:t>项</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C1617500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对房地产经纪机构未按照规定报送相关信息的行为进行处罚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《北京市房屋租赁管理若干规定》第二十</w:t>
            </w:r>
            <w:r>
              <w:rPr>
                <w:rFonts w:hint="eastAsia" w:ascii="宋体" w:hAnsi="宋体" w:cs="宋体"/>
                <w:i w:val="0"/>
                <w:iCs w:val="0"/>
                <w:color w:val="000000"/>
                <w:kern w:val="0"/>
                <w:sz w:val="18"/>
                <w:szCs w:val="18"/>
                <w:u w:val="none"/>
                <w:lang w:val="en-US" w:eastAsia="zh-CN" w:bidi="ar"/>
              </w:rPr>
              <w:t>五</w:t>
            </w:r>
            <w:r>
              <w:rPr>
                <w:rFonts w:hint="eastAsia" w:ascii="宋体" w:hAnsi="宋体" w:eastAsia="宋体" w:cs="宋体"/>
                <w:i w:val="0"/>
                <w:iCs w:val="0"/>
                <w:color w:val="000000"/>
                <w:kern w:val="0"/>
                <w:sz w:val="18"/>
                <w:szCs w:val="18"/>
                <w:u w:val="none"/>
                <w:lang w:val="en-US" w:eastAsia="zh-CN" w:bidi="ar"/>
              </w:rPr>
              <w:t>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《北京市房屋租赁管理若干规定》第三十</w:t>
            </w:r>
            <w:r>
              <w:rPr>
                <w:rFonts w:hint="eastAsia" w:ascii="宋体" w:hAnsi="宋体" w:cs="宋体"/>
                <w:i w:val="0"/>
                <w:iCs w:val="0"/>
                <w:color w:val="000000"/>
                <w:kern w:val="0"/>
                <w:sz w:val="18"/>
                <w:szCs w:val="18"/>
                <w:u w:val="none"/>
                <w:lang w:val="en-US" w:eastAsia="zh-CN" w:bidi="ar"/>
              </w:rPr>
              <w:t>六</w:t>
            </w:r>
            <w:r>
              <w:rPr>
                <w:rFonts w:hint="eastAsia" w:ascii="宋体" w:hAnsi="宋体" w:eastAsia="宋体" w:cs="宋体"/>
                <w:i w:val="0"/>
                <w:iCs w:val="0"/>
                <w:color w:val="000000"/>
                <w:kern w:val="0"/>
                <w:sz w:val="18"/>
                <w:szCs w:val="18"/>
                <w:u w:val="none"/>
                <w:lang w:val="en-US" w:eastAsia="zh-CN" w:bidi="ar"/>
              </w:rPr>
              <w:t>条第（</w:t>
            </w:r>
            <w:r>
              <w:rPr>
                <w:rFonts w:hint="eastAsia" w:ascii="宋体" w:hAnsi="宋体" w:cs="宋体"/>
                <w:i w:val="0"/>
                <w:iCs w:val="0"/>
                <w:color w:val="000000"/>
                <w:kern w:val="0"/>
                <w:sz w:val="18"/>
                <w:szCs w:val="18"/>
                <w:u w:val="none"/>
                <w:lang w:val="en-US" w:eastAsia="zh-CN" w:bidi="ar"/>
              </w:rPr>
              <w:t>三</w:t>
            </w:r>
            <w:r>
              <w:rPr>
                <w:rFonts w:hint="eastAsia" w:ascii="宋体" w:hAnsi="宋体" w:eastAsia="宋体" w:cs="宋体"/>
                <w:i w:val="0"/>
                <w:iCs w:val="0"/>
                <w:color w:val="000000"/>
                <w:kern w:val="0"/>
                <w:sz w:val="18"/>
                <w:szCs w:val="18"/>
                <w:u w:val="none"/>
                <w:lang w:val="en-US" w:eastAsia="zh-CN" w:bidi="ar"/>
              </w:rPr>
              <w:t>）项</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C1671200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对住房租赁企业、房地产经纪机构未按规定备案的行为进行处罚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《北京市住房租赁条例》第</w:t>
            </w:r>
            <w:r>
              <w:rPr>
                <w:rFonts w:hint="eastAsia" w:ascii="宋体" w:hAnsi="宋体" w:cs="宋体"/>
                <w:i w:val="0"/>
                <w:iCs w:val="0"/>
                <w:color w:val="000000"/>
                <w:kern w:val="0"/>
                <w:sz w:val="18"/>
                <w:szCs w:val="18"/>
                <w:u w:val="none"/>
                <w:lang w:val="en-US" w:eastAsia="zh-CN" w:bidi="ar"/>
              </w:rPr>
              <w:t>二十七</w:t>
            </w:r>
            <w:r>
              <w:rPr>
                <w:rFonts w:hint="eastAsia" w:ascii="宋体" w:hAnsi="宋体" w:eastAsia="宋体" w:cs="宋体"/>
                <w:i w:val="0"/>
                <w:iCs w:val="0"/>
                <w:color w:val="000000"/>
                <w:kern w:val="0"/>
                <w:sz w:val="18"/>
                <w:szCs w:val="18"/>
                <w:u w:val="none"/>
                <w:lang w:val="en-US" w:eastAsia="zh-CN" w:bidi="ar"/>
              </w:rPr>
              <w:t>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第</w:t>
            </w:r>
            <w:r>
              <w:rPr>
                <w:rFonts w:hint="eastAsia" w:ascii="宋体" w:hAnsi="宋体" w:cs="宋体"/>
                <w:i w:val="0"/>
                <w:iCs w:val="0"/>
                <w:color w:val="000000"/>
                <w:kern w:val="0"/>
                <w:sz w:val="18"/>
                <w:szCs w:val="18"/>
                <w:u w:val="none"/>
                <w:lang w:val="en-US" w:eastAsia="zh-CN" w:bidi="ar"/>
              </w:rPr>
              <w:t>四十条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《北京市住房租赁条例》第</w:t>
            </w:r>
            <w:r>
              <w:rPr>
                <w:rFonts w:hint="eastAsia" w:ascii="宋体" w:hAnsi="宋体" w:cs="宋体"/>
                <w:i w:val="0"/>
                <w:iCs w:val="0"/>
                <w:color w:val="000000"/>
                <w:kern w:val="0"/>
                <w:sz w:val="18"/>
                <w:szCs w:val="18"/>
                <w:u w:val="none"/>
                <w:lang w:val="en-US" w:eastAsia="zh-CN" w:bidi="ar"/>
              </w:rPr>
              <w:t>六</w:t>
            </w:r>
            <w:r>
              <w:rPr>
                <w:rFonts w:hint="eastAsia" w:ascii="宋体" w:hAnsi="宋体" w:eastAsia="宋体" w:cs="宋体"/>
                <w:i w:val="0"/>
                <w:iCs w:val="0"/>
                <w:color w:val="000000"/>
                <w:kern w:val="0"/>
                <w:sz w:val="18"/>
                <w:szCs w:val="18"/>
                <w:u w:val="none"/>
                <w:lang w:val="en-US" w:eastAsia="zh-CN" w:bidi="ar"/>
              </w:rPr>
              <w:t>十七条</w:t>
            </w:r>
            <w:r>
              <w:rPr>
                <w:rFonts w:hint="eastAsia" w:ascii="宋体" w:hAnsi="宋体" w:cs="宋体"/>
                <w:i w:val="0"/>
                <w:iCs w:val="0"/>
                <w:color w:val="000000"/>
                <w:kern w:val="0"/>
                <w:sz w:val="18"/>
                <w:szCs w:val="18"/>
                <w:u w:val="none"/>
                <w:lang w:val="en-US" w:eastAsia="zh-CN" w:bidi="ar"/>
              </w:rPr>
              <w:t>第一款第一项</w:t>
            </w:r>
            <w:r>
              <w:rPr>
                <w:rFonts w:hint="eastAsia" w:ascii="宋体" w:hAnsi="宋体" w:eastAsia="宋体" w:cs="宋体"/>
                <w:i w:val="0"/>
                <w:iCs w:val="0"/>
                <w:color w:val="000000"/>
                <w:kern w:val="0"/>
                <w:sz w:val="18"/>
                <w:szCs w:val="18"/>
                <w:u w:val="none"/>
                <w:lang w:val="en-US" w:eastAsia="zh-CN" w:bidi="ar"/>
              </w:rPr>
              <w:t>、第</w:t>
            </w:r>
            <w:r>
              <w:rPr>
                <w:rFonts w:hint="eastAsia" w:ascii="宋体" w:hAnsi="宋体" w:cs="宋体"/>
                <w:i w:val="0"/>
                <w:iCs w:val="0"/>
                <w:color w:val="000000"/>
                <w:kern w:val="0"/>
                <w:sz w:val="18"/>
                <w:szCs w:val="18"/>
                <w:u w:val="none"/>
                <w:lang w:val="en-US" w:eastAsia="zh-CN" w:bidi="ar"/>
              </w:rPr>
              <w:t>七</w:t>
            </w:r>
            <w:r>
              <w:rPr>
                <w:rFonts w:hint="eastAsia" w:ascii="宋体" w:hAnsi="宋体" w:eastAsia="宋体" w:cs="宋体"/>
                <w:i w:val="0"/>
                <w:iCs w:val="0"/>
                <w:color w:val="000000"/>
                <w:kern w:val="0"/>
                <w:sz w:val="18"/>
                <w:szCs w:val="18"/>
                <w:u w:val="none"/>
                <w:lang w:val="en-US" w:eastAsia="zh-CN" w:bidi="ar"/>
              </w:rPr>
              <w:t>十</w:t>
            </w:r>
            <w:r>
              <w:rPr>
                <w:rFonts w:hint="eastAsia" w:ascii="宋体" w:hAnsi="宋体" w:cs="宋体"/>
                <w:i w:val="0"/>
                <w:iCs w:val="0"/>
                <w:color w:val="000000"/>
                <w:kern w:val="0"/>
                <w:sz w:val="18"/>
                <w:szCs w:val="18"/>
                <w:u w:val="none"/>
                <w:lang w:val="en-US" w:eastAsia="zh-CN" w:bidi="ar"/>
              </w:rPr>
              <w:t>一</w:t>
            </w:r>
            <w:r>
              <w:rPr>
                <w:rFonts w:hint="eastAsia" w:ascii="宋体" w:hAnsi="宋体" w:eastAsia="宋体" w:cs="宋体"/>
                <w:i w:val="0"/>
                <w:iCs w:val="0"/>
                <w:color w:val="000000"/>
                <w:kern w:val="0"/>
                <w:sz w:val="18"/>
                <w:szCs w:val="18"/>
                <w:u w:val="none"/>
                <w:lang w:val="en-US" w:eastAsia="zh-CN" w:bidi="ar"/>
              </w:rPr>
              <w:t>条</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C1660100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对生产经营单位未按照要求使用生产安全事故隐患排查治理信息系统，如实记录隐患排查治理情况的行为进行处罚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《北京市生产安全事故隐患排查治理办法》第</w:t>
            </w:r>
            <w:r>
              <w:rPr>
                <w:rFonts w:hint="eastAsia" w:ascii="宋体" w:hAnsi="宋体" w:cs="宋体"/>
                <w:i w:val="0"/>
                <w:iCs w:val="0"/>
                <w:color w:val="000000"/>
                <w:kern w:val="0"/>
                <w:sz w:val="18"/>
                <w:szCs w:val="18"/>
                <w:u w:val="none"/>
                <w:lang w:val="en-US" w:eastAsia="zh-CN" w:bidi="ar"/>
              </w:rPr>
              <w:t>十六</w:t>
            </w:r>
            <w:r>
              <w:rPr>
                <w:rFonts w:hint="eastAsia" w:ascii="宋体" w:hAnsi="宋体" w:eastAsia="宋体" w:cs="宋体"/>
                <w:i w:val="0"/>
                <w:iCs w:val="0"/>
                <w:color w:val="000000"/>
                <w:kern w:val="0"/>
                <w:sz w:val="18"/>
                <w:szCs w:val="18"/>
                <w:u w:val="none"/>
                <w:lang w:val="en-US" w:eastAsia="zh-CN" w:bidi="ar"/>
              </w:rPr>
              <w:t>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《北京市生产安全事故隐患排查治理办法》第</w:t>
            </w:r>
            <w:r>
              <w:rPr>
                <w:rFonts w:hint="eastAsia" w:ascii="宋体" w:hAnsi="宋体" w:cs="宋体"/>
                <w:i w:val="0"/>
                <w:iCs w:val="0"/>
                <w:color w:val="000000"/>
                <w:kern w:val="0"/>
                <w:sz w:val="18"/>
                <w:szCs w:val="18"/>
                <w:u w:val="none"/>
                <w:lang w:val="en-US" w:eastAsia="zh-CN" w:bidi="ar"/>
              </w:rPr>
              <w:t>三十</w:t>
            </w:r>
            <w:r>
              <w:rPr>
                <w:rFonts w:hint="eastAsia" w:ascii="宋体" w:hAnsi="宋体" w:eastAsia="宋体" w:cs="宋体"/>
                <w:i w:val="0"/>
                <w:iCs w:val="0"/>
                <w:color w:val="000000"/>
                <w:kern w:val="0"/>
                <w:sz w:val="18"/>
                <w:szCs w:val="18"/>
                <w:u w:val="none"/>
                <w:lang w:val="en-US" w:eastAsia="zh-CN" w:bidi="ar"/>
              </w:rPr>
              <w:t>条</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C1666500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对生产经营单位未定期通报事故隐患排查治理情况，或者未公示重大事故隐患的危害程度、影响范围和应急措施的行为进行处罚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《北京市生产安全事故隐患排查治理办法》第十</w:t>
            </w:r>
            <w:r>
              <w:rPr>
                <w:rFonts w:hint="eastAsia" w:ascii="宋体" w:hAnsi="宋体" w:cs="宋体"/>
                <w:i w:val="0"/>
                <w:iCs w:val="0"/>
                <w:color w:val="000000"/>
                <w:kern w:val="0"/>
                <w:sz w:val="18"/>
                <w:szCs w:val="18"/>
                <w:u w:val="none"/>
                <w:lang w:val="en-US" w:eastAsia="zh-CN" w:bidi="ar"/>
              </w:rPr>
              <w:t>一</w:t>
            </w:r>
            <w:r>
              <w:rPr>
                <w:rFonts w:hint="eastAsia" w:ascii="宋体" w:hAnsi="宋体" w:eastAsia="宋体" w:cs="宋体"/>
                <w:i w:val="0"/>
                <w:iCs w:val="0"/>
                <w:color w:val="000000"/>
                <w:kern w:val="0"/>
                <w:sz w:val="18"/>
                <w:szCs w:val="18"/>
                <w:u w:val="none"/>
                <w:lang w:val="en-US" w:eastAsia="zh-CN" w:bidi="ar"/>
              </w:rPr>
              <w:t>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《北京市生产安全事故隐患排查治理办法》第</w:t>
            </w:r>
            <w:r>
              <w:rPr>
                <w:rFonts w:hint="eastAsia" w:ascii="宋体" w:hAnsi="宋体" w:cs="宋体"/>
                <w:i w:val="0"/>
                <w:iCs w:val="0"/>
                <w:color w:val="000000"/>
                <w:kern w:val="0"/>
                <w:sz w:val="18"/>
                <w:szCs w:val="18"/>
                <w:u w:val="none"/>
                <w:lang w:val="en-US" w:eastAsia="zh-CN" w:bidi="ar"/>
              </w:rPr>
              <w:t>二十八</w:t>
            </w:r>
            <w:r>
              <w:rPr>
                <w:rFonts w:hint="eastAsia" w:ascii="宋体" w:hAnsi="宋体" w:eastAsia="宋体" w:cs="宋体"/>
                <w:i w:val="0"/>
                <w:iCs w:val="0"/>
                <w:color w:val="000000"/>
                <w:kern w:val="0"/>
                <w:sz w:val="18"/>
                <w:szCs w:val="18"/>
                <w:u w:val="none"/>
                <w:lang w:val="en-US" w:eastAsia="zh-CN" w:bidi="ar"/>
              </w:rPr>
              <w:t>条</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C1629600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对工程造价咨询企业跨省、自治区、直辖市承接工程造价咨询业务逾期不备案的行为进行处罚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《工程造价咨询企业管理办法》第</w:t>
            </w:r>
            <w:r>
              <w:rPr>
                <w:rFonts w:hint="eastAsia" w:ascii="宋体" w:hAnsi="宋体" w:cs="宋体"/>
                <w:i w:val="0"/>
                <w:iCs w:val="0"/>
                <w:color w:val="000000"/>
                <w:kern w:val="0"/>
                <w:sz w:val="18"/>
                <w:szCs w:val="18"/>
                <w:u w:val="none"/>
                <w:lang w:val="en-US" w:eastAsia="zh-CN" w:bidi="ar"/>
              </w:rPr>
              <w:t>二十三</w:t>
            </w:r>
            <w:r>
              <w:rPr>
                <w:rFonts w:hint="eastAsia" w:ascii="宋体" w:hAnsi="宋体" w:eastAsia="宋体" w:cs="宋体"/>
                <w:i w:val="0"/>
                <w:iCs w:val="0"/>
                <w:color w:val="000000"/>
                <w:kern w:val="0"/>
                <w:sz w:val="18"/>
                <w:szCs w:val="18"/>
                <w:u w:val="none"/>
                <w:lang w:val="en-US" w:eastAsia="zh-CN" w:bidi="ar"/>
              </w:rPr>
              <w:t>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《工程造价咨询企业管理办法》第</w:t>
            </w:r>
            <w:r>
              <w:rPr>
                <w:rFonts w:hint="eastAsia" w:ascii="宋体" w:hAnsi="宋体" w:cs="宋体"/>
                <w:i w:val="0"/>
                <w:iCs w:val="0"/>
                <w:color w:val="000000"/>
                <w:kern w:val="0"/>
                <w:sz w:val="18"/>
                <w:szCs w:val="18"/>
                <w:u w:val="none"/>
                <w:lang w:val="en-US" w:eastAsia="zh-CN" w:bidi="ar"/>
              </w:rPr>
              <w:t>三十八</w:t>
            </w:r>
            <w:r>
              <w:rPr>
                <w:rFonts w:hint="eastAsia" w:ascii="宋体" w:hAnsi="宋体" w:eastAsia="宋体" w:cs="宋体"/>
                <w:i w:val="0"/>
                <w:iCs w:val="0"/>
                <w:color w:val="000000"/>
                <w:kern w:val="0"/>
                <w:sz w:val="18"/>
                <w:szCs w:val="18"/>
                <w:u w:val="none"/>
                <w:lang w:val="en-US" w:eastAsia="zh-CN" w:bidi="ar"/>
              </w:rPr>
              <w:t>条</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C1675300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对建设单位未按照规定将噪声污染防治费用列入工程造价的行为进行处罚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《中华人民共和国噪声污染防治法》第</w:t>
            </w:r>
            <w:r>
              <w:rPr>
                <w:rFonts w:hint="eastAsia" w:ascii="宋体" w:hAnsi="宋体" w:cs="宋体"/>
                <w:i w:val="0"/>
                <w:iCs w:val="0"/>
                <w:color w:val="000000"/>
                <w:kern w:val="0"/>
                <w:sz w:val="18"/>
                <w:szCs w:val="18"/>
                <w:u w:val="none"/>
                <w:lang w:val="en-US" w:eastAsia="zh-CN" w:bidi="ar"/>
              </w:rPr>
              <w:t>四十条第一款</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《中华人民共和国噪声污染防治法》第</w:t>
            </w:r>
            <w:r>
              <w:rPr>
                <w:rFonts w:hint="eastAsia" w:ascii="宋体" w:hAnsi="宋体" w:cs="宋体"/>
                <w:i w:val="0"/>
                <w:iCs w:val="0"/>
                <w:color w:val="000000"/>
                <w:kern w:val="0"/>
                <w:sz w:val="18"/>
                <w:szCs w:val="18"/>
                <w:u w:val="none"/>
                <w:lang w:val="en-US" w:eastAsia="zh-CN" w:bidi="ar"/>
              </w:rPr>
              <w:t>七十八</w:t>
            </w:r>
            <w:r>
              <w:rPr>
                <w:rFonts w:hint="eastAsia" w:ascii="宋体" w:hAnsi="宋体" w:eastAsia="宋体" w:cs="宋体"/>
                <w:i w:val="0"/>
                <w:iCs w:val="0"/>
                <w:color w:val="000000"/>
                <w:kern w:val="0"/>
                <w:sz w:val="18"/>
                <w:szCs w:val="18"/>
                <w:u w:val="none"/>
                <w:lang w:val="en-US" w:eastAsia="zh-CN" w:bidi="ar"/>
              </w:rPr>
              <w:t>条</w:t>
            </w:r>
            <w:r>
              <w:rPr>
                <w:rFonts w:hint="eastAsia" w:ascii="宋体" w:hAnsi="宋体" w:cs="宋体"/>
                <w:i w:val="0"/>
                <w:iCs w:val="0"/>
                <w:color w:val="000000"/>
                <w:kern w:val="0"/>
                <w:sz w:val="18"/>
                <w:szCs w:val="18"/>
                <w:u w:val="none"/>
                <w:lang w:val="en-US" w:eastAsia="zh-CN" w:bidi="ar"/>
              </w:rPr>
              <w:t>第一款第一项</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C1671100</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对住房租赁企业、以自有住房从事住房租赁业务的企业、房地产经纪机构未按规定提交登记备案的行为进行处罚</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《北京市住房租赁条例》第</w:t>
            </w:r>
            <w:r>
              <w:rPr>
                <w:rFonts w:hint="eastAsia" w:ascii="宋体" w:hAnsi="宋体" w:cs="宋体"/>
                <w:i w:val="0"/>
                <w:iCs w:val="0"/>
                <w:color w:val="000000"/>
                <w:kern w:val="0"/>
                <w:sz w:val="18"/>
                <w:szCs w:val="18"/>
                <w:u w:val="none"/>
                <w:lang w:val="en-US" w:eastAsia="zh-CN" w:bidi="ar"/>
              </w:rPr>
              <w:t>三十五条、第四十七</w:t>
            </w:r>
            <w:r>
              <w:rPr>
                <w:rFonts w:hint="eastAsia" w:ascii="宋体" w:hAnsi="宋体" w:eastAsia="宋体" w:cs="宋体"/>
                <w:i w:val="0"/>
                <w:iCs w:val="0"/>
                <w:color w:val="000000"/>
                <w:kern w:val="0"/>
                <w:sz w:val="18"/>
                <w:szCs w:val="18"/>
                <w:u w:val="none"/>
                <w:lang w:val="en-US" w:eastAsia="zh-CN" w:bidi="ar"/>
              </w:rPr>
              <w:t>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《北京市住房租赁条例》第</w:t>
            </w:r>
            <w:r>
              <w:rPr>
                <w:rFonts w:hint="eastAsia" w:ascii="宋体" w:hAnsi="宋体" w:cs="宋体"/>
                <w:i w:val="0"/>
                <w:iCs w:val="0"/>
                <w:color w:val="000000"/>
                <w:kern w:val="0"/>
                <w:sz w:val="18"/>
                <w:szCs w:val="18"/>
                <w:u w:val="none"/>
                <w:lang w:val="en-US" w:eastAsia="zh-CN" w:bidi="ar"/>
              </w:rPr>
              <w:t>六十九</w:t>
            </w:r>
            <w:r>
              <w:rPr>
                <w:rFonts w:hint="eastAsia" w:ascii="宋体" w:hAnsi="宋体" w:eastAsia="宋体" w:cs="宋体"/>
                <w:i w:val="0"/>
                <w:iCs w:val="0"/>
                <w:color w:val="000000"/>
                <w:kern w:val="0"/>
                <w:sz w:val="18"/>
                <w:szCs w:val="18"/>
                <w:u w:val="none"/>
                <w:lang w:val="en-US" w:eastAsia="zh-CN" w:bidi="ar"/>
              </w:rPr>
              <w:t>条</w:t>
            </w:r>
            <w:r>
              <w:rPr>
                <w:rFonts w:hint="eastAsia" w:ascii="宋体" w:hAnsi="宋体" w:cs="宋体"/>
                <w:i w:val="0"/>
                <w:iCs w:val="0"/>
                <w:color w:val="000000"/>
                <w:kern w:val="0"/>
                <w:sz w:val="18"/>
                <w:szCs w:val="18"/>
                <w:u w:val="none"/>
                <w:lang w:val="en-US" w:eastAsia="zh-CN" w:bidi="ar"/>
              </w:rPr>
              <w:t>第一款第三项、第七十一条</w:t>
            </w:r>
          </w:p>
        </w:tc>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C1667000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对未严格按照建筑业安全作业规程或者标准进行施工，造成事故隐患的行为进行处罚</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《北京市建设工程施工现场管理办法》第</w:t>
            </w:r>
            <w:r>
              <w:rPr>
                <w:rFonts w:hint="eastAsia" w:ascii="宋体" w:hAnsi="宋体" w:cs="宋体"/>
                <w:i w:val="0"/>
                <w:iCs w:val="0"/>
                <w:color w:val="000000"/>
                <w:kern w:val="0"/>
                <w:sz w:val="18"/>
                <w:szCs w:val="18"/>
                <w:u w:val="none"/>
                <w:lang w:val="en-US" w:eastAsia="zh-CN" w:bidi="ar"/>
              </w:rPr>
              <w:t>十三</w:t>
            </w:r>
            <w:r>
              <w:rPr>
                <w:rFonts w:hint="eastAsia" w:ascii="宋体" w:hAnsi="宋体" w:eastAsia="宋体" w:cs="宋体"/>
                <w:i w:val="0"/>
                <w:iCs w:val="0"/>
                <w:color w:val="000000"/>
                <w:kern w:val="0"/>
                <w:sz w:val="18"/>
                <w:szCs w:val="18"/>
                <w:u w:val="none"/>
                <w:lang w:val="en-US" w:eastAsia="zh-CN" w:bidi="ar"/>
              </w:rPr>
              <w:t>条</w:t>
            </w:r>
            <w:r>
              <w:rPr>
                <w:rFonts w:hint="eastAsia" w:ascii="宋体" w:hAnsi="宋体" w:cs="宋体"/>
                <w:i w:val="0"/>
                <w:iCs w:val="0"/>
                <w:color w:val="000000"/>
                <w:kern w:val="0"/>
                <w:sz w:val="18"/>
                <w:szCs w:val="18"/>
                <w:u w:val="none"/>
                <w:lang w:val="en-US" w:eastAsia="zh-CN" w:bidi="ar"/>
              </w:rPr>
              <w:t>第一款</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《中华人民共和国建筑法》第五十一条；</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《北京市建设工程施工现场管理办法》第</w:t>
            </w:r>
            <w:r>
              <w:rPr>
                <w:rFonts w:hint="eastAsia" w:ascii="宋体" w:hAnsi="宋体" w:cs="宋体"/>
                <w:i w:val="0"/>
                <w:iCs w:val="0"/>
                <w:color w:val="000000"/>
                <w:kern w:val="0"/>
                <w:sz w:val="18"/>
                <w:szCs w:val="18"/>
                <w:u w:val="none"/>
                <w:lang w:val="en-US" w:eastAsia="zh-CN" w:bidi="ar"/>
              </w:rPr>
              <w:t>三十一</w:t>
            </w:r>
            <w:r>
              <w:rPr>
                <w:rFonts w:hint="eastAsia" w:ascii="宋体" w:hAnsi="宋体" w:eastAsia="宋体" w:cs="宋体"/>
                <w:i w:val="0"/>
                <w:iCs w:val="0"/>
                <w:color w:val="000000"/>
                <w:kern w:val="0"/>
                <w:sz w:val="18"/>
                <w:szCs w:val="18"/>
                <w:u w:val="none"/>
                <w:lang w:val="en-US" w:eastAsia="zh-CN" w:bidi="ar"/>
              </w:rPr>
              <w:t>条；                 《中华人民共和国建筑法》第七十一条</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2.危害后果轻微，未发现违反强制性条文，不涉及生产安全重大事故隐患</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2"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C1619000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对建设单位未按时告知发证机关有关变更事项的行为进行处罚</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《北京市建筑工程施工许可办法》</w:t>
            </w:r>
            <w:r>
              <w:rPr>
                <w:rFonts w:hint="eastAsia" w:ascii="宋体" w:hAnsi="宋体" w:cs="宋体"/>
                <w:i w:val="0"/>
                <w:iCs w:val="0"/>
                <w:color w:val="000000"/>
                <w:kern w:val="0"/>
                <w:sz w:val="18"/>
                <w:szCs w:val="18"/>
                <w:u w:val="none"/>
                <w:lang w:val="en-US" w:eastAsia="zh-CN" w:bidi="ar"/>
              </w:rPr>
              <w:t>第十二条第二款</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《北京市建筑工程施工许可办法》第二十条</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C1654900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对施工单位未建立一线作业人员教育培训制度，或者未按照教育培训制度定期对一线作业人员开展职业技能培训的行为进行处罚</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北京市建设工程质量条例</w:t>
            </w:r>
            <w:r>
              <w:rPr>
                <w:rFonts w:hint="eastAsia" w:ascii="宋体" w:hAnsi="宋体" w:cs="宋体"/>
                <w:i w:val="0"/>
                <w:iCs w:val="0"/>
                <w:color w:val="000000"/>
                <w:kern w:val="0"/>
                <w:sz w:val="18"/>
                <w:szCs w:val="18"/>
                <w:u w:val="none"/>
                <w:lang w:val="en-US" w:eastAsia="zh-CN" w:bidi="ar"/>
              </w:rPr>
              <w:t>》第二十二条</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北京市建设工程质量条例</w:t>
            </w:r>
            <w:r>
              <w:rPr>
                <w:rFonts w:hint="eastAsia" w:ascii="宋体" w:hAnsi="宋体" w:cs="宋体"/>
                <w:i w:val="0"/>
                <w:iCs w:val="0"/>
                <w:color w:val="000000"/>
                <w:kern w:val="0"/>
                <w:sz w:val="18"/>
                <w:szCs w:val="18"/>
                <w:u w:val="none"/>
                <w:lang w:val="en-US" w:eastAsia="zh-CN" w:bidi="ar"/>
              </w:rPr>
              <w:t>》第八十一条第五项</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C1670500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对施工单位未在施工现场公示建筑垃圾处理方案概要和建设单位的建筑垃圾消纳备案情况信息的行为进行处罚</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《北京市建筑垃圾处置管理规定》第二十一条</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《北京市建筑垃圾处置管理规定》第四十二条</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同时满足以下条件：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1.初次违法，当事人未因同类违法行为受到过市、区住建（房管）部门责令改正或行政处罚的记录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2.危害后果轻微，违法行为社会影响较小、危害范围较小、危害后果易于消除且已及时改正，未对公民、法人或者其他组织的合法权益或者社会公众、社会正常生产生活秩序等造成影响或造成的影响显著轻微；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3.及时改正，当事人主动改正违法行为，或者经责令改正后，现场立即改正或者在规定时间内按照要求及时改正；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4.配合执法调查。</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通过说服教育、警示告诫、指导约谈等措施教育、引导、督促当事人依法依规开展相关活动。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说明</w:t>
            </w:r>
          </w:p>
        </w:tc>
        <w:tc>
          <w:tcPr>
            <w:tcW w:w="128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1.本清单1-13项列举的违法行为，符合初次违法且危害后果轻微并及时改正的，可以不予行政处罚；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依据《中华人民共和国行政处罚法》的规定，本市住建系统裁量基准的每一项处罚职权都明确了该类违法行为依法适用不予行政处罚的情形。违法行为情节轻微及时改正，没有造成危害后果，依法不予行政处罚。各执法单位要结合案件情节，依法对符合法定标准的案件合理的适用不予处罚。《中华人民共和国行政处罚法》中规定的其他不予行政处罚情形，从其规定。</w:t>
            </w:r>
          </w:p>
        </w:tc>
      </w:tr>
    </w:tbl>
    <w:p>
      <w:pPr>
        <w:spacing w:line="560" w:lineRule="exact"/>
        <w:ind w:left="2400" w:hanging="2400" w:hangingChars="600"/>
        <w:rPr>
          <w:rFonts w:hint="eastAsia" w:ascii="仿宋_GB2312" w:eastAsia="仿宋_GB2312"/>
          <w:color w:val="FF0000"/>
          <w:spacing w:val="-20"/>
          <w:kern w:val="32"/>
          <w:sz w:val="44"/>
          <w:szCs w:val="44"/>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sectPr>
          <w:headerReference r:id="rId3" w:type="default"/>
          <w:footerReference r:id="rId4" w:type="default"/>
          <w:pgSz w:w="16838" w:h="11906" w:orient="landscape"/>
          <w:pgMar w:top="1588" w:right="1871" w:bottom="1474" w:left="1701" w:header="851" w:footer="1588" w:gutter="0"/>
          <w:pgNumType w:fmt="numberInDash"/>
          <w:cols w:space="720" w:num="1"/>
          <w:docGrid w:linePitch="312" w:charSpace="0"/>
        </w:sect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pStyle w:val="28"/>
        <w:keepNext w:val="0"/>
        <w:keepLines w:val="0"/>
        <w:pageBreakBefore w:val="0"/>
        <w:widowControl w:val="0"/>
        <w:tabs>
          <w:tab w:val="left" w:pos="2880"/>
          <w:tab w:val="left" w:pos="3240"/>
          <w:tab w:val="left" w:pos="3420"/>
          <w:tab w:val="left" w:pos="3960"/>
          <w:tab w:val="left" w:pos="4860"/>
        </w:tabs>
        <w:kinsoku/>
        <w:wordWrap/>
        <w:overflowPunct/>
        <w:topLinePunct w:val="0"/>
        <w:autoSpaceDE w:val="0"/>
        <w:autoSpaceDN w:val="0"/>
        <w:bidi w:val="0"/>
        <w:adjustRightInd w:val="0"/>
        <w:snapToGrid w:val="0"/>
        <w:spacing w:line="540" w:lineRule="exact"/>
        <w:jc w:val="both"/>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（此件公开</w:t>
      </w:r>
      <w:r>
        <w:rPr>
          <w:rFonts w:hint="eastAsia" w:ascii="仿宋_GB2312" w:eastAsia="仿宋_GB2312"/>
          <w:color w:val="000000"/>
          <w:sz w:val="32"/>
          <w:szCs w:val="32"/>
          <w:lang w:eastAsia="zh-CN"/>
        </w:rPr>
        <w:t>发布</w:t>
      </w:r>
      <w:r>
        <w:rPr>
          <w:rFonts w:hint="eastAsia" w:ascii="仿宋_GB2312" w:hAnsi="宋体" w:eastAsia="仿宋_GB2312"/>
          <w:color w:val="000000"/>
          <w:sz w:val="32"/>
          <w:szCs w:val="32"/>
        </w:rPr>
        <w:t>）</w:t>
      </w:r>
    </w:p>
    <w:p>
      <w:pPr>
        <w:tabs>
          <w:tab w:val="left" w:pos="7920"/>
          <w:tab w:val="left" w:pos="8100"/>
          <w:tab w:val="left" w:pos="8280"/>
        </w:tabs>
        <w:spacing w:line="560" w:lineRule="exact"/>
        <w:ind w:firstLine="315" w:firstLineChars="150"/>
        <w:rPr>
          <w:rFonts w:hint="eastAsia" w:ascii="仿宋_GB2312" w:eastAsia="仿宋_GB2312"/>
          <w:kern w:val="32"/>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40005</wp:posOffset>
                </wp:positionV>
                <wp:extent cx="5548630" cy="0"/>
                <wp:effectExtent l="0" t="0" r="0" b="0"/>
                <wp:wrapNone/>
                <wp:docPr id="5" name="直线 535"/>
                <wp:cNvGraphicFramePr/>
                <a:graphic xmlns:a="http://schemas.openxmlformats.org/drawingml/2006/main">
                  <a:graphicData uri="http://schemas.microsoft.com/office/word/2010/wordprocessingShape">
                    <wps:wsp>
                      <wps:cNvCnPr/>
                      <wps:spPr>
                        <a:xfrm>
                          <a:off x="0" y="0"/>
                          <a:ext cx="554863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535" o:spid="_x0000_s1026" o:spt="20" style="position:absolute;left:0pt;margin-left:5.3pt;margin-top:3.15pt;height:0pt;width:436.9pt;z-index:251662336;mso-width-relative:page;mso-height-relative:page;" filled="f" stroked="t" coordsize="21600,21600" o:gfxdata="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4sfcvUAAAA&#10;BgEAAA8AAAAAAAAAAQAgAAAAOAAAAGRycy9kb3ducmV2LnhtbFBLAQIUABQAAAAIAIdO4kAO3HCX&#10;0gEAAJMDAAAOAAAAAAAAAAEAIAAAADkBAABkcnMvZTJvRG9jLnhtbFBLBQYAAAAABgAGAFkBAAB9&#10;BQAAAAA=&#10;">
                <v:fill on="f" focussize="0,0"/>
                <v:stroke weight="1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368935</wp:posOffset>
                </wp:positionV>
                <wp:extent cx="5600700" cy="0"/>
                <wp:effectExtent l="0" t="0" r="0" b="0"/>
                <wp:wrapNone/>
                <wp:docPr id="4" name="直线 53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536" o:spid="_x0000_s1026" o:spt="20" style="position:absolute;left:0pt;margin-left:5.3pt;margin-top:29.05pt;height:0pt;width:441pt;z-index:251661312;mso-width-relative:page;mso-height-relative:page;" filled="f" stroked="t" coordsize="21600,21600" o:gfxdata="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GlN7o1QAAAAgB&#10;AAAPAAAAAAAAAAEAIAAAADgAAABkcnMvZG93bnJldi54bWxQSwECFAAUAAAACACHTuJArzwhRc8B&#10;AACTAwAADgAAAAAAAAABACAAAAA6AQAAZHJzL2Uyb0RvYy54bWxQSwUGAAAAAAYABgBZAQAAewUA&#10;AAAA&#10;">
                <v:fill on="f" focussize="0,0"/>
                <v:stroke weight="1pt"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kern w:val="32"/>
          <w:sz w:val="28"/>
          <w:szCs w:val="28"/>
        </w:rPr>
        <w:t>20</w:t>
      </w:r>
      <w:r>
        <w:rPr>
          <w:rFonts w:hint="eastAsia" w:ascii="仿宋_GB2312" w:eastAsia="仿宋_GB2312"/>
          <w:kern w:val="32"/>
          <w:sz w:val="28"/>
          <w:szCs w:val="28"/>
          <w:lang w:val="en-US" w:eastAsia="zh-CN"/>
        </w:rPr>
        <w:t>25</w:t>
      </w:r>
      <w:r>
        <w:rPr>
          <w:rFonts w:hint="eastAsia" w:ascii="仿宋_GB2312" w:eastAsia="仿宋_GB2312"/>
          <w:kern w:val="32"/>
          <w:sz w:val="28"/>
          <w:szCs w:val="28"/>
        </w:rPr>
        <w:t>年</w:t>
      </w:r>
      <w:r>
        <w:rPr>
          <w:rFonts w:hint="eastAsia" w:ascii="仿宋_GB2312" w:eastAsia="仿宋_GB2312"/>
          <w:kern w:val="32"/>
          <w:sz w:val="28"/>
          <w:szCs w:val="28"/>
          <w:lang w:val="en-US" w:eastAsia="zh-CN"/>
        </w:rPr>
        <w:t>9</w:t>
      </w:r>
      <w:r>
        <w:rPr>
          <w:rFonts w:hint="eastAsia" w:ascii="仿宋_GB2312" w:eastAsia="仿宋_GB2312"/>
          <w:kern w:val="32"/>
          <w:sz w:val="28"/>
          <w:szCs w:val="28"/>
        </w:rPr>
        <w:t>月</w:t>
      </w:r>
      <w:r>
        <w:rPr>
          <w:rFonts w:hint="eastAsia" w:ascii="仿宋_GB2312" w:eastAsia="仿宋_GB2312"/>
          <w:kern w:val="32"/>
          <w:sz w:val="28"/>
          <w:szCs w:val="28"/>
          <w:lang w:val="en-US" w:eastAsia="zh-CN"/>
        </w:rPr>
        <w:t>19</w:t>
      </w:r>
      <w:r>
        <w:rPr>
          <w:rFonts w:hint="eastAsia" w:ascii="仿宋_GB2312" w:eastAsia="仿宋_GB2312"/>
          <w:kern w:val="32"/>
          <w:sz w:val="28"/>
          <w:szCs w:val="28"/>
        </w:rPr>
        <w:t>日印发</w:t>
      </w:r>
      <w:r>
        <w:rPr>
          <w:rFonts w:hint="eastAsia"/>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40005</wp:posOffset>
                </wp:positionV>
                <wp:extent cx="5548630" cy="0"/>
                <wp:effectExtent l="0" t="0" r="0" b="0"/>
                <wp:wrapNone/>
                <wp:docPr id="3" name="Line 538"/>
                <wp:cNvGraphicFramePr/>
                <a:graphic xmlns:a="http://schemas.openxmlformats.org/drawingml/2006/main">
                  <a:graphicData uri="http://schemas.microsoft.com/office/word/2010/wordprocessingShape">
                    <wps:wsp>
                      <wps:cNvCnPr/>
                      <wps:spPr>
                        <a:xfrm>
                          <a:off x="0" y="0"/>
                          <a:ext cx="554863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Line 538" o:spid="_x0000_s1026" o:spt="20" style="position:absolute;left:0pt;margin-left:5.3pt;margin-top:3.15pt;height:0pt;width:436.9pt;z-index:251660288;mso-width-relative:page;mso-height-relative:page;" filled="f" stroked="t" coordsize="21600,21600" o:gfxdata="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Hix9y9QAAAAGAQAADwAAAAAAAAAB&#10;ACAAAAA4AAAAZHJzL2Rvd25yZXYueG1sUEsBAhQAFAAAAAgAh07iQCvKgR7FAQAAkQMAAA4AAAAA&#10;AAAAAQAgAAAAOQEAAGRycy9lMm9Eb2MueG1sUEsFBgAAAAAGAAYAWQEAAHAFAAAAAA==&#10;">
                <v:fill on="f" focussize="0,0"/>
                <v:stroke weight="1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368935</wp:posOffset>
                </wp:positionV>
                <wp:extent cx="5600700" cy="0"/>
                <wp:effectExtent l="0" t="0" r="0" b="0"/>
                <wp:wrapNone/>
                <wp:docPr id="2" name="Line 53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Line 537" o:spid="_x0000_s1026" o:spt="20" style="position:absolute;left:0pt;margin-left:5.3pt;margin-top:29.05pt;height:0pt;width:441pt;z-index:251659264;mso-width-relative:page;mso-height-relative:page;" filled="f" stroked="t" coordsize="21600,21600" o:gfxdata="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AGlN7o1QAAAAgBAAAPAAAAAAAAAAEA&#10;IAAAADgAAABkcnMvZG93bnJldi54bWxQSwECFAAUAAAACACHTuJAO7bBMMMBAACRAwAADgAAAAAA&#10;AAABACAAAAA6AQAAZHJzL2Uyb0RvYy54bWxQSwUGAAAAAAYABgBZAQAAbwUAAAAA&#10;">
                <v:fill on="f" focussize="0,0"/>
                <v:stroke weight="1pt" color="#000000" joinstyle="round"/>
                <v:imagedata o:title=""/>
                <o:lock v:ext="edit" aspectratio="f"/>
              </v:line>
            </w:pict>
          </mc:Fallback>
        </mc:AlternateContent>
      </w:r>
    </w:p>
    <w:sectPr>
      <w:pgSz w:w="11906" w:h="16838"/>
      <w:pgMar w:top="187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- 3 -</w:t>
    </w:r>
    <w:r>
      <w:rPr>
        <w:rStyle w:val="16"/>
        <w:rFonts w:ascii="宋体" w:hAnsi="宋体"/>
        <w:sz w:val="28"/>
        <w:szCs w:val="28"/>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2364B"/>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544A6"/>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1408"/>
    <w:rsid w:val="00616B00"/>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50805"/>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55D96"/>
    <w:rsid w:val="00C728E5"/>
    <w:rsid w:val="00C777C3"/>
    <w:rsid w:val="00C9285D"/>
    <w:rsid w:val="00CE1F76"/>
    <w:rsid w:val="00D06F54"/>
    <w:rsid w:val="00D4169E"/>
    <w:rsid w:val="00D57679"/>
    <w:rsid w:val="00DF44B0"/>
    <w:rsid w:val="00E11AA4"/>
    <w:rsid w:val="00E159C4"/>
    <w:rsid w:val="00E655A9"/>
    <w:rsid w:val="00E87368"/>
    <w:rsid w:val="00F078C1"/>
    <w:rsid w:val="00F26454"/>
    <w:rsid w:val="00FF2142"/>
    <w:rsid w:val="039C111C"/>
    <w:rsid w:val="3B5FB5D5"/>
    <w:rsid w:val="3DBAE21C"/>
    <w:rsid w:val="3F79860B"/>
    <w:rsid w:val="53BE8914"/>
    <w:rsid w:val="5EFF3E9B"/>
    <w:rsid w:val="5FFC6DEF"/>
    <w:rsid w:val="66EE1189"/>
    <w:rsid w:val="6CFF1386"/>
    <w:rsid w:val="6FEA52C7"/>
    <w:rsid w:val="70FE915B"/>
    <w:rsid w:val="7BD884B2"/>
    <w:rsid w:val="7FF3BFFE"/>
    <w:rsid w:val="B9FB13C9"/>
    <w:rsid w:val="BDF6B312"/>
    <w:rsid w:val="DCE4B525"/>
    <w:rsid w:val="EFDFD0DA"/>
    <w:rsid w:val="FBE3AB4C"/>
    <w:rsid w:val="FDF87DCF"/>
    <w:rsid w:val="FDFFD325"/>
    <w:rsid w:val="FFBF03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2"/>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2"/>
    <w:qFormat/>
    <w:uiPriority w:val="0"/>
    <w:pPr>
      <w:adjustRightInd w:val="0"/>
      <w:spacing w:line="436" w:lineRule="exact"/>
      <w:ind w:left="357"/>
      <w:jc w:val="left"/>
      <w:outlineLvl w:val="3"/>
    </w:pPr>
    <w:rPr>
      <w:rFonts w:ascii="Calibri" w:hAnsi="Calibri"/>
      <w:szCs w:val="20"/>
    </w:rPr>
  </w:style>
  <w:style w:type="paragraph" w:customStyle="1" w:styleId="2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8">
    <w:name w:val="正文文字缩进 2"/>
    <w:basedOn w:val="1"/>
    <w:qFormat/>
    <w:uiPriority w:val="0"/>
    <w:pPr>
      <w:ind w:firstLine="600"/>
    </w:pPr>
    <w:rPr>
      <w:rFonts w:ascii="宋体" w:hAnsi="宋体"/>
      <w:sz w:val="32"/>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3</Pages>
  <Words>40</Words>
  <Characters>232</Characters>
  <Lines>1</Lines>
  <Paragraphs>1</Paragraphs>
  <TotalTime>266</TotalTime>
  <ScaleCrop>false</ScaleCrop>
  <LinksUpToDate>false</LinksUpToDate>
  <CharactersWithSpaces>271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2018-06-20T00:51:00Z</dcterms:created>
  <dc:creator>ABD</dc:creator>
  <cp:lastModifiedBy>uos</cp:lastModifiedBy>
  <cp:lastPrinted>2025-09-19T18:28:00Z</cp:lastPrinted>
  <dcterms:modified xsi:type="dcterms:W3CDTF">2025-09-25T17:26:45Z</dcterms:modified>
  <dc:title>地铁应急抢险大队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83829E56EA3B43A3B8BB5BAC4F300832</vt:lpwstr>
  </property>
</Properties>
</file>