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1A" w:rsidRPr="00BA681A" w:rsidRDefault="00BA681A" w:rsidP="00BA681A">
      <w:pPr>
        <w:spacing w:line="360" w:lineRule="auto"/>
        <w:rPr>
          <w:rFonts w:ascii="仿宋_GB2312" w:hAnsi="仿宋_GB2312" w:cs="仿宋_GB2312"/>
          <w:kern w:val="0"/>
          <w:szCs w:val="32"/>
        </w:rPr>
      </w:pPr>
      <w:r>
        <w:rPr>
          <w:rFonts w:ascii="黑体" w:eastAsia="黑体" w:hAnsi="黑体" w:cs="黑体" w:hint="eastAsia"/>
          <w:szCs w:val="32"/>
        </w:rPr>
        <w:t>附件1</w:t>
      </w:r>
    </w:p>
    <w:p w:rsidR="00A62479" w:rsidRDefault="008F1AC9" w:rsidP="00BA681A">
      <w:pPr>
        <w:ind w:right="624"/>
        <w:jc w:val="center"/>
        <w:rPr>
          <w:rFonts w:ascii="方正小标宋简体" w:eastAsia="方正小标宋简体" w:hAnsi="仿宋" w:cs="仿宋_GB2312"/>
          <w:color w:val="000000"/>
          <w:kern w:val="0"/>
          <w:sz w:val="44"/>
          <w:szCs w:val="44"/>
        </w:rPr>
      </w:pPr>
      <w:r>
        <w:rPr>
          <w:rFonts w:ascii="方正小标宋简体" w:eastAsia="方正小标宋简体" w:hAnsi="仿宋" w:cs="仿宋_GB2312" w:hint="eastAsia"/>
          <w:color w:val="000000"/>
          <w:kern w:val="0"/>
          <w:sz w:val="44"/>
          <w:szCs w:val="44"/>
        </w:rPr>
        <w:t xml:space="preserve">   </w:t>
      </w:r>
      <w:r w:rsidR="000265A4">
        <w:rPr>
          <w:rFonts w:ascii="方正小标宋简体" w:eastAsia="方正小标宋简体" w:hAnsi="仿宋" w:cs="仿宋_GB2312" w:hint="eastAsia"/>
          <w:color w:val="000000"/>
          <w:kern w:val="0"/>
          <w:sz w:val="44"/>
          <w:szCs w:val="44"/>
        </w:rPr>
        <w:t>装配式建筑预制率及装配率计算说明</w:t>
      </w:r>
    </w:p>
    <w:p w:rsidR="00A62479" w:rsidRDefault="000265A4">
      <w:pPr>
        <w:pStyle w:val="1"/>
        <w:tabs>
          <w:tab w:val="left" w:pos="567"/>
        </w:tabs>
        <w:spacing w:line="500" w:lineRule="exact"/>
        <w:ind w:firstLine="676"/>
        <w:rPr>
          <w:rFonts w:ascii="仿宋_GB2312" w:eastAsia="仿宋_GB2312" w:hAnsi="宋体" w:cs="宋体"/>
          <w:color w:val="333333"/>
          <w:spacing w:val="9"/>
          <w:kern w:val="0"/>
          <w:sz w:val="32"/>
          <w:szCs w:val="32"/>
        </w:rPr>
      </w:pPr>
      <w:r>
        <w:rPr>
          <w:rFonts w:ascii="仿宋_GB2312" w:eastAsia="仿宋_GB2312" w:hAnsi="宋体" w:cs="宋体" w:hint="eastAsia"/>
          <w:color w:val="333333"/>
          <w:spacing w:val="9"/>
          <w:kern w:val="0"/>
          <w:sz w:val="32"/>
          <w:szCs w:val="32"/>
        </w:rPr>
        <w:t>根据</w:t>
      </w:r>
      <w:r>
        <w:rPr>
          <w:rFonts w:ascii="仿宋_GB2312" w:eastAsia="仿宋_GB2312" w:hAnsi="仿宋" w:cs="仿宋_GB2312" w:hint="eastAsia"/>
          <w:color w:val="000000"/>
          <w:kern w:val="0"/>
          <w:sz w:val="32"/>
          <w:szCs w:val="32"/>
        </w:rPr>
        <w:t>《北京市人民政府办公厅关于加快发展装配式建筑的实施意见》</w:t>
      </w:r>
      <w:r>
        <w:rPr>
          <w:rFonts w:ascii="仿宋_GB2312" w:eastAsia="仿宋_GB2312" w:hAnsi="宋体" w:cs="宋体" w:hint="eastAsia"/>
          <w:color w:val="333333"/>
          <w:spacing w:val="9"/>
          <w:kern w:val="0"/>
          <w:sz w:val="32"/>
          <w:szCs w:val="32"/>
        </w:rPr>
        <w:t>（京政办发</w:t>
      </w:r>
      <w:r>
        <w:rPr>
          <w:rFonts w:ascii="仿宋_GB2312" w:eastAsia="仿宋_GB2312" w:hAnsi="宋体" w:cs="宋体"/>
          <w:color w:val="333333"/>
          <w:spacing w:val="9"/>
          <w:kern w:val="0"/>
          <w:sz w:val="32"/>
          <w:szCs w:val="32"/>
        </w:rPr>
        <w:t>〔</w:t>
      </w:r>
      <w:r>
        <w:rPr>
          <w:rFonts w:ascii="仿宋_GB2312" w:eastAsia="仿宋_GB2312" w:hAnsi="宋体" w:cs="宋体" w:hint="eastAsia"/>
          <w:color w:val="333333"/>
          <w:spacing w:val="9"/>
          <w:kern w:val="0"/>
          <w:sz w:val="32"/>
          <w:szCs w:val="32"/>
        </w:rPr>
        <w:t>2017</w:t>
      </w:r>
      <w:r>
        <w:rPr>
          <w:rFonts w:ascii="仿宋_GB2312" w:eastAsia="仿宋_GB2312" w:hAnsi="宋体" w:cs="宋体"/>
          <w:color w:val="333333"/>
          <w:spacing w:val="9"/>
          <w:kern w:val="0"/>
          <w:sz w:val="32"/>
          <w:szCs w:val="32"/>
        </w:rPr>
        <w:t>〕</w:t>
      </w:r>
      <w:r>
        <w:rPr>
          <w:rFonts w:ascii="仿宋_GB2312" w:eastAsia="仿宋_GB2312" w:hAnsi="宋体" w:cs="宋体" w:hint="eastAsia"/>
          <w:color w:val="333333"/>
          <w:spacing w:val="9"/>
          <w:kern w:val="0"/>
          <w:sz w:val="32"/>
          <w:szCs w:val="32"/>
        </w:rPr>
        <w:t>8号），现对装配式建筑预制率及装配率计算进行如下说明：</w:t>
      </w:r>
    </w:p>
    <w:p w:rsidR="00A62479" w:rsidRDefault="000265A4">
      <w:pPr>
        <w:pStyle w:val="1"/>
        <w:tabs>
          <w:tab w:val="left" w:pos="567"/>
        </w:tabs>
        <w:spacing w:line="500" w:lineRule="exact"/>
        <w:ind w:firstLine="640"/>
        <w:rPr>
          <w:rFonts w:ascii="仿宋_GB2312" w:eastAsia="仿宋_GB2312"/>
          <w:sz w:val="32"/>
          <w:szCs w:val="32"/>
        </w:rPr>
      </w:pPr>
      <w:r>
        <w:rPr>
          <w:rFonts w:ascii="仿宋_GB2312" w:eastAsia="仿宋_GB2312" w:hint="eastAsia"/>
          <w:sz w:val="32"/>
          <w:szCs w:val="32"/>
        </w:rPr>
        <w:t>1. 预制率</w:t>
      </w:r>
    </w:p>
    <w:p w:rsidR="00A62479" w:rsidRDefault="000265A4">
      <w:pPr>
        <w:pStyle w:val="1"/>
        <w:tabs>
          <w:tab w:val="left" w:pos="567"/>
        </w:tabs>
        <w:spacing w:line="500" w:lineRule="exact"/>
        <w:ind w:firstLine="640"/>
        <w:rPr>
          <w:rFonts w:ascii="仿宋_GB2312" w:eastAsia="仿宋_GB2312"/>
          <w:sz w:val="32"/>
          <w:szCs w:val="32"/>
        </w:rPr>
      </w:pPr>
      <w:r>
        <w:rPr>
          <w:rFonts w:ascii="仿宋_GB2312" w:eastAsia="仿宋_GB2312" w:hint="eastAsia"/>
          <w:sz w:val="32"/>
          <w:szCs w:val="32"/>
        </w:rPr>
        <w:t>单体建筑</w:t>
      </w:r>
      <w:r>
        <w:rPr>
          <w:rFonts w:ascii="仿宋_GB2312" w:eastAsia="仿宋_GB2312" w:hAnsi="楷体" w:hint="eastAsia"/>
          <w:sz w:val="32"/>
          <w:szCs w:val="32"/>
        </w:rPr>
        <w:t>±</w:t>
      </w:r>
      <w:r>
        <w:rPr>
          <w:rFonts w:ascii="仿宋_GB2312" w:eastAsia="仿宋_GB2312" w:hint="eastAsia"/>
          <w:sz w:val="32"/>
          <w:szCs w:val="32"/>
        </w:rPr>
        <w:t>0.000标高以上，结构构件采用预制混凝土构件的混凝土用量占全部混凝土用量的体积比，按公式</w:t>
      </w:r>
      <w:proofErr w:type="gramStart"/>
      <w:r>
        <w:rPr>
          <w:rFonts w:ascii="仿宋_GB2312" w:eastAsia="仿宋_GB2312" w:hint="eastAsia"/>
          <w:sz w:val="32"/>
          <w:szCs w:val="32"/>
        </w:rPr>
        <w:t>一</w:t>
      </w:r>
      <w:proofErr w:type="gramEnd"/>
      <w:r>
        <w:rPr>
          <w:rFonts w:ascii="仿宋_GB2312" w:eastAsia="仿宋_GB2312" w:hint="eastAsia"/>
          <w:sz w:val="32"/>
          <w:szCs w:val="32"/>
        </w:rPr>
        <w:t>计算：</w:t>
      </w:r>
    </w:p>
    <w:p w:rsidR="00A62479" w:rsidRDefault="000265A4">
      <w:pPr>
        <w:pStyle w:val="1"/>
        <w:tabs>
          <w:tab w:val="left" w:pos="567"/>
        </w:tabs>
        <w:spacing w:line="240" w:lineRule="auto"/>
        <w:ind w:firstLineChars="0" w:firstLine="0"/>
        <w:jc w:val="center"/>
        <w:rPr>
          <w:rFonts w:ascii="仿宋_GB2312" w:eastAsia="仿宋_GB2312"/>
          <w:sz w:val="32"/>
          <w:szCs w:val="32"/>
        </w:rPr>
      </w:pPr>
      <w:r>
        <w:rPr>
          <w:rFonts w:ascii="仿宋_GB2312" w:eastAsia="仿宋_GB2312" w:hAnsi="楷体" w:hint="eastAsia"/>
          <w:sz w:val="32"/>
          <w:szCs w:val="32"/>
        </w:rPr>
        <w:t>预制率</w:t>
      </w:r>
      <w:r>
        <w:rPr>
          <w:rFonts w:ascii="仿宋_GB2312" w:eastAsia="仿宋_GB2312" w:hint="eastAsia"/>
          <w:sz w:val="32"/>
          <w:szCs w:val="32"/>
        </w:rPr>
        <w:t>=</w:t>
      </w:r>
      <w:r w:rsidRPr="002457EC">
        <w:rPr>
          <w:rFonts w:ascii="仿宋_GB2312" w:eastAsia="仿宋_GB2312" w:hint="eastAsia"/>
          <w:i/>
          <w:position w:val="-30"/>
          <w:sz w:val="32"/>
          <w:szCs w:val="32"/>
        </w:rPr>
        <w:object w:dxaOrig="1956" w:dyaOrig="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45pt" o:ole="">
            <v:imagedata r:id="rId10" o:title=""/>
          </v:shape>
          <o:OLEObject Type="Embed" ProgID="Equation.3" ShapeID="_x0000_i1025" DrawAspect="Content" ObjectID="_1621327181" r:id="rId11"/>
        </w:object>
      </w:r>
      <w:r>
        <w:rPr>
          <w:rFonts w:ascii="仿宋_GB2312" w:eastAsia="仿宋_GB2312" w:hAnsi="楷体" w:hint="eastAsia"/>
          <w:sz w:val="32"/>
          <w:szCs w:val="32"/>
        </w:rPr>
        <w:t xml:space="preserve"> （公式一）</w:t>
      </w:r>
    </w:p>
    <w:p w:rsidR="00A62479" w:rsidRDefault="000265A4">
      <w:pPr>
        <w:pStyle w:val="1"/>
        <w:spacing w:line="500" w:lineRule="exact"/>
        <w:ind w:left="2" w:firstLineChars="0" w:firstLine="0"/>
        <w:rPr>
          <w:rFonts w:ascii="仿宋_GB2312" w:eastAsia="仿宋_GB2312"/>
          <w:sz w:val="32"/>
          <w:szCs w:val="32"/>
        </w:rPr>
      </w:pPr>
      <w:r>
        <w:rPr>
          <w:rFonts w:ascii="仿宋_GB2312" w:eastAsia="仿宋_GB2312" w:hint="eastAsia"/>
          <w:sz w:val="32"/>
          <w:szCs w:val="32"/>
        </w:rPr>
        <w:t xml:space="preserve">    式中：</w:t>
      </w:r>
      <w:r w:rsidRPr="002457EC">
        <w:rPr>
          <w:rFonts w:ascii="仿宋_GB2312" w:eastAsia="仿宋_GB2312" w:hint="eastAsia"/>
          <w:position w:val="-10"/>
          <w:sz w:val="32"/>
          <w:szCs w:val="32"/>
        </w:rPr>
        <w:object w:dxaOrig="312" w:dyaOrig="448">
          <v:shape id="_x0000_i1026" type="#_x0000_t75" style="width:15.75pt;height:22.5pt" o:ole="">
            <v:imagedata r:id="rId12" o:title=""/>
          </v:shape>
          <o:OLEObject Type="Embed" ProgID="Equation.3" ShapeID="_x0000_i1026" DrawAspect="Content" ObjectID="_1621327182" r:id="rId13"/>
        </w:object>
      </w:r>
      <w:r>
        <w:rPr>
          <w:rFonts w:ascii="仿宋_GB2312" w:eastAsia="仿宋_GB2312" w:hint="eastAsia"/>
          <w:sz w:val="32"/>
          <w:szCs w:val="32"/>
        </w:rPr>
        <w:t xml:space="preserve">── </w:t>
      </w:r>
      <w:r>
        <w:rPr>
          <w:rFonts w:ascii="仿宋_GB2312" w:eastAsia="仿宋_GB2312" w:hAnsi="宋体" w:hint="eastAsia"/>
          <w:sz w:val="32"/>
          <w:szCs w:val="32"/>
        </w:rPr>
        <w:t>建筑</w:t>
      </w:r>
      <w:r>
        <w:rPr>
          <w:rFonts w:ascii="仿宋_GB2312" w:eastAsia="仿宋_GB2312" w:hint="eastAsia"/>
          <w:sz w:val="32"/>
          <w:szCs w:val="32"/>
        </w:rPr>
        <w:t>±0.000</w:t>
      </w:r>
      <w:r>
        <w:rPr>
          <w:rFonts w:ascii="仿宋_GB2312" w:eastAsia="仿宋_GB2312" w:hAnsi="宋体" w:hint="eastAsia"/>
          <w:sz w:val="32"/>
          <w:szCs w:val="32"/>
        </w:rPr>
        <w:t>标高以上，结构构件采用预制混凝土构件的混凝土体积；计入</w:t>
      </w:r>
      <w:r w:rsidRPr="002457EC">
        <w:rPr>
          <w:rFonts w:ascii="仿宋_GB2312" w:eastAsia="仿宋_GB2312" w:hint="eastAsia"/>
          <w:position w:val="-10"/>
          <w:sz w:val="32"/>
          <w:szCs w:val="32"/>
        </w:rPr>
        <w:object w:dxaOrig="312" w:dyaOrig="448">
          <v:shape id="_x0000_i1027" type="#_x0000_t75" style="width:15.75pt;height:22.5pt" o:ole="">
            <v:imagedata r:id="rId12" o:title=""/>
          </v:shape>
          <o:OLEObject Type="Embed" ProgID="Equation.3" ShapeID="_x0000_i1027" DrawAspect="Content" ObjectID="_1621327183" r:id="rId14"/>
        </w:object>
      </w:r>
      <w:r>
        <w:rPr>
          <w:rFonts w:ascii="仿宋_GB2312" w:eastAsia="仿宋_GB2312" w:hAnsi="宋体" w:hint="eastAsia"/>
          <w:sz w:val="32"/>
          <w:szCs w:val="32"/>
        </w:rPr>
        <w:t>计算的预制混凝土构件类型包括：剪力墙、延性墙板、柱、支撑、梁、桁架、屋架、楼板、楼梯、阳台板、空调板、女儿墙、雨棚等；</w:t>
      </w:r>
    </w:p>
    <w:p w:rsidR="00A62479" w:rsidRDefault="000265A4">
      <w:pPr>
        <w:pStyle w:val="1"/>
        <w:tabs>
          <w:tab w:val="left" w:pos="567"/>
        </w:tabs>
        <w:spacing w:line="500" w:lineRule="exact"/>
        <w:ind w:firstLineChars="300" w:firstLine="960"/>
        <w:rPr>
          <w:rFonts w:ascii="仿宋_GB2312" w:eastAsia="仿宋_GB2312"/>
          <w:sz w:val="32"/>
          <w:szCs w:val="32"/>
        </w:rPr>
      </w:pPr>
      <w:r w:rsidRPr="002457EC">
        <w:rPr>
          <w:rFonts w:ascii="仿宋_GB2312" w:eastAsia="仿宋_GB2312" w:hint="eastAsia"/>
          <w:position w:val="-10"/>
          <w:sz w:val="32"/>
          <w:szCs w:val="32"/>
        </w:rPr>
        <w:object w:dxaOrig="340" w:dyaOrig="448">
          <v:shape id="_x0000_i1028" type="#_x0000_t75" style="width:17.25pt;height:22.5pt" o:ole="">
            <v:imagedata r:id="rId15" o:title=""/>
          </v:shape>
          <o:OLEObject Type="Embed" ProgID="Equation.3" ShapeID="_x0000_i1028" DrawAspect="Content" ObjectID="_1621327184" r:id="rId16"/>
        </w:object>
      </w:r>
      <w:r>
        <w:rPr>
          <w:rFonts w:ascii="仿宋_GB2312" w:eastAsia="仿宋_GB2312" w:hint="eastAsia"/>
          <w:sz w:val="32"/>
          <w:szCs w:val="32"/>
        </w:rPr>
        <w:t xml:space="preserve">── </w:t>
      </w:r>
      <w:r>
        <w:rPr>
          <w:rFonts w:ascii="仿宋_GB2312" w:eastAsia="仿宋_GB2312" w:hAnsi="宋体" w:hint="eastAsia"/>
          <w:sz w:val="32"/>
          <w:szCs w:val="32"/>
        </w:rPr>
        <w:t>建筑</w:t>
      </w:r>
      <w:r>
        <w:rPr>
          <w:rFonts w:ascii="仿宋_GB2312" w:eastAsia="仿宋_GB2312" w:hint="eastAsia"/>
          <w:sz w:val="32"/>
          <w:szCs w:val="32"/>
        </w:rPr>
        <w:t>±0.000</w:t>
      </w:r>
      <w:r>
        <w:rPr>
          <w:rFonts w:ascii="仿宋_GB2312" w:eastAsia="仿宋_GB2312" w:hAnsi="宋体" w:hint="eastAsia"/>
          <w:sz w:val="32"/>
          <w:szCs w:val="32"/>
        </w:rPr>
        <w:t>标高以上，结构构件采用现浇混凝土构件的混凝土体积。</w:t>
      </w:r>
    </w:p>
    <w:p w:rsidR="00A62479" w:rsidRDefault="000265A4">
      <w:pPr>
        <w:pStyle w:val="1"/>
        <w:tabs>
          <w:tab w:val="left" w:pos="567"/>
        </w:tabs>
        <w:spacing w:line="500" w:lineRule="exact"/>
        <w:ind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Ansi="宋体" w:hint="eastAsia"/>
          <w:sz w:val="32"/>
          <w:szCs w:val="32"/>
        </w:rPr>
        <w:t>装配</w:t>
      </w:r>
      <w:r>
        <w:rPr>
          <w:rFonts w:ascii="仿宋_GB2312" w:eastAsia="仿宋_GB2312" w:hint="eastAsia"/>
          <w:sz w:val="32"/>
          <w:szCs w:val="32"/>
        </w:rPr>
        <w:t>率</w:t>
      </w:r>
    </w:p>
    <w:p w:rsidR="00A62479" w:rsidRDefault="000265A4">
      <w:pPr>
        <w:pStyle w:val="1"/>
        <w:tabs>
          <w:tab w:val="left" w:pos="567"/>
        </w:tabs>
        <w:spacing w:line="500" w:lineRule="exact"/>
        <w:ind w:firstLine="640"/>
        <w:rPr>
          <w:rFonts w:ascii="仿宋_GB2312" w:eastAsia="仿宋_GB2312" w:hAnsi="楷体"/>
          <w:sz w:val="32"/>
          <w:szCs w:val="32"/>
        </w:rPr>
      </w:pPr>
      <w:r>
        <w:rPr>
          <w:rFonts w:ascii="仿宋_GB2312" w:eastAsia="仿宋_GB2312" w:hint="eastAsia"/>
          <w:sz w:val="32"/>
          <w:szCs w:val="32"/>
        </w:rPr>
        <w:t>单体建筑</w:t>
      </w:r>
      <w:r>
        <w:rPr>
          <w:rFonts w:ascii="仿宋_GB2312" w:eastAsia="仿宋_GB2312" w:hAnsi="楷体" w:hint="eastAsia"/>
          <w:sz w:val="32"/>
          <w:szCs w:val="32"/>
        </w:rPr>
        <w:t>±</w:t>
      </w:r>
      <w:r>
        <w:rPr>
          <w:rFonts w:ascii="仿宋_GB2312" w:eastAsia="仿宋_GB2312" w:hint="eastAsia"/>
          <w:sz w:val="32"/>
          <w:szCs w:val="32"/>
        </w:rPr>
        <w:t>0.000标高以上，围护和分隔墙体、装修与设备管线等采用</w:t>
      </w:r>
      <w:proofErr w:type="gramStart"/>
      <w:r>
        <w:rPr>
          <w:rFonts w:ascii="仿宋_GB2312" w:eastAsia="仿宋_GB2312" w:hint="eastAsia"/>
          <w:sz w:val="32"/>
          <w:szCs w:val="32"/>
        </w:rPr>
        <w:t>预制部</w:t>
      </w:r>
      <w:proofErr w:type="gramEnd"/>
      <w:r>
        <w:rPr>
          <w:rFonts w:ascii="仿宋_GB2312" w:eastAsia="仿宋_GB2312" w:hint="eastAsia"/>
          <w:sz w:val="32"/>
          <w:szCs w:val="32"/>
        </w:rPr>
        <w:t>品部件的综合比例，按公式二计算：</w:t>
      </w:r>
    </w:p>
    <w:p w:rsidR="00A62479" w:rsidRDefault="000265A4">
      <w:pPr>
        <w:pStyle w:val="1"/>
        <w:tabs>
          <w:tab w:val="left" w:pos="709"/>
        </w:tabs>
        <w:spacing w:line="240" w:lineRule="auto"/>
        <w:ind w:firstLineChars="0" w:firstLine="0"/>
        <w:jc w:val="center"/>
        <w:rPr>
          <w:rFonts w:ascii="仿宋_GB2312" w:eastAsia="仿宋_GB2312"/>
          <w:sz w:val="32"/>
          <w:szCs w:val="32"/>
        </w:rPr>
      </w:pPr>
      <w:r>
        <w:rPr>
          <w:rFonts w:ascii="仿宋_GB2312" w:eastAsia="仿宋_GB2312" w:hAnsi="宋体" w:hint="eastAsia"/>
          <w:sz w:val="32"/>
          <w:szCs w:val="32"/>
        </w:rPr>
        <w:t>装配率=</w:t>
      </w:r>
      <w:r w:rsidRPr="002457EC">
        <w:rPr>
          <w:rFonts w:ascii="仿宋_GB2312" w:eastAsia="仿宋_GB2312" w:hAnsi="楷体" w:hint="eastAsia"/>
          <w:position w:val="-28"/>
          <w:sz w:val="32"/>
          <w:szCs w:val="32"/>
        </w:rPr>
        <w:object w:dxaOrig="2038" w:dyaOrig="951">
          <v:shape id="_x0000_i1029" type="#_x0000_t75" style="width:102pt;height:47.25pt" o:ole="">
            <v:imagedata r:id="rId17" o:title=""/>
          </v:shape>
          <o:OLEObject Type="Embed" ProgID="Equation.3" ShapeID="_x0000_i1029" DrawAspect="Content" ObjectID="_1621327185" r:id="rId18"/>
        </w:object>
      </w:r>
      <w:r>
        <w:rPr>
          <w:rFonts w:ascii="仿宋_GB2312" w:eastAsia="仿宋_GB2312" w:hAnsi="楷体" w:hint="eastAsia"/>
          <w:sz w:val="32"/>
          <w:szCs w:val="32"/>
        </w:rPr>
        <w:t xml:space="preserve">   （公式二）</w:t>
      </w:r>
    </w:p>
    <w:p w:rsidR="00A62479" w:rsidRDefault="000265A4">
      <w:pPr>
        <w:pStyle w:val="1"/>
        <w:tabs>
          <w:tab w:val="left" w:pos="709"/>
        </w:tabs>
        <w:spacing w:line="500" w:lineRule="exact"/>
        <w:ind w:firstLineChars="0" w:firstLine="0"/>
        <w:rPr>
          <w:rFonts w:ascii="仿宋_GB2312" w:eastAsia="仿宋_GB2312" w:hAnsi="宋体"/>
          <w:sz w:val="32"/>
          <w:szCs w:val="32"/>
        </w:rPr>
      </w:pPr>
      <w:r>
        <w:rPr>
          <w:rFonts w:ascii="仿宋_GB2312" w:eastAsia="仿宋_GB2312" w:hAnsi="宋体" w:hint="eastAsia"/>
          <w:sz w:val="32"/>
          <w:szCs w:val="32"/>
        </w:rPr>
        <w:t>式中：</w:t>
      </w:r>
      <w:r w:rsidRPr="002457EC">
        <w:rPr>
          <w:rFonts w:ascii="仿宋_GB2312" w:eastAsia="仿宋_GB2312" w:hAnsi="宋体" w:hint="eastAsia"/>
          <w:position w:val="-12"/>
          <w:sz w:val="32"/>
          <w:szCs w:val="32"/>
        </w:rPr>
        <w:object w:dxaOrig="394" w:dyaOrig="503">
          <v:shape id="_x0000_i1030" type="#_x0000_t75" style="width:19.5pt;height:25.5pt" o:ole="">
            <v:imagedata r:id="rId19" o:title=""/>
          </v:shape>
          <o:OLEObject Type="Embed" ProgID="Equation.3" ShapeID="_x0000_i1030" DrawAspect="Content" ObjectID="_1621327186" r:id="rId20"/>
        </w:object>
      </w:r>
      <w:r>
        <w:rPr>
          <w:rFonts w:ascii="仿宋_GB2312" w:eastAsia="仿宋_GB2312" w:hAnsi="楷体" w:hint="eastAsia"/>
          <w:sz w:val="32"/>
          <w:szCs w:val="32"/>
        </w:rPr>
        <w:t>──</w:t>
      </w:r>
      <w:r>
        <w:rPr>
          <w:rFonts w:ascii="仿宋_GB2312" w:eastAsia="仿宋_GB2312" w:hAnsi="宋体" w:hint="eastAsia"/>
          <w:sz w:val="32"/>
          <w:szCs w:val="32"/>
        </w:rPr>
        <w:t>各指标实际得分值，具体要求见“装配式建筑装配率评分表”；</w:t>
      </w:r>
    </w:p>
    <w:p w:rsidR="00A62479" w:rsidRDefault="000265A4">
      <w:pPr>
        <w:pStyle w:val="1"/>
        <w:tabs>
          <w:tab w:val="left" w:pos="709"/>
        </w:tabs>
        <w:spacing w:line="500" w:lineRule="exact"/>
        <w:ind w:firstLineChars="300" w:firstLine="960"/>
        <w:rPr>
          <w:rFonts w:ascii="仿宋_GB2312" w:eastAsia="仿宋_GB2312"/>
          <w:sz w:val="32"/>
          <w:szCs w:val="32"/>
        </w:rPr>
      </w:pPr>
      <w:r w:rsidRPr="002457EC">
        <w:rPr>
          <w:rFonts w:ascii="仿宋_GB2312" w:eastAsia="仿宋_GB2312" w:hAnsi="楷体" w:hint="eastAsia"/>
          <w:position w:val="-10"/>
          <w:sz w:val="32"/>
          <w:szCs w:val="32"/>
        </w:rPr>
        <w:object w:dxaOrig="326" w:dyaOrig="421">
          <v:shape id="_x0000_i1031" type="#_x0000_t75" style="width:16.5pt;height:21pt" o:ole="">
            <v:imagedata r:id="rId21" o:title=""/>
          </v:shape>
          <o:OLEObject Type="Embed" ProgID="Equation.3" ShapeID="_x0000_i1031" DrawAspect="Content" ObjectID="_1621327187" r:id="rId22"/>
        </w:object>
      </w:r>
      <w:r>
        <w:rPr>
          <w:rFonts w:ascii="仿宋_GB2312" w:eastAsia="仿宋_GB2312" w:hAnsi="楷体" w:hint="eastAsia"/>
          <w:sz w:val="32"/>
          <w:szCs w:val="32"/>
        </w:rPr>
        <w:t>──</w:t>
      </w:r>
      <w:r>
        <w:rPr>
          <w:rFonts w:ascii="仿宋_GB2312" w:eastAsia="仿宋_GB2312" w:hint="eastAsia"/>
          <w:sz w:val="32"/>
          <w:szCs w:val="32"/>
        </w:rPr>
        <w:t>单体建筑</w:t>
      </w:r>
      <w:r>
        <w:rPr>
          <w:rFonts w:ascii="仿宋_GB2312" w:eastAsia="仿宋_GB2312" w:hAnsi="宋体" w:hint="eastAsia"/>
          <w:sz w:val="32"/>
          <w:szCs w:val="32"/>
        </w:rPr>
        <w:t>中缺少的评价内容的分值总和（如：若公共建筑中无厨房和采暖管线，则</w:t>
      </w:r>
      <w:r w:rsidRPr="002457EC">
        <w:rPr>
          <w:rFonts w:ascii="仿宋_GB2312" w:eastAsia="仿宋_GB2312" w:hAnsi="楷体" w:hint="eastAsia"/>
          <w:position w:val="-10"/>
          <w:sz w:val="32"/>
          <w:szCs w:val="32"/>
        </w:rPr>
        <w:object w:dxaOrig="326" w:dyaOrig="421">
          <v:shape id="_x0000_i1032" type="#_x0000_t75" style="width:16.5pt;height:21pt" o:ole="">
            <v:imagedata r:id="rId21" o:title=""/>
          </v:shape>
          <o:OLEObject Type="Embed" ProgID="Equation.3" ShapeID="_x0000_i1032" DrawAspect="Content" ObjectID="_1621327188" r:id="rId23"/>
        </w:object>
      </w:r>
      <w:r>
        <w:rPr>
          <w:rFonts w:ascii="仿宋_GB2312" w:eastAsia="仿宋_GB2312" w:hAnsi="宋体" w:hint="eastAsia"/>
          <w:sz w:val="32"/>
          <w:szCs w:val="32"/>
        </w:rPr>
        <w:t>=10+4=14）。</w:t>
      </w:r>
    </w:p>
    <w:p w:rsidR="00A62479" w:rsidRDefault="000265A4">
      <w:pPr>
        <w:pStyle w:val="1"/>
        <w:tabs>
          <w:tab w:val="left" w:pos="567"/>
        </w:tabs>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lastRenderedPageBreak/>
        <w:t>3.装配式混凝土结构单体建筑应同时满足预制率和装配率的要求；钢结构单体建筑应满足装配率的要求。</w:t>
      </w:r>
    </w:p>
    <w:p w:rsidR="00A62479" w:rsidRDefault="000265A4">
      <w:pPr>
        <w:pStyle w:val="1"/>
        <w:tabs>
          <w:tab w:val="left" w:pos="567"/>
        </w:tabs>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4.水平构件采用预制（叠合）构件</w:t>
      </w:r>
      <w:proofErr w:type="gramStart"/>
      <w:r>
        <w:rPr>
          <w:rFonts w:ascii="仿宋_GB2312" w:eastAsia="仿宋_GB2312" w:hAnsi="宋体" w:hint="eastAsia"/>
          <w:sz w:val="32"/>
          <w:szCs w:val="32"/>
        </w:rPr>
        <w:t>或免支模</w:t>
      </w:r>
      <w:proofErr w:type="gramEnd"/>
      <w:r>
        <w:rPr>
          <w:rFonts w:ascii="仿宋_GB2312" w:eastAsia="仿宋_GB2312" w:hAnsi="宋体" w:hint="eastAsia"/>
          <w:sz w:val="32"/>
          <w:szCs w:val="32"/>
        </w:rPr>
        <w:t>的应用比例应≥70%。</w:t>
      </w:r>
    </w:p>
    <w:p w:rsidR="00A62479" w:rsidRDefault="000265A4">
      <w:pPr>
        <w:pStyle w:val="1"/>
        <w:tabs>
          <w:tab w:val="left" w:pos="567"/>
        </w:tabs>
        <w:spacing w:line="500" w:lineRule="exact"/>
        <w:ind w:firstLine="640"/>
        <w:jc w:val="left"/>
        <w:rPr>
          <w:rFonts w:ascii="仿宋_GB2312" w:eastAsia="仿宋_GB2312" w:hAnsi="宋体"/>
          <w:sz w:val="32"/>
          <w:szCs w:val="32"/>
        </w:rPr>
      </w:pPr>
      <w:r>
        <w:rPr>
          <w:rFonts w:ascii="仿宋_GB2312" w:eastAsia="仿宋_GB2312" w:hAnsi="宋体" w:hint="eastAsia"/>
          <w:sz w:val="32"/>
          <w:szCs w:val="32"/>
        </w:rPr>
        <w:t>5.对于主楼带有裙房的建筑项目，当裙房规模较大时，主楼和裙房可分别按不同的单体建筑进行计算和评价，主楼与裙房可按主楼标准层正投影范围确认分界。</w:t>
      </w:r>
    </w:p>
    <w:p w:rsidR="00A62479" w:rsidRDefault="00A62479" w:rsidP="007B68D3">
      <w:pPr>
        <w:pStyle w:val="1"/>
        <w:tabs>
          <w:tab w:val="left" w:pos="567"/>
        </w:tabs>
        <w:spacing w:line="500" w:lineRule="exact"/>
        <w:ind w:firstLineChars="0" w:firstLine="0"/>
      </w:pPr>
      <w:bookmarkStart w:id="0" w:name="_GoBack"/>
      <w:bookmarkEnd w:id="0"/>
    </w:p>
    <w:sectPr w:rsidR="00A62479" w:rsidSect="0093508E">
      <w:footerReference w:type="default" r:id="rId24"/>
      <w:pgSz w:w="11906" w:h="16838"/>
      <w:pgMar w:top="1758" w:right="1474" w:bottom="1134"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AB" w:rsidRDefault="003E1CAB">
      <w:r>
        <w:separator/>
      </w:r>
    </w:p>
  </w:endnote>
  <w:endnote w:type="continuationSeparator" w:id="0">
    <w:p w:rsidR="003E1CAB" w:rsidRDefault="003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7E" w:rsidRDefault="003E1CAB">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67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49;mso-fit-shape-to-text:t" inset="0,0,0,0">
            <w:txbxContent>
              <w:p w:rsidR="0054587E" w:rsidRDefault="00DF41B8">
                <w:pPr>
                  <w:snapToGrid w:val="0"/>
                  <w:rPr>
                    <w:sz w:val="18"/>
                  </w:rPr>
                </w:pPr>
                <w:r>
                  <w:rPr>
                    <w:rFonts w:asciiTheme="minorEastAsia" w:eastAsiaTheme="minorEastAsia" w:hAnsiTheme="minorEastAsia" w:cstheme="minorEastAsia" w:hint="eastAsia"/>
                    <w:sz w:val="28"/>
                    <w:szCs w:val="28"/>
                  </w:rPr>
                  <w:fldChar w:fldCharType="begin"/>
                </w:r>
                <w:r w:rsidR="0054587E">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B68D3">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p w:rsidR="0054587E" w:rsidRDefault="005458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AB" w:rsidRDefault="003E1CAB">
      <w:r>
        <w:separator/>
      </w:r>
    </w:p>
  </w:footnote>
  <w:footnote w:type="continuationSeparator" w:id="0">
    <w:p w:rsidR="003E1CAB" w:rsidRDefault="003E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E4B"/>
    <w:multiLevelType w:val="multilevel"/>
    <w:tmpl w:val="2BEE7E4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20"/>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B63"/>
    <w:rsid w:val="000078CD"/>
    <w:rsid w:val="00011EE2"/>
    <w:rsid w:val="00014D2A"/>
    <w:rsid w:val="000265A4"/>
    <w:rsid w:val="00027ECA"/>
    <w:rsid w:val="000335A1"/>
    <w:rsid w:val="00061209"/>
    <w:rsid w:val="0006121B"/>
    <w:rsid w:val="000623FF"/>
    <w:rsid w:val="00075F34"/>
    <w:rsid w:val="000808BE"/>
    <w:rsid w:val="00084D33"/>
    <w:rsid w:val="00090CEB"/>
    <w:rsid w:val="00093A1E"/>
    <w:rsid w:val="000945B2"/>
    <w:rsid w:val="0009725F"/>
    <w:rsid w:val="000B13EF"/>
    <w:rsid w:val="0010408D"/>
    <w:rsid w:val="00112C1B"/>
    <w:rsid w:val="00114CE8"/>
    <w:rsid w:val="00114F3E"/>
    <w:rsid w:val="0013109C"/>
    <w:rsid w:val="00143E60"/>
    <w:rsid w:val="00145329"/>
    <w:rsid w:val="00154BED"/>
    <w:rsid w:val="001624ED"/>
    <w:rsid w:val="00183847"/>
    <w:rsid w:val="001968D2"/>
    <w:rsid w:val="001A4ACC"/>
    <w:rsid w:val="001A652E"/>
    <w:rsid w:val="001C140C"/>
    <w:rsid w:val="001D7330"/>
    <w:rsid w:val="001D7FD0"/>
    <w:rsid w:val="001E33DB"/>
    <w:rsid w:val="001E75BB"/>
    <w:rsid w:val="001F29DC"/>
    <w:rsid w:val="001F727D"/>
    <w:rsid w:val="002457EC"/>
    <w:rsid w:val="002559BD"/>
    <w:rsid w:val="00262BF3"/>
    <w:rsid w:val="002674DD"/>
    <w:rsid w:val="00267D46"/>
    <w:rsid w:val="00290EEA"/>
    <w:rsid w:val="00296546"/>
    <w:rsid w:val="002C7510"/>
    <w:rsid w:val="002E3FB7"/>
    <w:rsid w:val="002E7DA2"/>
    <w:rsid w:val="002F60FC"/>
    <w:rsid w:val="00304053"/>
    <w:rsid w:val="00311E5A"/>
    <w:rsid w:val="0031539F"/>
    <w:rsid w:val="003177EA"/>
    <w:rsid w:val="00322906"/>
    <w:rsid w:val="003368EA"/>
    <w:rsid w:val="00337E2B"/>
    <w:rsid w:val="00374F59"/>
    <w:rsid w:val="003800DF"/>
    <w:rsid w:val="003B281E"/>
    <w:rsid w:val="003B77F3"/>
    <w:rsid w:val="003D0F7B"/>
    <w:rsid w:val="003E1CAB"/>
    <w:rsid w:val="00425D3D"/>
    <w:rsid w:val="004260D6"/>
    <w:rsid w:val="00452D81"/>
    <w:rsid w:val="00463B67"/>
    <w:rsid w:val="00471388"/>
    <w:rsid w:val="00482776"/>
    <w:rsid w:val="00496F31"/>
    <w:rsid w:val="004A7A98"/>
    <w:rsid w:val="004A7D5A"/>
    <w:rsid w:val="004E38D7"/>
    <w:rsid w:val="00504599"/>
    <w:rsid w:val="005049AF"/>
    <w:rsid w:val="00527B31"/>
    <w:rsid w:val="005364FB"/>
    <w:rsid w:val="0054587E"/>
    <w:rsid w:val="00550D5E"/>
    <w:rsid w:val="0055151C"/>
    <w:rsid w:val="00556560"/>
    <w:rsid w:val="00576562"/>
    <w:rsid w:val="00581EA6"/>
    <w:rsid w:val="00583488"/>
    <w:rsid w:val="0058583A"/>
    <w:rsid w:val="005B401D"/>
    <w:rsid w:val="005E4C4B"/>
    <w:rsid w:val="005E536B"/>
    <w:rsid w:val="005F02BB"/>
    <w:rsid w:val="00600731"/>
    <w:rsid w:val="00610BAF"/>
    <w:rsid w:val="006424B3"/>
    <w:rsid w:val="00661022"/>
    <w:rsid w:val="00661B63"/>
    <w:rsid w:val="006637E2"/>
    <w:rsid w:val="0066634D"/>
    <w:rsid w:val="00667193"/>
    <w:rsid w:val="006A4CC0"/>
    <w:rsid w:val="006B74C3"/>
    <w:rsid w:val="006C0987"/>
    <w:rsid w:val="006C0F59"/>
    <w:rsid w:val="006D72EE"/>
    <w:rsid w:val="006F06C9"/>
    <w:rsid w:val="006F2553"/>
    <w:rsid w:val="006F30DB"/>
    <w:rsid w:val="0072121F"/>
    <w:rsid w:val="00723B4B"/>
    <w:rsid w:val="00724418"/>
    <w:rsid w:val="0074002D"/>
    <w:rsid w:val="00743E35"/>
    <w:rsid w:val="00764FD8"/>
    <w:rsid w:val="007824F6"/>
    <w:rsid w:val="0078486A"/>
    <w:rsid w:val="007943EF"/>
    <w:rsid w:val="007946FC"/>
    <w:rsid w:val="007B1AAA"/>
    <w:rsid w:val="007B673F"/>
    <w:rsid w:val="007B68D3"/>
    <w:rsid w:val="007C18FA"/>
    <w:rsid w:val="0081135D"/>
    <w:rsid w:val="008202C9"/>
    <w:rsid w:val="0086015C"/>
    <w:rsid w:val="00875371"/>
    <w:rsid w:val="00896F31"/>
    <w:rsid w:val="008B1F43"/>
    <w:rsid w:val="008D2F56"/>
    <w:rsid w:val="008E240D"/>
    <w:rsid w:val="008E3074"/>
    <w:rsid w:val="008E43F0"/>
    <w:rsid w:val="008F1AC9"/>
    <w:rsid w:val="008F5370"/>
    <w:rsid w:val="008F6A99"/>
    <w:rsid w:val="009017EA"/>
    <w:rsid w:val="00914708"/>
    <w:rsid w:val="0093508E"/>
    <w:rsid w:val="00941490"/>
    <w:rsid w:val="009836CF"/>
    <w:rsid w:val="00996BAD"/>
    <w:rsid w:val="009A04DE"/>
    <w:rsid w:val="009B07F1"/>
    <w:rsid w:val="009B4153"/>
    <w:rsid w:val="009C374A"/>
    <w:rsid w:val="009C5C27"/>
    <w:rsid w:val="00A06B89"/>
    <w:rsid w:val="00A13D8E"/>
    <w:rsid w:val="00A24C77"/>
    <w:rsid w:val="00A35250"/>
    <w:rsid w:val="00A40D19"/>
    <w:rsid w:val="00A4262C"/>
    <w:rsid w:val="00A51C15"/>
    <w:rsid w:val="00A62479"/>
    <w:rsid w:val="00A734AD"/>
    <w:rsid w:val="00A826FC"/>
    <w:rsid w:val="00A85873"/>
    <w:rsid w:val="00A92138"/>
    <w:rsid w:val="00AB32A8"/>
    <w:rsid w:val="00AD4D2B"/>
    <w:rsid w:val="00B10133"/>
    <w:rsid w:val="00B117D3"/>
    <w:rsid w:val="00B504F9"/>
    <w:rsid w:val="00B54C84"/>
    <w:rsid w:val="00B63719"/>
    <w:rsid w:val="00B70A09"/>
    <w:rsid w:val="00BA1513"/>
    <w:rsid w:val="00BA681A"/>
    <w:rsid w:val="00BB6A39"/>
    <w:rsid w:val="00BE4FB3"/>
    <w:rsid w:val="00BE6A58"/>
    <w:rsid w:val="00BF0764"/>
    <w:rsid w:val="00BF279A"/>
    <w:rsid w:val="00BF7328"/>
    <w:rsid w:val="00C05770"/>
    <w:rsid w:val="00C23ED5"/>
    <w:rsid w:val="00C34497"/>
    <w:rsid w:val="00C36CBC"/>
    <w:rsid w:val="00C55AF5"/>
    <w:rsid w:val="00C61E4B"/>
    <w:rsid w:val="00C722E1"/>
    <w:rsid w:val="00C73F8C"/>
    <w:rsid w:val="00C815B5"/>
    <w:rsid w:val="00C862D9"/>
    <w:rsid w:val="00CB002B"/>
    <w:rsid w:val="00CB7427"/>
    <w:rsid w:val="00CC053B"/>
    <w:rsid w:val="00CC7635"/>
    <w:rsid w:val="00CD536D"/>
    <w:rsid w:val="00CE3711"/>
    <w:rsid w:val="00CE6B7B"/>
    <w:rsid w:val="00CF6277"/>
    <w:rsid w:val="00D02913"/>
    <w:rsid w:val="00D02C4A"/>
    <w:rsid w:val="00D21D14"/>
    <w:rsid w:val="00D46AD5"/>
    <w:rsid w:val="00D64E14"/>
    <w:rsid w:val="00D81D39"/>
    <w:rsid w:val="00DB6752"/>
    <w:rsid w:val="00DE0E93"/>
    <w:rsid w:val="00DF41B8"/>
    <w:rsid w:val="00E07C8E"/>
    <w:rsid w:val="00E07DDD"/>
    <w:rsid w:val="00E1057E"/>
    <w:rsid w:val="00E15FDF"/>
    <w:rsid w:val="00E2456E"/>
    <w:rsid w:val="00E31DD8"/>
    <w:rsid w:val="00E36326"/>
    <w:rsid w:val="00E47918"/>
    <w:rsid w:val="00E62016"/>
    <w:rsid w:val="00E645C6"/>
    <w:rsid w:val="00E904C0"/>
    <w:rsid w:val="00E93D4F"/>
    <w:rsid w:val="00EA3E03"/>
    <w:rsid w:val="00EB2994"/>
    <w:rsid w:val="00ED1FE3"/>
    <w:rsid w:val="00EF6191"/>
    <w:rsid w:val="00EF7B6A"/>
    <w:rsid w:val="00F20668"/>
    <w:rsid w:val="00F26D90"/>
    <w:rsid w:val="00F3519D"/>
    <w:rsid w:val="00F53F5B"/>
    <w:rsid w:val="00F553D9"/>
    <w:rsid w:val="00F85D63"/>
    <w:rsid w:val="00FA1176"/>
    <w:rsid w:val="00FC2746"/>
    <w:rsid w:val="00FC5478"/>
    <w:rsid w:val="00FD6E9F"/>
    <w:rsid w:val="00FF4C3B"/>
    <w:rsid w:val="01C1272A"/>
    <w:rsid w:val="034C6DB9"/>
    <w:rsid w:val="085660F6"/>
    <w:rsid w:val="0B0D27CA"/>
    <w:rsid w:val="0D662F16"/>
    <w:rsid w:val="11E6281C"/>
    <w:rsid w:val="144A0ED5"/>
    <w:rsid w:val="18186519"/>
    <w:rsid w:val="231360ED"/>
    <w:rsid w:val="23B57963"/>
    <w:rsid w:val="243364E8"/>
    <w:rsid w:val="249B621D"/>
    <w:rsid w:val="26F1328F"/>
    <w:rsid w:val="2D2F4284"/>
    <w:rsid w:val="32C65346"/>
    <w:rsid w:val="338372B9"/>
    <w:rsid w:val="3515228E"/>
    <w:rsid w:val="36C277A1"/>
    <w:rsid w:val="381961EB"/>
    <w:rsid w:val="41F157BB"/>
    <w:rsid w:val="4686420B"/>
    <w:rsid w:val="48AB0628"/>
    <w:rsid w:val="497E0F0F"/>
    <w:rsid w:val="4C802161"/>
    <w:rsid w:val="4FC25E62"/>
    <w:rsid w:val="54107234"/>
    <w:rsid w:val="54FE05AA"/>
    <w:rsid w:val="59411DEA"/>
    <w:rsid w:val="69BF78C9"/>
    <w:rsid w:val="6A7938C4"/>
    <w:rsid w:val="6BA50795"/>
    <w:rsid w:val="6D2E5524"/>
    <w:rsid w:val="70AA641B"/>
    <w:rsid w:val="748F78B2"/>
    <w:rsid w:val="758E19DF"/>
    <w:rsid w:val="76A9516C"/>
    <w:rsid w:val="76C248A0"/>
    <w:rsid w:val="7766576B"/>
    <w:rsid w:val="7BCF7CC5"/>
    <w:rsid w:val="7EA6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E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457EC"/>
    <w:rPr>
      <w:rFonts w:eastAsia="仿宋_GB2312"/>
      <w:b/>
      <w:bCs/>
      <w:sz w:val="32"/>
    </w:rPr>
  </w:style>
  <w:style w:type="paragraph" w:styleId="a4">
    <w:name w:val="annotation text"/>
    <w:basedOn w:val="a"/>
    <w:link w:val="Char0"/>
    <w:semiHidden/>
    <w:qFormat/>
    <w:rsid w:val="002457EC"/>
    <w:pPr>
      <w:jc w:val="left"/>
    </w:pPr>
    <w:rPr>
      <w:rFonts w:eastAsia="宋体"/>
      <w:sz w:val="21"/>
    </w:rPr>
  </w:style>
  <w:style w:type="paragraph" w:styleId="a5">
    <w:name w:val="Body Text"/>
    <w:basedOn w:val="a"/>
    <w:link w:val="Char1"/>
    <w:qFormat/>
    <w:rsid w:val="002457EC"/>
    <w:pPr>
      <w:snapToGrid w:val="0"/>
      <w:spacing w:line="252" w:lineRule="auto"/>
      <w:jc w:val="center"/>
    </w:pPr>
    <w:rPr>
      <w:rFonts w:ascii="宋体" w:eastAsia="方正小标宋简体" w:hAnsi="宋体"/>
      <w:bCs/>
      <w:sz w:val="44"/>
      <w:szCs w:val="36"/>
    </w:rPr>
  </w:style>
  <w:style w:type="paragraph" w:styleId="a6">
    <w:name w:val="Balloon Text"/>
    <w:basedOn w:val="a"/>
    <w:link w:val="Char2"/>
    <w:uiPriority w:val="99"/>
    <w:unhideWhenUsed/>
    <w:qFormat/>
    <w:rsid w:val="002457EC"/>
    <w:rPr>
      <w:sz w:val="18"/>
      <w:szCs w:val="18"/>
    </w:rPr>
  </w:style>
  <w:style w:type="paragraph" w:styleId="a7">
    <w:name w:val="footer"/>
    <w:basedOn w:val="a"/>
    <w:link w:val="Char3"/>
    <w:uiPriority w:val="99"/>
    <w:unhideWhenUsed/>
    <w:qFormat/>
    <w:rsid w:val="002457E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2457EC"/>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qFormat/>
    <w:rsid w:val="002457EC"/>
    <w:rPr>
      <w:sz w:val="21"/>
      <w:szCs w:val="21"/>
    </w:rPr>
  </w:style>
  <w:style w:type="character" w:customStyle="1" w:styleId="Char1">
    <w:name w:val="正文文本 Char"/>
    <w:basedOn w:val="a0"/>
    <w:link w:val="a5"/>
    <w:qFormat/>
    <w:rsid w:val="002457EC"/>
    <w:rPr>
      <w:rFonts w:ascii="宋体" w:eastAsia="方正小标宋简体" w:hAnsi="宋体" w:cs="Times New Roman"/>
      <w:bCs/>
      <w:sz w:val="44"/>
      <w:szCs w:val="36"/>
    </w:rPr>
  </w:style>
  <w:style w:type="character" w:customStyle="1" w:styleId="Char0">
    <w:name w:val="批注文字 Char"/>
    <w:basedOn w:val="a0"/>
    <w:link w:val="a4"/>
    <w:semiHidden/>
    <w:qFormat/>
    <w:rsid w:val="002457EC"/>
    <w:rPr>
      <w:rFonts w:ascii="Times New Roman" w:eastAsia="宋体" w:hAnsi="Times New Roman" w:cs="Times New Roman"/>
      <w:szCs w:val="24"/>
    </w:rPr>
  </w:style>
  <w:style w:type="character" w:customStyle="1" w:styleId="Char4">
    <w:name w:val="页眉 Char"/>
    <w:basedOn w:val="a0"/>
    <w:link w:val="a8"/>
    <w:uiPriority w:val="99"/>
    <w:semiHidden/>
    <w:qFormat/>
    <w:rsid w:val="002457EC"/>
    <w:rPr>
      <w:rFonts w:ascii="Times New Roman" w:eastAsia="仿宋_GB2312" w:hAnsi="Times New Roman" w:cs="Times New Roman"/>
      <w:sz w:val="18"/>
      <w:szCs w:val="18"/>
    </w:rPr>
  </w:style>
  <w:style w:type="character" w:customStyle="1" w:styleId="Char3">
    <w:name w:val="页脚 Char"/>
    <w:basedOn w:val="a0"/>
    <w:link w:val="a7"/>
    <w:uiPriority w:val="99"/>
    <w:qFormat/>
    <w:rsid w:val="002457EC"/>
    <w:rPr>
      <w:rFonts w:ascii="Times New Roman" w:eastAsia="仿宋_GB2312" w:hAnsi="Times New Roman" w:cs="Times New Roman"/>
      <w:sz w:val="18"/>
      <w:szCs w:val="18"/>
    </w:rPr>
  </w:style>
  <w:style w:type="character" w:customStyle="1" w:styleId="Char2">
    <w:name w:val="批注框文本 Char"/>
    <w:basedOn w:val="a0"/>
    <w:link w:val="a6"/>
    <w:uiPriority w:val="99"/>
    <w:semiHidden/>
    <w:qFormat/>
    <w:rsid w:val="002457EC"/>
    <w:rPr>
      <w:rFonts w:ascii="Times New Roman" w:eastAsia="仿宋_GB2312" w:hAnsi="Times New Roman" w:cs="Times New Roman"/>
      <w:sz w:val="18"/>
      <w:szCs w:val="18"/>
    </w:rPr>
  </w:style>
  <w:style w:type="paragraph" w:customStyle="1" w:styleId="1">
    <w:name w:val="列出段落1"/>
    <w:basedOn w:val="a"/>
    <w:uiPriority w:val="34"/>
    <w:qFormat/>
    <w:rsid w:val="002457EC"/>
    <w:pPr>
      <w:spacing w:line="360" w:lineRule="auto"/>
      <w:ind w:firstLineChars="200" w:firstLine="420"/>
    </w:pPr>
    <w:rPr>
      <w:rFonts w:eastAsia="宋体"/>
      <w:sz w:val="24"/>
    </w:rPr>
  </w:style>
  <w:style w:type="character" w:customStyle="1" w:styleId="Char">
    <w:name w:val="批注主题 Char"/>
    <w:basedOn w:val="Char0"/>
    <w:link w:val="a3"/>
    <w:uiPriority w:val="99"/>
    <w:semiHidden/>
    <w:qFormat/>
    <w:rsid w:val="002457EC"/>
    <w:rPr>
      <w:rFonts w:ascii="Times New Roman" w:eastAsia="仿宋_GB2312" w:hAnsi="Times New Roman" w:cs="Times New Roman"/>
      <w:b/>
      <w:bCs/>
      <w:sz w:val="32"/>
      <w:szCs w:val="24"/>
    </w:rPr>
  </w:style>
  <w:style w:type="character" w:customStyle="1" w:styleId="10">
    <w:name w:val="占位符文本1"/>
    <w:basedOn w:val="a0"/>
    <w:uiPriority w:val="99"/>
    <w:semiHidden/>
    <w:qFormat/>
    <w:rsid w:val="002457EC"/>
    <w:rPr>
      <w:color w:val="808080"/>
    </w:rPr>
  </w:style>
  <w:style w:type="paragraph" w:styleId="aa">
    <w:name w:val="List Paragraph"/>
    <w:basedOn w:val="a"/>
    <w:uiPriority w:val="34"/>
    <w:qFormat/>
    <w:rsid w:val="002457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58FBA-A0DA-48D8-8B3F-F873316A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徐晖</cp:lastModifiedBy>
  <cp:revision>53</cp:revision>
  <cp:lastPrinted>2019-05-21T07:20:00Z</cp:lastPrinted>
  <dcterms:created xsi:type="dcterms:W3CDTF">2017-03-21T06:43:00Z</dcterms:created>
  <dcterms:modified xsi:type="dcterms:W3CDTF">2019-06-06T03:53:00Z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