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68" w:rsidRDefault="00784D68" w:rsidP="003A627C">
      <w:pPr>
        <w:adjustRightInd w:val="0"/>
        <w:snapToGrid w:val="0"/>
        <w:spacing w:line="550" w:lineRule="exact"/>
        <w:jc w:val="left"/>
        <w:rPr>
          <w:rFonts w:ascii="黑体" w:eastAsia="黑体" w:hAnsi="黑体"/>
          <w:kern w:val="0"/>
          <w:sz w:val="32"/>
          <w:szCs w:val="32"/>
        </w:rPr>
      </w:pPr>
      <w:bookmarkStart w:id="0" w:name="_GoBack"/>
      <w:bookmarkEnd w:id="0"/>
      <w:r w:rsidRPr="005B3196">
        <w:rPr>
          <w:rFonts w:ascii="黑体" w:eastAsia="黑体" w:hAnsi="黑体" w:hint="eastAsia"/>
          <w:kern w:val="0"/>
          <w:sz w:val="32"/>
          <w:szCs w:val="32"/>
        </w:rPr>
        <w:t>附件</w:t>
      </w:r>
    </w:p>
    <w:p w:rsidR="00784D68" w:rsidRDefault="00784D68" w:rsidP="00784D68">
      <w:pPr>
        <w:adjustRightInd w:val="0"/>
        <w:snapToGrid w:val="0"/>
        <w:spacing w:line="560" w:lineRule="exact"/>
        <w:ind w:firstLineChars="177" w:firstLine="566"/>
        <w:jc w:val="left"/>
        <w:rPr>
          <w:rFonts w:ascii="黑体" w:eastAsia="黑体" w:hAnsi="黑体"/>
          <w:kern w:val="0"/>
          <w:sz w:val="32"/>
          <w:szCs w:val="32"/>
        </w:rPr>
      </w:pPr>
    </w:p>
    <w:p w:rsidR="00784D68" w:rsidRPr="005B3196" w:rsidRDefault="00784D68" w:rsidP="00784D68">
      <w:pPr>
        <w:adjustRightInd w:val="0"/>
        <w:snapToGrid w:val="0"/>
        <w:spacing w:line="560" w:lineRule="exact"/>
        <w:jc w:val="center"/>
        <w:rPr>
          <w:rFonts w:ascii="方正小标宋简体" w:eastAsia="方正小标宋简体" w:hAnsi="黑体" w:cs="宋体"/>
          <w:color w:val="000000"/>
          <w:kern w:val="0"/>
          <w:sz w:val="44"/>
          <w:szCs w:val="44"/>
        </w:rPr>
      </w:pPr>
      <w:r w:rsidRPr="005B3196">
        <w:rPr>
          <w:rFonts w:ascii="方正小标宋简体" w:eastAsia="方正小标宋简体" w:hAnsi="黑体" w:cs="宋体" w:hint="eastAsia"/>
          <w:color w:val="000000"/>
          <w:kern w:val="0"/>
          <w:sz w:val="44"/>
          <w:szCs w:val="44"/>
        </w:rPr>
        <w:t>国家开发银行老旧小区改造金融产品</w:t>
      </w:r>
    </w:p>
    <w:p w:rsidR="00784D68" w:rsidRDefault="00784D68" w:rsidP="00784D68">
      <w:pPr>
        <w:pStyle w:val="a5"/>
        <w:adjustRightInd w:val="0"/>
        <w:snapToGrid w:val="0"/>
        <w:spacing w:line="560" w:lineRule="exact"/>
        <w:ind w:firstLineChars="0" w:firstLine="0"/>
        <w:rPr>
          <w:rFonts w:ascii="仿宋_GB2312" w:eastAsia="仿宋_GB2312" w:hAnsi="宋体" w:cs="宋体"/>
          <w:color w:val="000000"/>
          <w:kern w:val="0"/>
          <w:sz w:val="32"/>
          <w:szCs w:val="32"/>
        </w:rPr>
      </w:pPr>
    </w:p>
    <w:p w:rsidR="00784D68" w:rsidRPr="00EF1899" w:rsidRDefault="00784D68" w:rsidP="00784D68">
      <w:pPr>
        <w:pStyle w:val="a5"/>
        <w:adjustRightInd w:val="0"/>
        <w:snapToGrid w:val="0"/>
        <w:spacing w:line="560" w:lineRule="exact"/>
        <w:ind w:firstLine="640"/>
        <w:rPr>
          <w:rFonts w:ascii="黑体" w:eastAsia="黑体" w:hAnsi="黑体" w:cs="宋体"/>
          <w:color w:val="000000"/>
          <w:kern w:val="0"/>
          <w:sz w:val="32"/>
          <w:szCs w:val="32"/>
        </w:rPr>
      </w:pPr>
      <w:r w:rsidRPr="00EF1899">
        <w:rPr>
          <w:rFonts w:ascii="黑体" w:eastAsia="黑体" w:hAnsi="黑体" w:hint="eastAsia"/>
          <w:kern w:val="0"/>
          <w:sz w:val="32"/>
          <w:szCs w:val="32"/>
        </w:rPr>
        <w:t>一、</w:t>
      </w:r>
      <w:r w:rsidRPr="00EF1899">
        <w:rPr>
          <w:rFonts w:ascii="黑体" w:eastAsia="黑体" w:hAnsi="黑体" w:cs="宋体" w:hint="eastAsia"/>
          <w:color w:val="000000"/>
          <w:kern w:val="0"/>
          <w:sz w:val="32"/>
          <w:szCs w:val="32"/>
        </w:rPr>
        <w:t>产品类型</w:t>
      </w:r>
    </w:p>
    <w:p w:rsidR="00784D68" w:rsidRPr="008140E4" w:rsidRDefault="00784D68" w:rsidP="00784D68">
      <w:pPr>
        <w:adjustRightInd w:val="0"/>
        <w:snapToGrid w:val="0"/>
        <w:spacing w:line="560" w:lineRule="exact"/>
        <w:ind w:firstLineChars="200" w:firstLine="640"/>
        <w:rPr>
          <w:rFonts w:ascii="楷体_GB2312" w:eastAsia="楷体_GB2312" w:hAnsi="宋体" w:cs="宋体"/>
          <w:color w:val="000000"/>
          <w:kern w:val="0"/>
          <w:sz w:val="32"/>
          <w:szCs w:val="32"/>
        </w:rPr>
      </w:pPr>
      <w:r w:rsidRPr="008140E4">
        <w:rPr>
          <w:rFonts w:ascii="楷体_GB2312" w:eastAsia="楷体_GB2312" w:hAnsi="宋体" w:cs="宋体" w:hint="eastAsia"/>
          <w:color w:val="000000"/>
          <w:kern w:val="0"/>
          <w:sz w:val="32"/>
          <w:szCs w:val="32"/>
        </w:rPr>
        <w:t>（一）股权类产品</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开发银行可参与投资、协助政府设立城市更新基金、老旧小区改造基金等。</w:t>
      </w:r>
    </w:p>
    <w:p w:rsidR="00784D68" w:rsidRPr="008140E4" w:rsidRDefault="00784D68" w:rsidP="00784D68">
      <w:pPr>
        <w:adjustRightInd w:val="0"/>
        <w:snapToGrid w:val="0"/>
        <w:spacing w:line="560" w:lineRule="exact"/>
        <w:ind w:firstLineChars="200" w:firstLine="640"/>
        <w:rPr>
          <w:rFonts w:ascii="楷体_GB2312" w:eastAsia="楷体_GB2312" w:hAnsi="宋体" w:cs="宋体"/>
          <w:color w:val="000000"/>
          <w:kern w:val="0"/>
          <w:sz w:val="32"/>
          <w:szCs w:val="32"/>
        </w:rPr>
      </w:pPr>
      <w:r w:rsidRPr="008140E4">
        <w:rPr>
          <w:rFonts w:ascii="楷体_GB2312" w:eastAsia="楷体_GB2312" w:hAnsi="宋体" w:cs="宋体" w:hint="eastAsia"/>
          <w:color w:val="000000"/>
          <w:kern w:val="0"/>
          <w:sz w:val="32"/>
          <w:szCs w:val="32"/>
        </w:rPr>
        <w:t>（二）债权类产品</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1</w:t>
      </w:r>
      <w:r>
        <w:rPr>
          <w:rFonts w:ascii="仿宋_GB2312" w:eastAsia="仿宋_GB2312" w:hAnsi="黑体" w:hint="eastAsia"/>
          <w:kern w:val="0"/>
          <w:sz w:val="32"/>
        </w:rPr>
        <w:t>.</w:t>
      </w:r>
      <w:r w:rsidRPr="00EF1899">
        <w:rPr>
          <w:rFonts w:ascii="仿宋_GB2312" w:eastAsia="仿宋_GB2312" w:hAnsi="黑体" w:hint="eastAsia"/>
          <w:kern w:val="0"/>
          <w:sz w:val="32"/>
        </w:rPr>
        <w:t>银行间市场债务直接融资工具</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开发银行可作为债权承销商承销实施主体发行的超短融、短融、中票、公司债等债券业务。</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2</w:t>
      </w:r>
      <w:r>
        <w:rPr>
          <w:rFonts w:ascii="仿宋_GB2312" w:eastAsia="仿宋_GB2312" w:hAnsi="黑体" w:hint="eastAsia"/>
          <w:kern w:val="0"/>
          <w:sz w:val="32"/>
        </w:rPr>
        <w:t>.</w:t>
      </w:r>
      <w:r w:rsidRPr="00EF1899">
        <w:rPr>
          <w:rFonts w:ascii="仿宋_GB2312" w:eastAsia="仿宋_GB2312" w:hAnsi="黑体" w:hint="eastAsia"/>
          <w:kern w:val="0"/>
          <w:sz w:val="32"/>
        </w:rPr>
        <w:t>证券化债务融资工具</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开发银行可帮助实施主体申请类REITS、CMBS、ABS等资产证券化业务，盘活存量资产，拓展多个融资渠道。</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EF1899">
        <w:rPr>
          <w:rFonts w:ascii="仿宋_GB2312" w:eastAsia="仿宋_GB2312" w:hAnsi="宋体" w:cs="宋体" w:hint="eastAsia"/>
          <w:color w:val="000000"/>
          <w:kern w:val="0"/>
          <w:sz w:val="32"/>
          <w:szCs w:val="32"/>
        </w:rPr>
        <w:t>中长期贷款业务</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借款人：符合银行要求的企业法人。</w:t>
      </w:r>
      <w:r w:rsidRPr="00EF1899">
        <w:rPr>
          <w:rFonts w:ascii="仿宋_GB2312" w:eastAsia="仿宋_GB2312" w:hAnsi="黑体"/>
          <w:kern w:val="0"/>
          <w:sz w:val="32"/>
        </w:rPr>
        <w:t xml:space="preserve"> </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贷款用途：符合国办23号文要求的基础类、完善类、提升类的各种类型的改造内容。</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资本金：按照国家对于资本金比例要求的最低比例，不低于总投资的20%。居民出资、市区级财政补贴、政府专项债以及国有企事业单位等老旧小区原产权单位给予的资金均可作为项目的资本金。</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还款来源：小区配套设施、公共服务设施等出租、经营收入；</w:t>
      </w:r>
      <w:r w:rsidRPr="00EF1899">
        <w:rPr>
          <w:rFonts w:ascii="仿宋_GB2312" w:eastAsia="仿宋_GB2312" w:hAnsi="黑体" w:hint="eastAsia"/>
          <w:kern w:val="0"/>
          <w:sz w:val="32"/>
        </w:rPr>
        <w:lastRenderedPageBreak/>
        <w:t>自行车棚、闲置锅炉房、堆煤场等多种经营资产的收入；企业公司现金流等。</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贷款期限：最长为25年，宽限期（只付息不还本）最长为5年。</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贷款利率：不高于贷款市场报价利率（LPR）</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信用结构：</w:t>
      </w:r>
      <w:r w:rsidRPr="00EF1899">
        <w:rPr>
          <w:rFonts w:ascii="仿宋_GB2312" w:eastAsia="仿宋_GB2312" w:hAnsi="宋体" w:cs="宋体" w:hint="eastAsia"/>
          <w:color w:val="000000"/>
          <w:kern w:val="0"/>
          <w:sz w:val="32"/>
          <w:szCs w:val="32"/>
        </w:rPr>
        <w:t>经营性资产形成的应收账款质押、资产抵押、保证担保、股权质押、企业信用良好的可采用免担保等</w:t>
      </w:r>
      <w:r w:rsidRPr="00EF1899">
        <w:rPr>
          <w:rFonts w:ascii="仿宋_GB2312" w:eastAsia="仿宋_GB2312" w:hAnsi="黑体" w:hint="eastAsia"/>
          <w:kern w:val="0"/>
          <w:sz w:val="32"/>
        </w:rPr>
        <w:t>。</w:t>
      </w:r>
    </w:p>
    <w:p w:rsidR="00784D68" w:rsidRPr="00EF1899" w:rsidRDefault="00784D68" w:rsidP="00784D68">
      <w:pPr>
        <w:pStyle w:val="a5"/>
        <w:adjustRightInd w:val="0"/>
        <w:snapToGrid w:val="0"/>
        <w:spacing w:line="560" w:lineRule="exact"/>
        <w:ind w:left="720" w:firstLineChars="0" w:firstLine="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Pr="00EF1899">
        <w:rPr>
          <w:rFonts w:ascii="仿宋_GB2312" w:eastAsia="仿宋_GB2312" w:hAnsi="宋体" w:cs="宋体" w:hint="eastAsia"/>
          <w:color w:val="000000"/>
          <w:kern w:val="0"/>
          <w:sz w:val="32"/>
          <w:szCs w:val="32"/>
        </w:rPr>
        <w:t>流动资金贷款</w:t>
      </w:r>
    </w:p>
    <w:p w:rsidR="00784D68" w:rsidRPr="00EF1899" w:rsidRDefault="00784D68" w:rsidP="00784D68">
      <w:pPr>
        <w:adjustRightInd w:val="0"/>
        <w:snapToGrid w:val="0"/>
        <w:spacing w:line="560" w:lineRule="exact"/>
        <w:ind w:firstLineChars="177" w:firstLine="566"/>
        <w:rPr>
          <w:rFonts w:ascii="仿宋_GB2312" w:eastAsia="仿宋_GB2312" w:hAnsi="黑体"/>
          <w:kern w:val="0"/>
          <w:sz w:val="32"/>
        </w:rPr>
      </w:pPr>
      <w:r w:rsidRPr="00EF1899">
        <w:rPr>
          <w:rFonts w:ascii="仿宋_GB2312" w:eastAsia="仿宋_GB2312" w:hAnsi="黑体" w:hint="eastAsia"/>
          <w:kern w:val="0"/>
          <w:sz w:val="32"/>
        </w:rPr>
        <w:t>可提供1年期、3年期的流动资金贷款，用途为实施主体运营期的日常经营所需。</w:t>
      </w:r>
    </w:p>
    <w:p w:rsidR="00784D68" w:rsidRPr="00EF1899" w:rsidRDefault="00784D68" w:rsidP="00784D68">
      <w:pPr>
        <w:pStyle w:val="a5"/>
        <w:adjustRightInd w:val="0"/>
        <w:snapToGrid w:val="0"/>
        <w:spacing w:line="560" w:lineRule="exact"/>
        <w:ind w:left="720" w:firstLineChars="0" w:firstLine="0"/>
        <w:rPr>
          <w:rFonts w:ascii="黑体" w:eastAsia="黑体" w:hAnsi="黑体" w:cs="宋体"/>
          <w:color w:val="000000"/>
          <w:kern w:val="0"/>
          <w:sz w:val="32"/>
          <w:szCs w:val="32"/>
        </w:rPr>
      </w:pPr>
      <w:r w:rsidRPr="00EF1899">
        <w:rPr>
          <w:rFonts w:ascii="黑体" w:eastAsia="黑体" w:hAnsi="黑体" w:cs="宋体" w:hint="eastAsia"/>
          <w:color w:val="000000"/>
          <w:kern w:val="0"/>
          <w:sz w:val="32"/>
          <w:szCs w:val="32"/>
        </w:rPr>
        <w:t>二</w:t>
      </w:r>
      <w:r w:rsidRPr="00EF1899">
        <w:rPr>
          <w:rFonts w:ascii="黑体" w:eastAsia="黑体" w:hAnsi="黑体" w:cs="宋体"/>
          <w:color w:val="000000"/>
          <w:kern w:val="0"/>
          <w:sz w:val="32"/>
          <w:szCs w:val="32"/>
        </w:rPr>
        <w:t>、</w:t>
      </w:r>
      <w:r w:rsidRPr="00EF1899">
        <w:rPr>
          <w:rFonts w:ascii="黑体" w:eastAsia="黑体" w:hAnsi="黑体" w:cs="宋体" w:hint="eastAsia"/>
          <w:color w:val="000000"/>
          <w:kern w:val="0"/>
          <w:sz w:val="32"/>
          <w:szCs w:val="32"/>
        </w:rPr>
        <w:t>融资模式</w:t>
      </w:r>
    </w:p>
    <w:p w:rsidR="00784D68" w:rsidRPr="008140E4" w:rsidRDefault="00784D68" w:rsidP="00784D68">
      <w:pPr>
        <w:adjustRightInd w:val="0"/>
        <w:snapToGrid w:val="0"/>
        <w:spacing w:line="560" w:lineRule="exact"/>
        <w:ind w:firstLineChars="200" w:firstLine="640"/>
        <w:rPr>
          <w:rFonts w:ascii="楷体_GB2312" w:eastAsia="楷体_GB2312" w:hAnsi="宋体" w:cs="宋体"/>
          <w:color w:val="000000"/>
          <w:kern w:val="0"/>
          <w:sz w:val="32"/>
          <w:szCs w:val="32"/>
        </w:rPr>
      </w:pPr>
      <w:r w:rsidRPr="008140E4">
        <w:rPr>
          <w:rFonts w:ascii="楷体_GB2312" w:eastAsia="楷体_GB2312" w:hAnsi="宋体" w:cs="宋体" w:hint="eastAsia"/>
          <w:color w:val="000000"/>
          <w:kern w:val="0"/>
          <w:sz w:val="32"/>
          <w:szCs w:val="32"/>
        </w:rPr>
        <w:t>（一）项目融资</w:t>
      </w:r>
    </w:p>
    <w:p w:rsidR="00784D68" w:rsidRPr="00EF1899" w:rsidRDefault="00784D68" w:rsidP="00784D68">
      <w:pPr>
        <w:adjustRightInd w:val="0"/>
        <w:snapToGrid w:val="0"/>
        <w:spacing w:line="560" w:lineRule="exact"/>
        <w:ind w:firstLine="645"/>
        <w:rPr>
          <w:rFonts w:ascii="仿宋_GB2312" w:eastAsia="仿宋_GB2312" w:hAnsi="黑体"/>
          <w:kern w:val="0"/>
          <w:sz w:val="32"/>
        </w:rPr>
      </w:pPr>
      <w:r w:rsidRPr="00EF1899">
        <w:rPr>
          <w:rFonts w:ascii="仿宋_GB2312" w:eastAsia="仿宋_GB2312" w:hAnsi="黑体" w:hint="eastAsia"/>
          <w:kern w:val="0"/>
          <w:sz w:val="32"/>
        </w:rPr>
        <w:t>可小区自平衡，或以大片区统筹、跨片区统筹资源实现的收益作为平衡来源。</w:t>
      </w:r>
    </w:p>
    <w:p w:rsidR="00784D68" w:rsidRPr="008140E4" w:rsidRDefault="00784D68" w:rsidP="00784D68">
      <w:pPr>
        <w:adjustRightInd w:val="0"/>
        <w:snapToGrid w:val="0"/>
        <w:spacing w:line="560" w:lineRule="exact"/>
        <w:ind w:firstLineChars="200" w:firstLine="640"/>
        <w:rPr>
          <w:rFonts w:ascii="楷体_GB2312" w:eastAsia="楷体_GB2312" w:hAnsi="宋体" w:cs="宋体"/>
          <w:color w:val="000000"/>
          <w:kern w:val="0"/>
          <w:sz w:val="32"/>
          <w:szCs w:val="32"/>
        </w:rPr>
      </w:pPr>
      <w:r w:rsidRPr="008140E4">
        <w:rPr>
          <w:rFonts w:ascii="楷体_GB2312" w:eastAsia="楷体_GB2312" w:hAnsi="宋体" w:cs="宋体" w:hint="eastAsia"/>
          <w:color w:val="000000"/>
          <w:kern w:val="0"/>
          <w:sz w:val="32"/>
          <w:szCs w:val="32"/>
        </w:rPr>
        <w:t>（二）公司融资</w:t>
      </w:r>
    </w:p>
    <w:p w:rsidR="00784D68" w:rsidRPr="00EF1899" w:rsidRDefault="00784D68" w:rsidP="00784D68">
      <w:pPr>
        <w:adjustRightInd w:val="0"/>
        <w:snapToGrid w:val="0"/>
        <w:spacing w:line="560" w:lineRule="exact"/>
        <w:ind w:firstLine="645"/>
        <w:rPr>
          <w:rFonts w:ascii="仿宋_GB2312" w:eastAsia="仿宋_GB2312" w:hAnsi="黑体"/>
          <w:kern w:val="0"/>
          <w:sz w:val="32"/>
        </w:rPr>
      </w:pPr>
      <w:r w:rsidRPr="00EF1899">
        <w:rPr>
          <w:rFonts w:ascii="仿宋_GB2312" w:eastAsia="仿宋_GB2312" w:hAnsi="黑体" w:hint="eastAsia"/>
          <w:kern w:val="0"/>
          <w:sz w:val="32"/>
        </w:rPr>
        <w:t xml:space="preserve">对于市属、区属国有企业或其他自身实力较强的主体，可以项目运营收益和政府授权运营或注入的其他资产产生的现金流等企业综合收益作为平衡来源。 </w:t>
      </w:r>
    </w:p>
    <w:p w:rsidR="00784D68" w:rsidRPr="008140E4" w:rsidRDefault="00784D68" w:rsidP="00784D68">
      <w:pPr>
        <w:adjustRightInd w:val="0"/>
        <w:snapToGrid w:val="0"/>
        <w:spacing w:line="560" w:lineRule="exact"/>
        <w:ind w:firstLineChars="200" w:firstLine="640"/>
        <w:rPr>
          <w:rFonts w:ascii="楷体_GB2312" w:eastAsia="楷体_GB2312" w:hAnsi="宋体" w:cs="宋体"/>
          <w:color w:val="000000"/>
          <w:kern w:val="0"/>
          <w:sz w:val="32"/>
          <w:szCs w:val="32"/>
        </w:rPr>
      </w:pPr>
      <w:r w:rsidRPr="008140E4">
        <w:rPr>
          <w:rFonts w:ascii="楷体_GB2312" w:eastAsia="楷体_GB2312" w:hAnsi="宋体" w:cs="宋体" w:hint="eastAsia"/>
          <w:color w:val="000000"/>
          <w:kern w:val="0"/>
          <w:sz w:val="32"/>
          <w:szCs w:val="32"/>
        </w:rPr>
        <w:t>（三）PPP</w:t>
      </w:r>
    </w:p>
    <w:p w:rsidR="00784D68" w:rsidRPr="00EF1899" w:rsidRDefault="00784D68" w:rsidP="00784D68">
      <w:pPr>
        <w:adjustRightInd w:val="0"/>
        <w:snapToGrid w:val="0"/>
        <w:spacing w:line="560" w:lineRule="exact"/>
        <w:ind w:firstLine="645"/>
        <w:rPr>
          <w:rFonts w:ascii="仿宋_GB2312" w:eastAsia="仿宋_GB2312" w:hAnsi="黑体"/>
          <w:kern w:val="0"/>
          <w:sz w:val="32"/>
        </w:rPr>
      </w:pPr>
      <w:r w:rsidRPr="00EF1899">
        <w:rPr>
          <w:rFonts w:ascii="仿宋_GB2312" w:eastAsia="仿宋_GB2312" w:hAnsi="黑体" w:hint="eastAsia"/>
          <w:kern w:val="0"/>
          <w:sz w:val="32"/>
        </w:rPr>
        <w:t>对于预期收益不能覆盖投入的项目，以PPP协议项下的使用者付费和可行性缺口补助或政府付费作为平衡来源。</w:t>
      </w:r>
    </w:p>
    <w:p w:rsidR="00784D68" w:rsidRPr="00EF1899" w:rsidRDefault="00784D68" w:rsidP="00784D68">
      <w:pPr>
        <w:adjustRightInd w:val="0"/>
        <w:snapToGrid w:val="0"/>
        <w:spacing w:line="560" w:lineRule="exact"/>
        <w:ind w:firstLine="645"/>
        <w:rPr>
          <w:rFonts w:ascii="仿宋_GB2312" w:eastAsia="仿宋_GB2312" w:hAnsi="黑体"/>
          <w:kern w:val="0"/>
          <w:sz w:val="32"/>
        </w:rPr>
      </w:pPr>
      <w:r>
        <w:rPr>
          <w:rFonts w:ascii="仿宋_GB2312" w:eastAsia="仿宋_GB2312" w:hAnsi="黑体" w:hint="eastAsia"/>
          <w:kern w:val="0"/>
          <w:sz w:val="32"/>
        </w:rPr>
        <w:t>上述为开发银行主要金融产品，后续开发银行还将根据北京市老旧小区改造推动情况和项目具体条件优化、改进</w:t>
      </w:r>
      <w:r w:rsidRPr="00EF1899">
        <w:rPr>
          <w:rFonts w:ascii="仿宋_GB2312" w:eastAsia="仿宋_GB2312" w:hAnsi="黑体" w:hint="eastAsia"/>
          <w:kern w:val="0"/>
          <w:sz w:val="32"/>
        </w:rPr>
        <w:t>产品。</w:t>
      </w:r>
    </w:p>
    <w:p w:rsidR="00784D68" w:rsidRPr="00864336" w:rsidRDefault="00784D68" w:rsidP="00784D68">
      <w:pPr>
        <w:spacing w:line="500" w:lineRule="exact"/>
        <w:rPr>
          <w:rFonts w:ascii="黑体" w:eastAsia="黑体" w:hAnsi="黑体" w:cs="Arial"/>
          <w:sz w:val="32"/>
          <w:szCs w:val="32"/>
        </w:rPr>
      </w:pPr>
    </w:p>
    <w:sectPr w:rsidR="00784D68" w:rsidRPr="00864336" w:rsidSect="00DC0C1A">
      <w:headerReference w:type="default" r:id="rId8"/>
      <w:footerReference w:type="default" r:id="rId9"/>
      <w:pgSz w:w="11906" w:h="16838"/>
      <w:pgMar w:top="1701" w:right="1474" w:bottom="1701" w:left="1588" w:header="851" w:footer="119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C1" w:rsidRDefault="00434CC1" w:rsidP="00784D68">
      <w:r>
        <w:separator/>
      </w:r>
    </w:p>
  </w:endnote>
  <w:endnote w:type="continuationSeparator" w:id="0">
    <w:p w:rsidR="00434CC1" w:rsidRDefault="00434CC1" w:rsidP="0078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6B" w:rsidRDefault="003A627C">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47C6B" w:rsidRPr="003D247E" w:rsidRDefault="00F86EB7" w:rsidP="002B2E1F">
                          <w:pPr>
                            <w:snapToGrid w:val="0"/>
                            <w:ind w:leftChars="200" w:left="420" w:rightChars="200" w:right="420"/>
                            <w:rPr>
                              <w:rFonts w:ascii="宋体"/>
                              <w:sz w:val="28"/>
                              <w:szCs w:val="28"/>
                            </w:rPr>
                          </w:pPr>
                          <w:r w:rsidRPr="003D247E">
                            <w:rPr>
                              <w:rFonts w:ascii="宋体" w:hAnsi="宋体" w:cs="宋体"/>
                              <w:sz w:val="28"/>
                              <w:szCs w:val="28"/>
                            </w:rPr>
                            <w:fldChar w:fldCharType="begin"/>
                          </w:r>
                          <w:r w:rsidR="00D662D7" w:rsidRPr="003D247E">
                            <w:rPr>
                              <w:rFonts w:ascii="宋体" w:hAnsi="宋体" w:cs="宋体"/>
                              <w:sz w:val="28"/>
                              <w:szCs w:val="28"/>
                            </w:rPr>
                            <w:instrText xml:space="preserve"> PAGE  \* MERGEFORMAT </w:instrText>
                          </w:r>
                          <w:r w:rsidRPr="003D247E">
                            <w:rPr>
                              <w:rFonts w:ascii="宋体" w:hAnsi="宋体" w:cs="宋体"/>
                              <w:sz w:val="28"/>
                              <w:szCs w:val="28"/>
                            </w:rPr>
                            <w:fldChar w:fldCharType="separate"/>
                          </w:r>
                          <w:r w:rsidR="003A627C" w:rsidRPr="003A627C">
                            <w:rPr>
                              <w:rFonts w:ascii="宋体" w:hAnsi="宋体"/>
                              <w:noProof/>
                              <w:sz w:val="28"/>
                              <w:szCs w:val="28"/>
                            </w:rPr>
                            <w:t>- 1 -</w:t>
                          </w:r>
                          <w:r w:rsidRPr="003D247E">
                            <w:rPr>
                              <w:rFonts w:ascii="宋体" w:hAnsi="宋体" w:cs="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5.85pt;margin-top:0;width:77.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" filled="f" stroked="f" strokeweight="1.25pt">
              <v:textbox style="mso-fit-shape-to-text:t" inset="0,0,0,0">
                <w:txbxContent>
                  <w:p w:rsidR="00E47C6B" w:rsidRPr="003D247E" w:rsidRDefault="00F86EB7" w:rsidP="002B2E1F">
                    <w:pPr>
                      <w:snapToGrid w:val="0"/>
                      <w:ind w:leftChars="200" w:left="420" w:rightChars="200" w:right="420"/>
                      <w:rPr>
                        <w:rFonts w:ascii="宋体"/>
                        <w:sz w:val="28"/>
                        <w:szCs w:val="28"/>
                      </w:rPr>
                    </w:pPr>
                    <w:r w:rsidRPr="003D247E">
                      <w:rPr>
                        <w:rFonts w:ascii="宋体" w:hAnsi="宋体" w:cs="宋体"/>
                        <w:sz w:val="28"/>
                        <w:szCs w:val="28"/>
                      </w:rPr>
                      <w:fldChar w:fldCharType="begin"/>
                    </w:r>
                    <w:r w:rsidR="00D662D7" w:rsidRPr="003D247E">
                      <w:rPr>
                        <w:rFonts w:ascii="宋体" w:hAnsi="宋体" w:cs="宋体"/>
                        <w:sz w:val="28"/>
                        <w:szCs w:val="28"/>
                      </w:rPr>
                      <w:instrText xml:space="preserve"> PAGE  \* MERGEFORMAT </w:instrText>
                    </w:r>
                    <w:r w:rsidRPr="003D247E">
                      <w:rPr>
                        <w:rFonts w:ascii="宋体" w:hAnsi="宋体" w:cs="宋体"/>
                        <w:sz w:val="28"/>
                        <w:szCs w:val="28"/>
                      </w:rPr>
                      <w:fldChar w:fldCharType="separate"/>
                    </w:r>
                    <w:r w:rsidR="003A627C" w:rsidRPr="003A627C">
                      <w:rPr>
                        <w:rFonts w:ascii="宋体" w:hAnsi="宋体"/>
                        <w:noProof/>
                        <w:sz w:val="28"/>
                        <w:szCs w:val="28"/>
                      </w:rPr>
                      <w:t>- 1 -</w:t>
                    </w:r>
                    <w:r w:rsidRPr="003D247E">
                      <w:rPr>
                        <w:rFonts w:ascii="宋体" w:hAnsi="宋体" w:cs="宋体"/>
                        <w:sz w:val="28"/>
                        <w:szCs w:val="28"/>
                      </w:rPr>
                      <w:fldChar w:fldCharType="end"/>
                    </w:r>
                  </w:p>
                </w:txbxContent>
              </v:textbox>
              <w10:wrap anchorx="margin"/>
            </v:shape>
          </w:pict>
        </mc:Fallback>
      </mc:AlternateContent>
    </w:r>
  </w:p>
  <w:p w:rsidR="00E47C6B" w:rsidRDefault="00434C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C1" w:rsidRDefault="00434CC1" w:rsidP="00784D68">
      <w:r>
        <w:separator/>
      </w:r>
    </w:p>
  </w:footnote>
  <w:footnote w:type="continuationSeparator" w:id="0">
    <w:p w:rsidR="00434CC1" w:rsidRDefault="00434CC1" w:rsidP="0078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6B" w:rsidRDefault="00434CC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68"/>
    <w:rsid w:val="00021F5E"/>
    <w:rsid w:val="00050A3B"/>
    <w:rsid w:val="000A08AE"/>
    <w:rsid w:val="000A2BB0"/>
    <w:rsid w:val="000A3B8E"/>
    <w:rsid w:val="000C6C4C"/>
    <w:rsid w:val="000E6044"/>
    <w:rsid w:val="001413A5"/>
    <w:rsid w:val="00146F3D"/>
    <w:rsid w:val="00150592"/>
    <w:rsid w:val="001813B1"/>
    <w:rsid w:val="00253C94"/>
    <w:rsid w:val="00276A56"/>
    <w:rsid w:val="00331510"/>
    <w:rsid w:val="003A627C"/>
    <w:rsid w:val="00434CC1"/>
    <w:rsid w:val="0044238B"/>
    <w:rsid w:val="00464B21"/>
    <w:rsid w:val="004A408E"/>
    <w:rsid w:val="004E7B82"/>
    <w:rsid w:val="004F69AB"/>
    <w:rsid w:val="00501302"/>
    <w:rsid w:val="00512ACC"/>
    <w:rsid w:val="00512BDB"/>
    <w:rsid w:val="00523DB1"/>
    <w:rsid w:val="0056520C"/>
    <w:rsid w:val="005B2250"/>
    <w:rsid w:val="005D19DD"/>
    <w:rsid w:val="00784D68"/>
    <w:rsid w:val="007D1733"/>
    <w:rsid w:val="008165A0"/>
    <w:rsid w:val="00825AEF"/>
    <w:rsid w:val="00856E7C"/>
    <w:rsid w:val="00867DA2"/>
    <w:rsid w:val="00994545"/>
    <w:rsid w:val="009A3ADD"/>
    <w:rsid w:val="009A5EFA"/>
    <w:rsid w:val="009F048B"/>
    <w:rsid w:val="00A47AC4"/>
    <w:rsid w:val="00A61A4C"/>
    <w:rsid w:val="00A80CED"/>
    <w:rsid w:val="00A975CB"/>
    <w:rsid w:val="00AC2297"/>
    <w:rsid w:val="00AC6424"/>
    <w:rsid w:val="00B266B9"/>
    <w:rsid w:val="00B466DC"/>
    <w:rsid w:val="00BD7F0E"/>
    <w:rsid w:val="00C50A4A"/>
    <w:rsid w:val="00C521A9"/>
    <w:rsid w:val="00C709F6"/>
    <w:rsid w:val="00D03E07"/>
    <w:rsid w:val="00D662D7"/>
    <w:rsid w:val="00DA5E3C"/>
    <w:rsid w:val="00DA777A"/>
    <w:rsid w:val="00E342DB"/>
    <w:rsid w:val="00E83B77"/>
    <w:rsid w:val="00EB0EB1"/>
    <w:rsid w:val="00EE1685"/>
    <w:rsid w:val="00EF40C4"/>
    <w:rsid w:val="00F74F16"/>
    <w:rsid w:val="00F74F52"/>
    <w:rsid w:val="00F81AC0"/>
    <w:rsid w:val="00F84BD7"/>
    <w:rsid w:val="00F86EB7"/>
    <w:rsid w:val="00FC21F0"/>
    <w:rsid w:val="00FE403B"/>
    <w:rsid w:val="00FF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4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84D68"/>
    <w:rPr>
      <w:sz w:val="18"/>
      <w:szCs w:val="18"/>
    </w:rPr>
  </w:style>
  <w:style w:type="paragraph" w:styleId="a4">
    <w:name w:val="footer"/>
    <w:basedOn w:val="a"/>
    <w:link w:val="Char0"/>
    <w:unhideWhenUsed/>
    <w:rsid w:val="00784D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84D68"/>
    <w:rPr>
      <w:sz w:val="18"/>
      <w:szCs w:val="18"/>
    </w:rPr>
  </w:style>
  <w:style w:type="paragraph" w:styleId="a5">
    <w:name w:val="List Paragraph"/>
    <w:basedOn w:val="a"/>
    <w:uiPriority w:val="34"/>
    <w:qFormat/>
    <w:rsid w:val="00784D68"/>
    <w:pPr>
      <w:ind w:firstLineChars="200" w:firstLine="420"/>
    </w:pPr>
    <w:rPr>
      <w:rFonts w:ascii="Calibri" w:hAnsi="Calibri"/>
      <w:szCs w:val="22"/>
    </w:rPr>
  </w:style>
  <w:style w:type="paragraph" w:styleId="a6">
    <w:name w:val="No Spacing"/>
    <w:uiPriority w:val="1"/>
    <w:qFormat/>
    <w:rsid w:val="00784D68"/>
    <w:pPr>
      <w:widowControl w:val="0"/>
      <w:jc w:val="both"/>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4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84D68"/>
    <w:rPr>
      <w:sz w:val="18"/>
      <w:szCs w:val="18"/>
    </w:rPr>
  </w:style>
  <w:style w:type="paragraph" w:styleId="a4">
    <w:name w:val="footer"/>
    <w:basedOn w:val="a"/>
    <w:link w:val="Char0"/>
    <w:unhideWhenUsed/>
    <w:rsid w:val="00784D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84D68"/>
    <w:rPr>
      <w:sz w:val="18"/>
      <w:szCs w:val="18"/>
    </w:rPr>
  </w:style>
  <w:style w:type="paragraph" w:styleId="a5">
    <w:name w:val="List Paragraph"/>
    <w:basedOn w:val="a"/>
    <w:uiPriority w:val="34"/>
    <w:qFormat/>
    <w:rsid w:val="00784D68"/>
    <w:pPr>
      <w:ind w:firstLineChars="200" w:firstLine="420"/>
    </w:pPr>
    <w:rPr>
      <w:rFonts w:ascii="Calibri" w:hAnsi="Calibri"/>
      <w:szCs w:val="22"/>
    </w:rPr>
  </w:style>
  <w:style w:type="paragraph" w:styleId="a6">
    <w:name w:val="No Spacing"/>
    <w:uiPriority w:val="1"/>
    <w:qFormat/>
    <w:rsid w:val="00784D68"/>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E86B3-4D96-4BAA-AABD-0DCB34C1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689</Characters>
  <Application>Microsoft Office Word</Application>
  <DocSecurity>0</DocSecurity>
  <Lines>5</Lines>
  <Paragraphs>1</Paragraphs>
  <ScaleCrop>false</ScaleCrop>
  <Company>Microsoft</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薛宁</dc:creator>
  <cp:lastModifiedBy>admin</cp:lastModifiedBy>
  <cp:revision>2</cp:revision>
  <cp:lastPrinted>2021-04-22T03:24:00Z</cp:lastPrinted>
  <dcterms:created xsi:type="dcterms:W3CDTF">2021-04-22T09:16:00Z</dcterms:created>
  <dcterms:modified xsi:type="dcterms:W3CDTF">2021-04-22T09:16:00Z</dcterms:modified>
</cp:coreProperties>
</file>