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bCs/>
          <w:sz w:val="32"/>
          <w:szCs w:val="32"/>
        </w:rPr>
        <w:t>附件</w:t>
      </w:r>
      <w:r>
        <w:rPr>
          <w:rFonts w:hint="default" w:ascii="CESI黑体-GB2312" w:hAnsi="CESI黑体-GB2312" w:eastAsia="CESI黑体-GB2312" w:cs="CESI黑体-GB2312"/>
          <w:bCs/>
          <w:sz w:val="32"/>
          <w:szCs w:val="32"/>
        </w:rPr>
        <w:t>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北京市房地产开发企业资质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告知承诺审批一次性告知书</w:t>
      </w:r>
    </w:p>
    <w:bookmarkEnd w:id="0"/>
    <w:p>
      <w:pPr>
        <w:spacing w:line="560" w:lineRule="exact"/>
        <w:rPr>
          <w:rFonts w:ascii="仿宋_GB2312" w:eastAsia="仿宋_GB2312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一、实施范围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对在本市范围内注册的房地产开发企业，申请办理房地产开发企业二级资质核定业务可实行告知承诺审批，开发企业可自愿选择是否采用告知承诺审批方式。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二、审批依据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1.《国务院关于深化“证照分离”改革进一步激发市场主体发展活力的通知》（国发〔2021〕7号）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2.《住房和城乡建设部关于修改&lt;房地产开发企业资质管理规定&gt;的决定》（住房和城乡建设部令第54号）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3.北京市人民政府行政审批制度改革办公室《关于印发&lt;北京市政务服务事项告知承诺审批管理办法&gt;的通知》（京审改办发〔2020〕1号）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三、房地产开发企业二级资质核定申报材料及条件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（一）房地产开发企业资质等级申报表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（二）办理延期的，需提供房地产开发企业资质等级证书正、副本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（三）企业法人营业执照副本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具有相应专业中级以上职称，</w:t>
      </w:r>
      <w:r>
        <w:rPr>
          <w:rFonts w:hint="eastAsia" w:ascii="仿宋_GB2312" w:hAnsi="仿宋_GB2312" w:eastAsia="仿宋_GB2312" w:cs="仿宋_GB2312"/>
          <w:sz w:val="32"/>
          <w:szCs w:val="32"/>
        </w:rPr>
        <w:t>财务负责人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具有相应专业初级以上职称，统计人员具有相应专业初级以上职称或从业证书。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有职称的建筑、结构、财务、房地产及有关经济类的专业管理人员不少于5人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（含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财务负责人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，其中专职会计人员不少于2人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需提交身份证件、</w:t>
      </w:r>
      <w:r>
        <w:rPr>
          <w:rFonts w:hint="eastAsia" w:ascii="仿宋_GB2312" w:hAnsi="仿宋_GB2312" w:eastAsia="仿宋_GB2312" w:cs="仿宋_GB2312"/>
          <w:sz w:val="32"/>
          <w:szCs w:val="32"/>
        </w:rPr>
        <w:t>职称证书、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最近一个月的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社会保险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缴纳凭证。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（五）建立质量管理制度、具有质量管理部门及相应质量管理人员等质量保证体系情况说明（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见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北京市房地产开发企业资质告知承诺审批承诺书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四、工作流程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楷体-GB13000" w:hAnsi="CESI楷体-GB13000" w:eastAsia="CESI楷体-GB13000" w:cs="CESI楷体-GB13000"/>
          <w:sz w:val="32"/>
          <w:szCs w:val="32"/>
        </w:rPr>
      </w:pPr>
      <w:r>
        <w:rPr>
          <w:rFonts w:hint="eastAsia" w:ascii="CESI楷体-GB13000" w:hAnsi="CESI楷体-GB13000" w:eastAsia="CESI楷体-GB13000" w:cs="CESI楷体-GB13000"/>
          <w:sz w:val="32"/>
          <w:szCs w:val="32"/>
          <w:highlight w:val="none"/>
        </w:rPr>
        <w:t>（一）申请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1.房地产开发企业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登录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住房和城乡建设委员会门户网站（http://zjw.beijing.gov.cn/）办事大厅，进入“北京市房地产开发管理系统”，首页下载打印《北京市房地产开发企业资质告知承诺审批一次性告知书》《北京市房地产开发企业资质告知承诺审批承诺书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2.按告知书内容准备相关资料，确认相关资料齐全、真实、有效后，填写承诺书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承诺书应有企业法人代表签字，并加盖企业公章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。将相关资料、承诺书扫描后形成电子文档，上传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系统后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CESI楷体-GB13000" w:hAnsi="CESI楷体-GB13000" w:eastAsia="CESI楷体-GB13000" w:cs="CESI楷体-GB13000"/>
          <w:sz w:val="32"/>
          <w:szCs w:val="32"/>
          <w:highlight w:val="none"/>
        </w:rPr>
        <w:t>（二）受理及决定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区住房城乡建设委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在接到企业受理申请后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即时</w:t>
      </w:r>
      <w:r>
        <w:rPr>
          <w:rFonts w:hint="eastAsia" w:ascii="仿宋_GB2312" w:hAnsi="仿宋_GB2312" w:eastAsia="仿宋_GB2312" w:cs="仿宋_GB2312"/>
          <w:sz w:val="32"/>
          <w:szCs w:val="32"/>
        </w:rPr>
        <w:t>确认申请材料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是否</w:t>
      </w:r>
      <w:r>
        <w:rPr>
          <w:rFonts w:hint="eastAsia" w:ascii="仿宋_GB2312" w:hAnsi="仿宋_GB2312" w:eastAsia="仿宋_GB2312" w:cs="仿宋_GB2312"/>
          <w:sz w:val="32"/>
          <w:szCs w:val="32"/>
        </w:rPr>
        <w:t>齐全且符合法定形式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，符合要求的，即时受理；不符合要求的，不予受理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对已受理的申请，市住房城乡建设委即时</w:t>
      </w:r>
      <w:r>
        <w:rPr>
          <w:rFonts w:hint="eastAsia" w:ascii="仿宋_GB2312" w:hAnsi="仿宋_GB2312" w:eastAsia="仿宋_GB2312" w:cs="仿宋_GB2312"/>
          <w:sz w:val="32"/>
          <w:szCs w:val="32"/>
        </w:rPr>
        <w:t>作出决定。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五、事中事后监督管理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CESI楷体-GB13000" w:hAnsi="CESI楷体-GB13000" w:eastAsia="CESI楷体-GB13000" w:cs="CESI楷体-GB13000"/>
          <w:sz w:val="32"/>
          <w:szCs w:val="32"/>
          <w:highlight w:val="none"/>
        </w:rPr>
        <w:t>（一）核查</w:t>
      </w:r>
      <w:r>
        <w:rPr>
          <w:rFonts w:hint="eastAsia" w:ascii="CESI楷体-GB13000" w:hAnsi="CESI楷体-GB13000" w:eastAsia="CESI楷体-GB13000" w:cs="CESI楷体-GB1300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对通过告知承诺方式取得资质证书的房地产开发企业，市、区住房城乡建设委、经济技术开发区行政审批局应自核发资质证书后20个工作日内，核查其提交资料的真实性、一致性及履诺情况。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CESI楷体-GB13000" w:hAnsi="CESI楷体-GB13000" w:eastAsia="CESI楷体-GB13000" w:cs="CESI楷体-GB13000"/>
          <w:sz w:val="32"/>
          <w:szCs w:val="32"/>
          <w:highlight w:val="none"/>
        </w:rPr>
        <w:t>（二）违诺惩戒。</w:t>
      </w:r>
      <w:r>
        <w:rPr>
          <w:rFonts w:hint="eastAsia" w:ascii="仿宋_GB2312" w:hAnsi="仿宋_GB2312" w:eastAsia="仿宋_GB2312" w:cs="仿宋_GB2312"/>
          <w:sz w:val="32"/>
          <w:szCs w:val="32"/>
        </w:rPr>
        <w:t>房地产开发企业系统填报资料不准确的为轻微违诺失信行为；专业技术人员变动导致不满足相应资质条件的为一般违诺失信行为；逾期不接受核查、核查时不如实提供材料的为严重违诺失信行为。对于违诺失信行为，责令1个月内整改。整改后仍达不到资质条件要求的，依法撤销决定。虚假承诺的，直接撤销决定，依法予以行政处罚，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CESI楷体-GB13000" w:hAnsi="CESI楷体-GB13000" w:eastAsia="CESI楷体-GB13000" w:cs="CESI楷体-GB13000"/>
          <w:sz w:val="32"/>
          <w:szCs w:val="32"/>
          <w:highlight w:val="none"/>
        </w:rPr>
        <w:t>（三）信用管理。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信用管理、信用修复和异议处理按照《北京市政务服务事项告知承诺审批管理办法》等有关规定执行。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altName w:val="CESI仿宋-GB13000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altName w:val="文泉驿微米黑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CESI楷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DF9809"/>
    <w:rsid w:val="FCDF9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2022-04-18T14:25:00Z</dcterms:created>
  <dc:creator>uos</dc:creator>
  <cp:lastModifiedBy>uos</cp:lastModifiedBy>
  <dcterms:modified xsi:type="dcterms:W3CDTF">2022-04-18T14:26:17Z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