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F5" w:rsidRDefault="000F0EF5" w:rsidP="000F0EF5">
      <w:pPr>
        <w:rPr>
          <w:rFonts w:ascii="黑体" w:eastAsia="黑体" w:hAnsi="黑体" w:cs="黑体" w:hint="eastAsia"/>
          <w:sz w:val="32"/>
          <w:szCs w:val="32"/>
        </w:rPr>
      </w:pPr>
    </w:p>
    <w:p w:rsidR="000F0EF5" w:rsidRDefault="000F0EF5" w:rsidP="000F0EF5">
      <w:pPr>
        <w:widowControl/>
        <w:spacing w:line="600" w:lineRule="exact"/>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北京市建设工程评标专家动态监督管理办法（试行）</w:t>
      </w:r>
    </w:p>
    <w:p w:rsidR="000F0EF5" w:rsidRDefault="000F0EF5" w:rsidP="000F0EF5">
      <w:pPr>
        <w:widowControl/>
        <w:spacing w:line="240" w:lineRule="exact"/>
        <w:jc w:val="center"/>
        <w:rPr>
          <w:rFonts w:ascii="方正小标宋简体" w:eastAsia="方正小标宋简体" w:hAnsi="宋体" w:cs="宋体" w:hint="eastAsia"/>
          <w:b/>
          <w:bCs/>
          <w:kern w:val="0"/>
          <w:sz w:val="32"/>
          <w:szCs w:val="32"/>
        </w:rPr>
      </w:pPr>
    </w:p>
    <w:p w:rsidR="000F0EF5" w:rsidRPr="00824E6C" w:rsidRDefault="000F0EF5" w:rsidP="000F0EF5">
      <w:pPr>
        <w:spacing w:line="560" w:lineRule="exact"/>
        <w:jc w:val="center"/>
        <w:rPr>
          <w:rFonts w:ascii="黑体" w:eastAsia="黑体" w:hAnsi="黑体" w:cs="黑体" w:hint="eastAsia"/>
          <w:sz w:val="32"/>
          <w:szCs w:val="32"/>
        </w:rPr>
      </w:pPr>
    </w:p>
    <w:p w:rsidR="000F0EF5" w:rsidRDefault="000F0EF5" w:rsidP="000F0EF5">
      <w:pPr>
        <w:numPr>
          <w:ilvl w:val="0"/>
          <w:numId w:val="1"/>
        </w:numPr>
        <w:spacing w:line="560" w:lineRule="exact"/>
        <w:jc w:val="center"/>
        <w:rPr>
          <w:rFonts w:ascii="楷体" w:eastAsia="楷体" w:hAnsi="楷体" w:cs="楷体" w:hint="eastAsia"/>
          <w:sz w:val="36"/>
          <w:szCs w:val="36"/>
        </w:rPr>
      </w:pPr>
      <w:r>
        <w:rPr>
          <w:rFonts w:ascii="楷体" w:eastAsia="楷体" w:hAnsi="楷体" w:cs="楷体" w:hint="eastAsia"/>
          <w:sz w:val="36"/>
          <w:szCs w:val="36"/>
        </w:rPr>
        <w:t xml:space="preserve"> 总  则</w:t>
      </w:r>
    </w:p>
    <w:p w:rsidR="000F0EF5" w:rsidRDefault="000F0EF5" w:rsidP="000F0EF5">
      <w:pPr>
        <w:spacing w:line="560" w:lineRule="exact"/>
        <w:rPr>
          <w:rFonts w:ascii="黑体" w:eastAsia="黑体" w:hAnsi="黑体" w:cs="黑体" w:hint="eastAsia"/>
          <w:sz w:val="32"/>
          <w:szCs w:val="32"/>
        </w:rPr>
      </w:pP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为加强对我市建设工程评标专家的监督管理，规范建设工程评标专家评标行为，</w:t>
      </w:r>
      <w:r>
        <w:rPr>
          <w:rFonts w:ascii="仿宋_GB2312" w:eastAsia="仿宋_GB2312" w:hAnsi="仿宋_GB2312" w:cs="仿宋_GB2312"/>
          <w:sz w:val="32"/>
          <w:szCs w:val="32"/>
        </w:rPr>
        <w:t>保证评标活动公平、公正、科学合理地进行</w:t>
      </w:r>
      <w:r>
        <w:rPr>
          <w:rFonts w:ascii="仿宋_GB2312" w:eastAsia="仿宋_GB2312" w:hAnsi="仿宋_GB2312" w:cs="仿宋_GB2312" w:hint="eastAsia"/>
          <w:sz w:val="32"/>
          <w:szCs w:val="32"/>
        </w:rPr>
        <w:t>，根据《中华人民共和国招标投标法》、《中华人民共和国招标投标法实施条例》、《评标专家和评标专家库管理暂行办法》、《北京市评标专家库和评标专家管理办法》等有关法律、法规，结合本市实际情况，制定本办法。</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在本市行政区域内，参加依法必须进行招标的建设工程的施工、监理和与工程建设有关的重要设备、材料采购的资格预审评审和评标活动的建设工程评标专家，其评审、评标行为动态监督管理适用本办法。</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本办法所称建设工程是指房屋建筑和市政基础设施工程，包括园林绿化工程。</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本办法所称建设工程评标专家（以下简称“评标专家”），是指已进入北京市评标专家库，且申报专业为建设工程及其相关专业的人员。</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市发展改革委负责指导和协调评标专家动态监督管理工作。</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市人力社保局负责综合管理评标专家，会同有关部门加强对评标专家的动态监督管理工作。</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住房城乡建设委负责建立“建设工程评标专家动态监督管理记分平台”（以下简称“记分平台”），对评标专家在建设工程（园林绿化工程除外）评标活动中的违法违规行为进行处理和记分，并及时向市人力社保局通报。</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市园林</w:t>
      </w:r>
      <w:proofErr w:type="gramStart"/>
      <w:r>
        <w:rPr>
          <w:rFonts w:ascii="仿宋_GB2312" w:eastAsia="仿宋_GB2312" w:hAnsi="仿宋_GB2312" w:cs="仿宋_GB2312" w:hint="eastAsia"/>
          <w:sz w:val="32"/>
          <w:szCs w:val="32"/>
        </w:rPr>
        <w:t>绿化局</w:t>
      </w:r>
      <w:proofErr w:type="gramEnd"/>
      <w:r>
        <w:rPr>
          <w:rFonts w:ascii="仿宋_GB2312" w:eastAsia="仿宋_GB2312" w:hAnsi="仿宋_GB2312" w:cs="仿宋_GB2312" w:hint="eastAsia"/>
          <w:sz w:val="32"/>
          <w:szCs w:val="32"/>
        </w:rPr>
        <w:t>负责对评标专家在园林绿化工程评标活动中的违法违规行为进行处理和记分，并及时向市人力社保局通报。</w:t>
      </w:r>
    </w:p>
    <w:p w:rsidR="000F0EF5" w:rsidRDefault="000F0EF5" w:rsidP="000F0EF5">
      <w:pPr>
        <w:spacing w:line="56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区</w:t>
      </w:r>
      <w:r>
        <w:rPr>
          <w:rFonts w:ascii="仿宋_GB2312" w:eastAsia="仿宋_GB2312" w:cs="楷体_GB2312" w:hint="eastAsia"/>
          <w:sz w:val="32"/>
          <w:szCs w:val="32"/>
        </w:rPr>
        <w:t>住房城乡建设委</w:t>
      </w:r>
      <w:r>
        <w:rPr>
          <w:rFonts w:ascii="仿宋_GB2312" w:eastAsia="仿宋_GB2312" w:hAnsi="仿宋_GB2312" w:cs="仿宋_GB2312" w:hint="eastAsia"/>
          <w:sz w:val="32"/>
          <w:szCs w:val="32"/>
        </w:rPr>
        <w:t>、</w:t>
      </w:r>
      <w:r>
        <w:rPr>
          <w:rFonts w:ascii="仿宋_GB2312" w:eastAsia="仿宋_GB2312" w:cs="楷体_GB2312" w:hint="eastAsia"/>
          <w:sz w:val="32"/>
          <w:szCs w:val="32"/>
        </w:rPr>
        <w:t>区</w:t>
      </w:r>
      <w:r>
        <w:rPr>
          <w:rFonts w:ascii="仿宋_GB2312" w:eastAsia="仿宋_GB2312" w:hAnsi="仿宋_GB2312" w:cs="仿宋_GB2312" w:hint="eastAsia"/>
          <w:sz w:val="32"/>
          <w:szCs w:val="32"/>
        </w:rPr>
        <w:t>园林</w:t>
      </w:r>
      <w:proofErr w:type="gramStart"/>
      <w:r>
        <w:rPr>
          <w:rFonts w:ascii="仿宋_GB2312" w:eastAsia="仿宋_GB2312" w:hAnsi="仿宋_GB2312" w:cs="仿宋_GB2312" w:hint="eastAsia"/>
          <w:sz w:val="32"/>
          <w:szCs w:val="32"/>
        </w:rPr>
        <w:t>绿化局</w:t>
      </w:r>
      <w:proofErr w:type="gramEnd"/>
      <w:r>
        <w:rPr>
          <w:rFonts w:ascii="仿宋_GB2312" w:eastAsia="仿宋_GB2312" w:hAnsi="仿宋_GB2312" w:cs="仿宋_GB2312" w:hint="eastAsia"/>
          <w:sz w:val="32"/>
          <w:szCs w:val="32"/>
        </w:rPr>
        <w:t>依据职责，</w:t>
      </w:r>
      <w:r>
        <w:rPr>
          <w:rFonts w:ascii="仿宋_GB2312" w:eastAsia="仿宋_GB2312" w:cs="楷体_GB2312" w:hint="eastAsia"/>
          <w:sz w:val="32"/>
          <w:szCs w:val="32"/>
        </w:rPr>
        <w:t>对参与所监管工程</w:t>
      </w:r>
      <w:r>
        <w:rPr>
          <w:rFonts w:ascii="仿宋_GB2312" w:eastAsia="仿宋_GB2312" w:hAnsi="仿宋_GB2312" w:cs="仿宋_GB2312" w:hint="eastAsia"/>
          <w:sz w:val="32"/>
          <w:szCs w:val="32"/>
        </w:rPr>
        <w:t>评标活动中</w:t>
      </w:r>
      <w:r>
        <w:rPr>
          <w:rFonts w:ascii="仿宋_GB2312" w:eastAsia="仿宋_GB2312" w:cs="楷体_GB2312" w:hint="eastAsia"/>
          <w:sz w:val="32"/>
          <w:szCs w:val="32"/>
        </w:rPr>
        <w:t>的评标专家</w:t>
      </w:r>
      <w:r>
        <w:rPr>
          <w:rFonts w:ascii="仿宋_GB2312" w:eastAsia="仿宋_GB2312" w:hAnsi="仿宋_GB2312" w:cs="仿宋_GB2312" w:hint="eastAsia"/>
          <w:sz w:val="32"/>
          <w:szCs w:val="32"/>
        </w:rPr>
        <w:t>进行监督管理。</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第五条  </w:t>
      </w:r>
      <w:r>
        <w:rPr>
          <w:rFonts w:ascii="仿宋_GB2312" w:eastAsia="仿宋_GB2312" w:hAnsi="仿宋_GB2312" w:cs="仿宋_GB2312" w:hint="eastAsia"/>
          <w:sz w:val="32"/>
          <w:szCs w:val="32"/>
        </w:rPr>
        <w:t>评标专家具备注册执业资格的，由市住房城乡建设委将其违法违规行为信息纳入人员执业全生命周期管理。</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招标人、招标代理机构、投标人、评标专家发现评标专家存在违法违规行为或掌握评标专家违法违规行为信息的，应采用书面的方式、实名向建设行政主管部门或园林绿化行政主管部门报告。建设行政主管部门或园林绿化行政主管部门收到报告后，应当按照相关规定进行调查处理。</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p>
    <w:p w:rsidR="000F0EF5" w:rsidRDefault="000F0EF5" w:rsidP="000F0EF5">
      <w:pPr>
        <w:numPr>
          <w:ilvl w:val="0"/>
          <w:numId w:val="1"/>
        </w:numPr>
        <w:spacing w:line="560" w:lineRule="exact"/>
        <w:jc w:val="center"/>
        <w:rPr>
          <w:rFonts w:ascii="楷体" w:eastAsia="楷体" w:hAnsi="楷体" w:cs="楷体" w:hint="eastAsia"/>
          <w:sz w:val="36"/>
          <w:szCs w:val="36"/>
        </w:rPr>
      </w:pPr>
      <w:r>
        <w:rPr>
          <w:rFonts w:ascii="楷体" w:eastAsia="楷体" w:hAnsi="楷体" w:cs="楷体" w:hint="eastAsia"/>
          <w:sz w:val="36"/>
          <w:szCs w:val="36"/>
        </w:rPr>
        <w:t xml:space="preserve"> 记分标准和记分</w:t>
      </w:r>
    </w:p>
    <w:p w:rsidR="000F0EF5" w:rsidRDefault="000F0EF5" w:rsidP="000F0EF5">
      <w:pPr>
        <w:spacing w:line="560" w:lineRule="exact"/>
        <w:rPr>
          <w:rFonts w:ascii="黑体" w:eastAsia="黑体" w:hAnsi="黑体" w:cs="黑体" w:hint="eastAsia"/>
          <w:sz w:val="32"/>
          <w:szCs w:val="32"/>
        </w:rPr>
      </w:pP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《北京市建设工程评标专家动态监督管理记分标准》(见附件，以下简称“《记分标准》”)依据法律、法规、规章和规范性文件的规定制定，并根据法律法规和政策变化适时予以补充</w:t>
      </w:r>
      <w:r>
        <w:rPr>
          <w:rFonts w:ascii="仿宋_GB2312" w:eastAsia="仿宋_GB2312" w:hAnsi="仿宋_GB2312" w:cs="仿宋_GB2312" w:hint="eastAsia"/>
          <w:sz w:val="32"/>
          <w:szCs w:val="32"/>
        </w:rPr>
        <w:lastRenderedPageBreak/>
        <w:t>调整。</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建设行政主管部门或园林绿化行政主管部门发现评标专家出现《记分标准》中所</w:t>
      </w:r>
      <w:proofErr w:type="gramStart"/>
      <w:r>
        <w:rPr>
          <w:rFonts w:ascii="仿宋_GB2312" w:eastAsia="仿宋_GB2312" w:hAnsi="仿宋_GB2312" w:cs="仿宋_GB2312" w:hint="eastAsia"/>
          <w:sz w:val="32"/>
          <w:szCs w:val="32"/>
        </w:rPr>
        <w:t>列行</w:t>
      </w:r>
      <w:proofErr w:type="gramEnd"/>
      <w:r>
        <w:rPr>
          <w:rFonts w:ascii="仿宋_GB2312" w:eastAsia="仿宋_GB2312" w:hAnsi="仿宋_GB2312" w:cs="仿宋_GB2312" w:hint="eastAsia"/>
          <w:sz w:val="32"/>
          <w:szCs w:val="32"/>
        </w:rPr>
        <w:t>为的，应当依据本办法对评标专家予以行政处罚、处理和记分，并将记分结果上传至记分平台；</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行政处罚决定的，同时通报市人力社保局和市发展改革委。</w:t>
      </w:r>
    </w:p>
    <w:p w:rsidR="000F0EF5" w:rsidRDefault="000F0EF5" w:rsidP="000F0EF5">
      <w:pPr>
        <w:spacing w:line="560" w:lineRule="exact"/>
        <w:ind w:firstLineChars="200" w:firstLine="643"/>
        <w:jc w:val="left"/>
        <w:rPr>
          <w:rFonts w:ascii="仿宋_GB2312" w:eastAsia="仿宋_GB2312" w:hAnsi="仿宋_GB2312" w:cs="仿宋_GB2312" w:hint="eastAsia"/>
          <w:bCs/>
          <w:sz w:val="32"/>
          <w:szCs w:val="32"/>
          <w:lang w:val="zh-CN"/>
        </w:rPr>
      </w:pPr>
      <w:r>
        <w:rPr>
          <w:rFonts w:ascii="仿宋_GB2312" w:eastAsia="仿宋_GB2312" w:hAnsi="仿宋_GB2312" w:cs="仿宋_GB2312" w:hint="eastAsia"/>
          <w:b/>
          <w:sz w:val="32"/>
          <w:szCs w:val="32"/>
          <w:lang w:val="zh-CN"/>
        </w:rPr>
        <w:t>第九条</w:t>
      </w:r>
      <w:r>
        <w:rPr>
          <w:rFonts w:ascii="仿宋_GB2312" w:eastAsia="仿宋_GB2312" w:hAnsi="仿宋_GB2312" w:cs="仿宋_GB2312" w:hint="eastAsia"/>
          <w:bCs/>
          <w:sz w:val="32"/>
          <w:szCs w:val="32"/>
          <w:lang w:val="zh-CN"/>
        </w:rPr>
        <w:t xml:space="preserve">  评标专家一次评审、评标过程中存在两个及以上违法违规行为的，应当分别</w:t>
      </w:r>
      <w:proofErr w:type="gramStart"/>
      <w:r>
        <w:rPr>
          <w:rFonts w:ascii="仿宋_GB2312" w:eastAsia="仿宋_GB2312" w:hAnsi="仿宋_GB2312" w:cs="仿宋_GB2312" w:hint="eastAsia"/>
          <w:bCs/>
          <w:sz w:val="32"/>
          <w:szCs w:val="32"/>
          <w:lang w:val="zh-CN"/>
        </w:rPr>
        <w:t>作出</w:t>
      </w:r>
      <w:proofErr w:type="gramEnd"/>
      <w:r>
        <w:rPr>
          <w:rFonts w:ascii="仿宋_GB2312" w:eastAsia="仿宋_GB2312" w:hAnsi="仿宋_GB2312" w:cs="仿宋_GB2312" w:hint="eastAsia"/>
          <w:bCs/>
          <w:sz w:val="32"/>
          <w:szCs w:val="32"/>
          <w:lang w:val="zh-CN"/>
        </w:rPr>
        <w:t>行政处罚、处理决定，并累加分值。</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评标专家被依法取消评标专家资格或被追究刑事责任的，不再进行记分处理。</w:t>
      </w:r>
    </w:p>
    <w:p w:rsidR="000F0EF5" w:rsidRDefault="000F0EF5" w:rsidP="000F0EF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评标专家主动报告其他专家存在违法违规等行为且经查证属实的，予以奖励加分。</w:t>
      </w:r>
    </w:p>
    <w:p w:rsidR="000F0EF5" w:rsidRDefault="000F0EF5" w:rsidP="000F0EF5">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记分周期从每年1月1日起至12月31日止。记分周期届满，评标专家年度积分清零。记分周期内的奖励加分可与违规记分相冲抵。</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评标专家可以通过记分平台，查询本人积分情况。 </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p>
    <w:p w:rsidR="000F0EF5" w:rsidRDefault="000F0EF5" w:rsidP="000F0EF5">
      <w:pPr>
        <w:spacing w:line="560" w:lineRule="exact"/>
        <w:jc w:val="center"/>
        <w:rPr>
          <w:rFonts w:ascii="楷体" w:eastAsia="楷体" w:hAnsi="楷体" w:cs="楷体" w:hint="eastAsia"/>
          <w:sz w:val="36"/>
          <w:szCs w:val="36"/>
        </w:rPr>
      </w:pPr>
      <w:r>
        <w:rPr>
          <w:rFonts w:ascii="楷体" w:eastAsia="楷体" w:hAnsi="楷体" w:cs="楷体" w:hint="eastAsia"/>
          <w:sz w:val="36"/>
          <w:szCs w:val="36"/>
        </w:rPr>
        <w:t>第三章  评标专家积分处理</w:t>
      </w:r>
    </w:p>
    <w:p w:rsidR="000F0EF5" w:rsidRDefault="000F0EF5" w:rsidP="000F0EF5">
      <w:pPr>
        <w:spacing w:line="560" w:lineRule="exact"/>
        <w:jc w:val="center"/>
        <w:rPr>
          <w:rFonts w:ascii="黑体" w:eastAsia="黑体" w:hAnsi="黑体" w:cs="黑体" w:hint="eastAsia"/>
          <w:sz w:val="32"/>
          <w:szCs w:val="32"/>
        </w:rPr>
      </w:pP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评标专家在一个记分周期内累计积分达到6分（含6分）的, 由市住房城乡建设委或市园林</w:t>
      </w:r>
      <w:proofErr w:type="gramStart"/>
      <w:r>
        <w:rPr>
          <w:rFonts w:ascii="仿宋_GB2312" w:eastAsia="仿宋_GB2312" w:hAnsi="仿宋_GB2312" w:cs="仿宋_GB2312" w:hint="eastAsia"/>
          <w:sz w:val="32"/>
          <w:szCs w:val="32"/>
        </w:rPr>
        <w:t>绿化局</w:t>
      </w:r>
      <w:proofErr w:type="gramEnd"/>
      <w:r>
        <w:rPr>
          <w:rFonts w:ascii="仿宋_GB2312" w:eastAsia="仿宋_GB2312" w:hAnsi="仿宋_GB2312" w:cs="仿宋_GB2312" w:hint="eastAsia"/>
          <w:sz w:val="32"/>
          <w:szCs w:val="32"/>
        </w:rPr>
        <w:t>对该专家进行约谈。</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评标专家在一个记分周期内累计积分达到本条第（一）至（四）</w:t>
      </w:r>
      <w:r>
        <w:rPr>
          <w:rFonts w:ascii="仿宋_GB2312" w:eastAsia="仿宋_GB2312" w:hAnsi="仿宋_GB2312" w:cs="仿宋_GB2312" w:hint="eastAsia"/>
          <w:sz w:val="32"/>
          <w:szCs w:val="32"/>
        </w:rPr>
        <w:lastRenderedPageBreak/>
        <w:t>项规定分值的，由市住房城乡建设委或市园林绿化局</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暂停其建设工程评标资格的决定。暂停期满后，除法律法规规定的情形外，可恢复建设工程评标资格。</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市住房城乡建设委或市园林绿化局</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暂停或恢复建设工程评标资格决定的，应当在北京市工程建设交易信息网和北京市招投标公共服务平台进行公示，同时通报市人力社保局和市发展改革委。</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累计积分达到9分（含9分）的,暂停建设工程评标资格1个月；恢复评标后，累计积分达到12分（含12分）的，再暂停建设工程评标资格2个月；恢复评标后，累计积分达到18分（含18分）的，再暂停建设工程评标资格3个月；恢复评标后，累计积分达到24分（含24分）的，再暂停建设工程评标资格6个月。</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累计积分直接达到12分（含12分）的,暂停建设工程评标资格3个月；恢复评标后，累计积分达到18分（含18分）的，再暂停建设工程评标资格3个月；恢复评标后，累计积分达到24分（含24分）的，再暂停建设工程评标资格6个月。</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（三）累计积分直接达到18分（含18分）的，暂停建设工程评标资格6个月；恢复评标后，累计积分达到24分（含24分）的，再暂停建设工程评标资格6个月。</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（四）累计积分直接达到24分（含24分）的，暂停建设工程评标资格12个月。</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评标专家在一个聘期内出现下述情形的，市住房</w:t>
      </w:r>
      <w:r>
        <w:rPr>
          <w:rFonts w:ascii="仿宋_GB2312" w:eastAsia="仿宋_GB2312" w:hAnsi="仿宋_GB2312" w:cs="仿宋_GB2312" w:hint="eastAsia"/>
          <w:sz w:val="32"/>
          <w:szCs w:val="32"/>
        </w:rPr>
        <w:lastRenderedPageBreak/>
        <w:t>城乡建设委或市园林</w:t>
      </w:r>
      <w:proofErr w:type="gramStart"/>
      <w:r>
        <w:rPr>
          <w:rFonts w:ascii="仿宋_GB2312" w:eastAsia="仿宋_GB2312" w:hAnsi="仿宋_GB2312" w:cs="仿宋_GB2312" w:hint="eastAsia"/>
          <w:sz w:val="32"/>
          <w:szCs w:val="32"/>
        </w:rPr>
        <w:t>绿化局</w:t>
      </w:r>
      <w:proofErr w:type="gramEnd"/>
      <w:r>
        <w:rPr>
          <w:rFonts w:ascii="仿宋_GB2312" w:eastAsia="仿宋_GB2312" w:hAnsi="仿宋_GB2312" w:cs="仿宋_GB2312" w:hint="eastAsia"/>
          <w:sz w:val="32"/>
          <w:szCs w:val="32"/>
        </w:rPr>
        <w:t>提出对专家的处理建议，市人力社保局</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以下处理决定：</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（一）累计暂停建设工程评标资格超过12个月的，取消评标专家资格，且3年之内不得再次申报北京市评标专家。</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（二）累计暂停建设工程评标资格超过15个月的，取消评标专家资格，且不得再次申报北京市建设工程评标专家。</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评标专家依法被暂停或恢复评标、取消评标专家资格的，市人力社保局应当通知北京市评标专家</w:t>
      </w:r>
      <w:proofErr w:type="gramStart"/>
      <w:r>
        <w:rPr>
          <w:rFonts w:ascii="仿宋_GB2312" w:eastAsia="仿宋_GB2312" w:hAnsi="仿宋_GB2312" w:cs="仿宋_GB2312" w:hint="eastAsia"/>
          <w:sz w:val="32"/>
          <w:szCs w:val="32"/>
        </w:rPr>
        <w:t>库及时</w:t>
      </w:r>
      <w:proofErr w:type="gramEnd"/>
      <w:r>
        <w:rPr>
          <w:rFonts w:ascii="仿宋_GB2312" w:eastAsia="仿宋_GB2312" w:hAnsi="仿宋_GB2312" w:cs="仿宋_GB2312" w:hint="eastAsia"/>
          <w:sz w:val="32"/>
          <w:szCs w:val="32"/>
        </w:rPr>
        <w:t>落实有关处理、处罚决定。</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探索建立专家记分情况与抽取概率的关联机制，评标专家在一个记分周期的积分将影响其抽取概率。</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p>
    <w:p w:rsidR="000F0EF5" w:rsidRDefault="000F0EF5" w:rsidP="000F0EF5">
      <w:pPr>
        <w:numPr>
          <w:ilvl w:val="0"/>
          <w:numId w:val="2"/>
        </w:numPr>
        <w:spacing w:line="560" w:lineRule="exact"/>
        <w:jc w:val="center"/>
        <w:rPr>
          <w:rFonts w:ascii="楷体" w:eastAsia="楷体" w:hAnsi="楷体" w:cs="楷体" w:hint="eastAsia"/>
          <w:sz w:val="36"/>
          <w:szCs w:val="36"/>
        </w:rPr>
      </w:pPr>
      <w:r>
        <w:rPr>
          <w:rFonts w:ascii="楷体" w:eastAsia="楷体" w:hAnsi="楷体" w:cs="楷体" w:hint="eastAsia"/>
          <w:sz w:val="36"/>
          <w:szCs w:val="36"/>
        </w:rPr>
        <w:t xml:space="preserve"> 监督管理</w:t>
      </w:r>
    </w:p>
    <w:p w:rsidR="000F0EF5" w:rsidRDefault="000F0EF5" w:rsidP="000F0EF5">
      <w:pPr>
        <w:spacing w:line="560" w:lineRule="exact"/>
        <w:rPr>
          <w:rFonts w:ascii="黑体" w:eastAsia="黑体" w:hAnsi="黑体" w:cs="黑体" w:hint="eastAsia"/>
          <w:sz w:val="32"/>
          <w:szCs w:val="32"/>
        </w:rPr>
      </w:pP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评标专家对本办法中违法违规行为的行政处罚、处理和记分结论有异议的，可向</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行政处罚、处理决定的行政机关提交书面申诉。有关行政机关应当及时核查并答复评标专家，涉及疑难复杂事项的，可提交北京市招投标行政监督协调机制研究。</w:t>
      </w: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第十八条</w:t>
      </w:r>
      <w:r>
        <w:rPr>
          <w:rFonts w:ascii="仿宋_GB2312" w:eastAsia="仿宋_GB2312" w:hAnsi="仿宋_GB2312" w:cs="仿宋_GB2312" w:hint="eastAsia"/>
          <w:sz w:val="32"/>
          <w:szCs w:val="32"/>
        </w:rPr>
        <w:t xml:space="preserve">  有关部门工作人员在行政处罚、处理、记分管理中存在违规行为的，按照干部管理权限由有关部门依法处理。</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p>
    <w:p w:rsidR="000F0EF5" w:rsidRDefault="000F0EF5" w:rsidP="000F0EF5">
      <w:pPr>
        <w:numPr>
          <w:ilvl w:val="0"/>
          <w:numId w:val="2"/>
        </w:numPr>
        <w:spacing w:line="560" w:lineRule="exact"/>
        <w:jc w:val="center"/>
        <w:rPr>
          <w:rFonts w:ascii="楷体" w:eastAsia="楷体" w:hAnsi="楷体" w:cs="楷体" w:hint="eastAsia"/>
          <w:sz w:val="36"/>
          <w:szCs w:val="36"/>
        </w:rPr>
      </w:pPr>
      <w:r>
        <w:rPr>
          <w:rFonts w:ascii="楷体" w:eastAsia="楷体" w:hAnsi="楷体" w:cs="楷体" w:hint="eastAsia"/>
          <w:sz w:val="36"/>
          <w:szCs w:val="36"/>
        </w:rPr>
        <w:t xml:space="preserve"> 附  则</w:t>
      </w:r>
    </w:p>
    <w:p w:rsidR="000F0EF5" w:rsidRDefault="000F0EF5" w:rsidP="000F0EF5">
      <w:pPr>
        <w:spacing w:line="560" w:lineRule="exact"/>
        <w:rPr>
          <w:rFonts w:ascii="黑体" w:eastAsia="黑体" w:hAnsi="黑体" w:cs="黑体" w:hint="eastAsia"/>
          <w:sz w:val="32"/>
          <w:szCs w:val="32"/>
        </w:rPr>
      </w:pPr>
    </w:p>
    <w:p w:rsidR="000F0EF5" w:rsidRDefault="000F0EF5" w:rsidP="000F0EF5">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宋体" w:hint="eastAsia"/>
          <w:b/>
          <w:bCs/>
          <w:sz w:val="32"/>
          <w:szCs w:val="32"/>
        </w:rPr>
        <w:t>第十九条</w:t>
      </w:r>
      <w:r>
        <w:rPr>
          <w:rFonts w:ascii="仿宋_GB2312" w:eastAsia="仿宋_GB2312" w:hAnsi="仿宋_GB2312" w:cs="仿宋_GB2312" w:hint="eastAsia"/>
          <w:sz w:val="32"/>
          <w:szCs w:val="32"/>
        </w:rPr>
        <w:t xml:space="preserve">  本办法自二〇一六年七月一日起施行，试行期两年。</w:t>
      </w:r>
    </w:p>
    <w:p w:rsidR="000F0EF5" w:rsidRDefault="000F0EF5" w:rsidP="000F0EF5">
      <w:pPr>
        <w:spacing w:line="560" w:lineRule="exact"/>
        <w:ind w:firstLineChars="200" w:firstLine="640"/>
        <w:rPr>
          <w:rFonts w:ascii="仿宋_GB2312" w:eastAsia="仿宋_GB2312" w:hAnsi="仿宋_GB2312" w:cs="仿宋_GB2312" w:hint="eastAsia"/>
          <w:sz w:val="32"/>
          <w:szCs w:val="32"/>
        </w:rPr>
      </w:pPr>
    </w:p>
    <w:p w:rsidR="000F0EF5" w:rsidRDefault="000F0EF5" w:rsidP="000F0EF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附件：北京市建设工程评标专家动态监督管理记分标准</w:t>
      </w:r>
    </w:p>
    <w:p w:rsidR="000F0EF5" w:rsidRDefault="000F0EF5" w:rsidP="000F0EF5">
      <w:pPr>
        <w:spacing w:line="600" w:lineRule="exact"/>
        <w:jc w:val="center"/>
        <w:rPr>
          <w:rFonts w:ascii="方正小标宋简体" w:eastAsia="方正小标宋简体" w:hint="eastAsia"/>
          <w:b/>
          <w:bCs/>
          <w:sz w:val="44"/>
          <w:szCs w:val="44"/>
        </w:rPr>
      </w:pPr>
    </w:p>
    <w:p w:rsidR="000F0EF5" w:rsidRDefault="000F0EF5" w:rsidP="000F0EF5">
      <w:pPr>
        <w:spacing w:line="600" w:lineRule="exact"/>
        <w:jc w:val="center"/>
        <w:rPr>
          <w:rFonts w:ascii="方正小标宋简体" w:eastAsia="方正小标宋简体" w:hint="eastAsia"/>
          <w:b/>
          <w:bCs/>
          <w:sz w:val="44"/>
          <w:szCs w:val="44"/>
        </w:rPr>
      </w:pPr>
    </w:p>
    <w:p w:rsidR="000F0EF5" w:rsidRDefault="000F0EF5" w:rsidP="000F0EF5">
      <w:pPr>
        <w:spacing w:line="600" w:lineRule="exact"/>
        <w:jc w:val="center"/>
        <w:rPr>
          <w:rFonts w:ascii="方正小标宋简体" w:eastAsia="方正小标宋简体" w:hint="eastAsia"/>
          <w:b/>
          <w:bCs/>
          <w:sz w:val="44"/>
          <w:szCs w:val="44"/>
        </w:rPr>
      </w:pPr>
    </w:p>
    <w:p w:rsidR="000F0EF5" w:rsidRDefault="000F0EF5" w:rsidP="000F0EF5">
      <w:pPr>
        <w:spacing w:line="600" w:lineRule="exact"/>
        <w:jc w:val="center"/>
        <w:rPr>
          <w:rFonts w:ascii="方正小标宋简体" w:eastAsia="方正小标宋简体" w:hint="eastAsia"/>
          <w:b/>
          <w:bCs/>
          <w:sz w:val="44"/>
          <w:szCs w:val="44"/>
        </w:rPr>
      </w:pPr>
    </w:p>
    <w:p w:rsidR="000F0EF5" w:rsidRDefault="000F0EF5" w:rsidP="000F0EF5">
      <w:pPr>
        <w:spacing w:line="620" w:lineRule="exact"/>
        <w:rPr>
          <w:rFonts w:ascii="仿宋_GB2312" w:eastAsia="仿宋_GB2312" w:hAnsi="仿宋" w:hint="eastAsia"/>
          <w:sz w:val="32"/>
          <w:szCs w:val="32"/>
        </w:rPr>
      </w:pPr>
    </w:p>
    <w:p w:rsidR="000F0EF5" w:rsidRDefault="000F0EF5" w:rsidP="000F0EF5">
      <w:pPr>
        <w:pStyle w:val="WW-1"/>
        <w:suppressAutoHyphens/>
        <w:snapToGrid w:val="0"/>
        <w:spacing w:line="500" w:lineRule="exact"/>
        <w:rPr>
          <w:rFonts w:eastAsia="黑体"/>
          <w:spacing w:val="0"/>
          <w:kern w:val="32"/>
          <w:szCs w:val="32"/>
        </w:rPr>
      </w:pPr>
    </w:p>
    <w:p w:rsidR="000F0EF5" w:rsidRDefault="000F0EF5" w:rsidP="000F0EF5">
      <w:pPr>
        <w:pStyle w:val="WW-1"/>
        <w:suppressAutoHyphens/>
        <w:snapToGrid w:val="0"/>
        <w:spacing w:line="400" w:lineRule="exact"/>
        <w:rPr>
          <w:rFonts w:eastAsia="黑体"/>
          <w:spacing w:val="0"/>
          <w:kern w:val="32"/>
          <w:szCs w:val="32"/>
        </w:rPr>
      </w:pPr>
    </w:p>
    <w:p w:rsidR="000F0EF5" w:rsidRDefault="000F0EF5" w:rsidP="000F0EF5">
      <w:pPr>
        <w:pStyle w:val="WW-1"/>
        <w:suppressAutoHyphens/>
        <w:snapToGrid w:val="0"/>
        <w:spacing w:line="40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pPr>
    </w:p>
    <w:p w:rsidR="000F0EF5" w:rsidRDefault="000F0EF5" w:rsidP="000F0EF5">
      <w:pPr>
        <w:pStyle w:val="WW-1"/>
        <w:suppressAutoHyphens/>
        <w:snapToGrid w:val="0"/>
        <w:spacing w:line="680" w:lineRule="exact"/>
        <w:rPr>
          <w:rFonts w:eastAsia="黑体"/>
          <w:spacing w:val="0"/>
          <w:kern w:val="32"/>
          <w:szCs w:val="32"/>
        </w:rPr>
        <w:sectPr w:rsidR="000F0EF5">
          <w:headerReference w:type="default" r:id="rId5"/>
          <w:footerReference w:type="even" r:id="rId6"/>
          <w:footerReference w:type="default" r:id="rId7"/>
          <w:pgSz w:w="11906" w:h="16838"/>
          <w:pgMar w:top="1928" w:right="1474" w:bottom="1588" w:left="1588" w:header="851" w:footer="992" w:gutter="0"/>
          <w:pgNumType w:fmt="numberInDash"/>
          <w:cols w:space="720"/>
          <w:docGrid w:linePitch="312"/>
        </w:sectPr>
      </w:pPr>
    </w:p>
    <w:p w:rsidR="000F0EF5" w:rsidRDefault="000F0EF5" w:rsidP="000F0EF5">
      <w:pPr>
        <w:pStyle w:val="WW-1"/>
        <w:suppressAutoHyphens/>
        <w:snapToGrid w:val="0"/>
        <w:spacing w:line="680" w:lineRule="exact"/>
        <w:rPr>
          <w:rFonts w:eastAsia="黑体"/>
          <w:spacing w:val="0"/>
          <w:kern w:val="32"/>
          <w:szCs w:val="32"/>
        </w:rPr>
      </w:pPr>
      <w:r>
        <w:rPr>
          <w:rFonts w:eastAsia="黑体"/>
          <w:spacing w:val="0"/>
          <w:kern w:val="32"/>
          <w:szCs w:val="32"/>
        </w:rPr>
        <w:lastRenderedPageBreak/>
        <w:t>附件</w:t>
      </w:r>
    </w:p>
    <w:tbl>
      <w:tblPr>
        <w:tblW w:w="0" w:type="auto"/>
        <w:tblLayout w:type="fixed"/>
        <w:tblCellMar>
          <w:top w:w="15" w:type="dxa"/>
          <w:left w:w="15" w:type="dxa"/>
          <w:bottom w:w="15" w:type="dxa"/>
          <w:right w:w="15" w:type="dxa"/>
        </w:tblCellMar>
        <w:tblLook w:val="0000"/>
      </w:tblPr>
      <w:tblGrid>
        <w:gridCol w:w="635"/>
        <w:gridCol w:w="1106"/>
        <w:gridCol w:w="3156"/>
        <w:gridCol w:w="4125"/>
        <w:gridCol w:w="1650"/>
        <w:gridCol w:w="2668"/>
        <w:gridCol w:w="648"/>
      </w:tblGrid>
      <w:tr w:rsidR="000F0EF5" w:rsidTr="00247AE7">
        <w:trPr>
          <w:cantSplit/>
          <w:trHeight w:val="653"/>
          <w:tblHeader/>
        </w:trPr>
        <w:tc>
          <w:tcPr>
            <w:tcW w:w="13988" w:type="dxa"/>
            <w:gridSpan w:val="7"/>
            <w:tcBorders>
              <w:bottom w:val="single" w:sz="4" w:space="0" w:color="000000"/>
            </w:tcBorders>
          </w:tcPr>
          <w:p w:rsidR="000F0EF5" w:rsidRDefault="000F0EF5" w:rsidP="00247AE7">
            <w:pPr>
              <w:widowControl/>
              <w:jc w:val="center"/>
              <w:textAlignment w:val="top"/>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北京市建设工程评标专家动态监督管理记分标准</w:t>
            </w:r>
          </w:p>
        </w:tc>
      </w:tr>
      <w:tr w:rsidR="000F0EF5" w:rsidTr="00247AE7">
        <w:trPr>
          <w:cantSplit/>
          <w:trHeight w:val="283"/>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行为类别</w:t>
            </w:r>
          </w:p>
        </w:tc>
        <w:tc>
          <w:tcPr>
            <w:tcW w:w="315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违法违规行为</w:t>
            </w:r>
          </w:p>
        </w:tc>
        <w:tc>
          <w:tcPr>
            <w:tcW w:w="412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处罚处理依据</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违法情节</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分值</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5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评标过程中从事与评标无关的活动的</w:t>
            </w:r>
          </w:p>
        </w:tc>
        <w:tc>
          <w:tcPr>
            <w:tcW w:w="412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5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2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5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 xml:space="preserve">出席评标活动不携带专家证书、电子身份锁的 </w:t>
            </w:r>
          </w:p>
        </w:tc>
        <w:tc>
          <w:tcPr>
            <w:tcW w:w="412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5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2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取消本次评标资格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5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未按要求存放或上交通讯工具(含电子设备等)</w:t>
            </w:r>
          </w:p>
        </w:tc>
        <w:tc>
          <w:tcPr>
            <w:tcW w:w="412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5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2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暂停评标资格1个月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5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要求压缩评标时间的</w:t>
            </w:r>
          </w:p>
        </w:tc>
        <w:tc>
          <w:tcPr>
            <w:tcW w:w="412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5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2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暂停评标资格1个月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5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未准时出席评标活动</w:t>
            </w:r>
          </w:p>
        </w:tc>
        <w:tc>
          <w:tcPr>
            <w:tcW w:w="412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[2011]246号）第二十条第(四)项</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5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2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取消本次评标资格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5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将评标过程中的文件带离评标室的</w:t>
            </w:r>
          </w:p>
        </w:tc>
        <w:tc>
          <w:tcPr>
            <w:tcW w:w="412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5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2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6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暂停评标资格1个月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r>
    </w:tbl>
    <w:p w:rsidR="000F0EF5" w:rsidRDefault="000F0EF5" w:rsidP="000F0EF5">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br w:type="page"/>
      </w:r>
    </w:p>
    <w:tbl>
      <w:tblPr>
        <w:tblW w:w="0" w:type="auto"/>
        <w:tblLayout w:type="fixed"/>
        <w:tblCellMar>
          <w:top w:w="15" w:type="dxa"/>
          <w:left w:w="15" w:type="dxa"/>
          <w:bottom w:w="15" w:type="dxa"/>
          <w:right w:w="15" w:type="dxa"/>
        </w:tblCellMar>
        <w:tblLook w:val="0000"/>
      </w:tblPr>
      <w:tblGrid>
        <w:gridCol w:w="635"/>
        <w:gridCol w:w="1106"/>
        <w:gridCol w:w="3163"/>
        <w:gridCol w:w="4118"/>
        <w:gridCol w:w="1637"/>
        <w:gridCol w:w="2681"/>
        <w:gridCol w:w="648"/>
      </w:tblGrid>
      <w:tr w:rsidR="000F0EF5" w:rsidTr="00247AE7">
        <w:trPr>
          <w:cantSplit/>
          <w:trHeight w:val="283"/>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lastRenderedPageBreak/>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行为类别</w:t>
            </w:r>
          </w:p>
        </w:tc>
        <w:tc>
          <w:tcPr>
            <w:tcW w:w="3163"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违法违规行为</w:t>
            </w:r>
          </w:p>
        </w:tc>
        <w:tc>
          <w:tcPr>
            <w:tcW w:w="411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处罚处理依据</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违法情节</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1"/>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分值</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进入其他正在评标的评标室</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无故不参加评标活动的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[2011]246号）第二十条第(五)项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口头告诫</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暂停评标资格1个月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不服从工作人员管理，经劝阻仍不改正的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10</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不配合招投标行政监督部门监督检查或调查取证的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11</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评标纪律</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向他人透露对投标文件的评审和比较、中标候选人的推荐以及与评标有关的其他情况的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《招标投标法》第五十六条</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给予警告</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855"/>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取消评标委员会成员的资格、构成犯罪的，依法追究刑事责任。</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评审质量</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提交的评标报告中没有评标结论或有多个评标结论的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《招标投标法实施条例》第七十一条第(三)项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bl>
    <w:p w:rsidR="000F0EF5" w:rsidRDefault="000F0EF5" w:rsidP="000F0EF5">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br w:type="page"/>
      </w:r>
    </w:p>
    <w:tbl>
      <w:tblPr>
        <w:tblW w:w="0" w:type="auto"/>
        <w:tblLayout w:type="fixed"/>
        <w:tblCellMar>
          <w:top w:w="15" w:type="dxa"/>
          <w:left w:w="15" w:type="dxa"/>
          <w:bottom w:w="15" w:type="dxa"/>
          <w:right w:w="15" w:type="dxa"/>
        </w:tblCellMar>
        <w:tblLook w:val="0000"/>
      </w:tblPr>
      <w:tblGrid>
        <w:gridCol w:w="635"/>
        <w:gridCol w:w="1106"/>
        <w:gridCol w:w="3163"/>
        <w:gridCol w:w="4118"/>
        <w:gridCol w:w="1637"/>
        <w:gridCol w:w="2681"/>
        <w:gridCol w:w="648"/>
      </w:tblGrid>
      <w:tr w:rsidR="000F0EF5" w:rsidTr="00247AE7">
        <w:trPr>
          <w:cantSplit/>
          <w:trHeight w:val="283"/>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lastRenderedPageBreak/>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行为类别</w:t>
            </w:r>
          </w:p>
        </w:tc>
        <w:tc>
          <w:tcPr>
            <w:tcW w:w="3163"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违法违规行为</w:t>
            </w:r>
          </w:p>
        </w:tc>
        <w:tc>
          <w:tcPr>
            <w:tcW w:w="411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处罚处理依据</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违法情节</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1"/>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分值</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13</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评审质量</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评分汇总出现计算错误</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《招标投标法实施条例》第七十一条第(三)项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14</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评审质量</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评标专家个人评分与其他成员存在重大分歧未做出书面说明、虽然做出书面说明但不能合理解释的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《招标投标法实施条例》第七十一条第(三)项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评审质量</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未按照文件规定的标准和方法进行评审的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《招标投标法实施条例》第七十一条第(三)项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16</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应当启动澄清、说明和补正程序而未启动</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《招标投标法实施条例》第七十一条第(三)项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17</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接受投标人主动提出的澄清、说明的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《招标投标法实施条例》第七十一条第(七)项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bl>
    <w:p w:rsidR="000F0EF5" w:rsidRDefault="000F0EF5" w:rsidP="000F0EF5">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br w:type="page"/>
      </w:r>
    </w:p>
    <w:tbl>
      <w:tblPr>
        <w:tblW w:w="0" w:type="auto"/>
        <w:tblLayout w:type="fixed"/>
        <w:tblCellMar>
          <w:top w:w="15" w:type="dxa"/>
          <w:left w:w="15" w:type="dxa"/>
          <w:bottom w:w="15" w:type="dxa"/>
          <w:right w:w="15" w:type="dxa"/>
        </w:tblCellMar>
        <w:tblLook w:val="0000"/>
      </w:tblPr>
      <w:tblGrid>
        <w:gridCol w:w="635"/>
        <w:gridCol w:w="1106"/>
        <w:gridCol w:w="3163"/>
        <w:gridCol w:w="4118"/>
        <w:gridCol w:w="1637"/>
        <w:gridCol w:w="2681"/>
        <w:gridCol w:w="648"/>
      </w:tblGrid>
      <w:tr w:rsidR="000F0EF5" w:rsidTr="00247AE7">
        <w:trPr>
          <w:cantSplit/>
          <w:trHeight w:val="283"/>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lastRenderedPageBreak/>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行为类别</w:t>
            </w:r>
          </w:p>
        </w:tc>
        <w:tc>
          <w:tcPr>
            <w:tcW w:w="3163"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违法违规行为</w:t>
            </w:r>
          </w:p>
        </w:tc>
        <w:tc>
          <w:tcPr>
            <w:tcW w:w="411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处罚处理依据</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违法情节</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1"/>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分值</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借鉴或抄袭其他专家打分结果的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19</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将个人已完成的打分结果供其他专家借鉴或抄袭的，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影响或干扰其它专家独立评审的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21</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在空白评标结论上签字</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22</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暗示或者诱导投标人</w:t>
            </w:r>
            <w:proofErr w:type="gramStart"/>
            <w:r>
              <w:rPr>
                <w:rFonts w:ascii="宋体" w:hAnsi="宋体" w:cs="宋体" w:hint="eastAsia"/>
                <w:color w:val="000000"/>
                <w:kern w:val="0"/>
                <w:sz w:val="24"/>
                <w:lang/>
              </w:rPr>
              <w:t>作出</w:t>
            </w:r>
            <w:proofErr w:type="gramEnd"/>
            <w:r>
              <w:rPr>
                <w:rFonts w:ascii="宋体" w:hAnsi="宋体" w:cs="宋体" w:hint="eastAsia"/>
                <w:color w:val="000000"/>
                <w:kern w:val="0"/>
                <w:sz w:val="24"/>
                <w:lang/>
              </w:rPr>
              <w:t>澄清、说明的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《招标投标法实施条例》第七十一条第(七)项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bl>
    <w:p w:rsidR="000F0EF5" w:rsidRDefault="000F0EF5" w:rsidP="000F0EF5">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br w:type="page"/>
      </w:r>
    </w:p>
    <w:tbl>
      <w:tblPr>
        <w:tblW w:w="0" w:type="auto"/>
        <w:tblLayout w:type="fixed"/>
        <w:tblCellMar>
          <w:top w:w="15" w:type="dxa"/>
          <w:left w:w="15" w:type="dxa"/>
          <w:bottom w:w="15" w:type="dxa"/>
          <w:right w:w="15" w:type="dxa"/>
        </w:tblCellMar>
        <w:tblLook w:val="0000"/>
      </w:tblPr>
      <w:tblGrid>
        <w:gridCol w:w="635"/>
        <w:gridCol w:w="1106"/>
        <w:gridCol w:w="3163"/>
        <w:gridCol w:w="4118"/>
        <w:gridCol w:w="1637"/>
        <w:gridCol w:w="2681"/>
        <w:gridCol w:w="648"/>
      </w:tblGrid>
      <w:tr w:rsidR="000F0EF5" w:rsidTr="00247AE7">
        <w:trPr>
          <w:cantSplit/>
          <w:trHeight w:val="283"/>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lastRenderedPageBreak/>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行为类别</w:t>
            </w:r>
          </w:p>
        </w:tc>
        <w:tc>
          <w:tcPr>
            <w:tcW w:w="3163"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违法违规行为</w:t>
            </w:r>
          </w:p>
        </w:tc>
        <w:tc>
          <w:tcPr>
            <w:tcW w:w="411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处罚处理依据</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违法情节</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1"/>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分值</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23</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应当回避未主动提出回避</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《招标投标法实施条例》第七十一条第(一)项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私下接触投标人</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《招标投标法实施条例》第七十一条第(四)项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主动向招标人征询确定中标人的意向</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《招标投标法实施条例》第七十一条第(五)项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26</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发表带有倾向或者排斥潜在投标人意见的言论的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482"/>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27</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顺从其他专家发表的倾向性或者排斥潜在投标人意见的引导意图的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《招标投标法实施条例》第七十一条第(五)项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482"/>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bl>
    <w:p w:rsidR="000F0EF5" w:rsidRDefault="000F0EF5" w:rsidP="000F0EF5">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br w:type="page"/>
      </w:r>
    </w:p>
    <w:tbl>
      <w:tblPr>
        <w:tblW w:w="0" w:type="auto"/>
        <w:tblLayout w:type="fixed"/>
        <w:tblCellMar>
          <w:top w:w="15" w:type="dxa"/>
          <w:left w:w="15" w:type="dxa"/>
          <w:bottom w:w="15" w:type="dxa"/>
          <w:right w:w="15" w:type="dxa"/>
        </w:tblCellMar>
        <w:tblLook w:val="0000"/>
      </w:tblPr>
      <w:tblGrid>
        <w:gridCol w:w="635"/>
        <w:gridCol w:w="1106"/>
        <w:gridCol w:w="3163"/>
        <w:gridCol w:w="4118"/>
        <w:gridCol w:w="1637"/>
        <w:gridCol w:w="2681"/>
        <w:gridCol w:w="648"/>
      </w:tblGrid>
      <w:tr w:rsidR="000F0EF5" w:rsidTr="00247AE7">
        <w:trPr>
          <w:cantSplit/>
          <w:trHeight w:val="369"/>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lastRenderedPageBreak/>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行为类别</w:t>
            </w:r>
          </w:p>
        </w:tc>
        <w:tc>
          <w:tcPr>
            <w:tcW w:w="3163"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违法违规行为</w:t>
            </w:r>
          </w:p>
        </w:tc>
        <w:tc>
          <w:tcPr>
            <w:tcW w:w="411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处罚处理依据</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违法情节</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1"/>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分值</w:t>
            </w:r>
          </w:p>
        </w:tc>
      </w:tr>
      <w:tr w:rsidR="000F0EF5" w:rsidTr="00247AE7">
        <w:trPr>
          <w:cantSplit/>
          <w:trHeight w:val="527"/>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28</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依法应当否决的投标不提出否决意见</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《招标投标法实施条例》第七十一条第(六)项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暂停评标资格6个月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27"/>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29</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完成潜在投标人排序后无故修改评标结果导致排序变化的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暂停评标资格12个月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27"/>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评标活动结束前离开评标区的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《招标投标法实施条例》第七十一条第(二)项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暂停评标资格12个月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27"/>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31</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公正履职</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收受投标人的财物或者其他好处的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《招标投标法》第五十六条</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给予警告</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取消评标委员会成员的资格、构成犯罪的，依法追究刑事责任。</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27"/>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32</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其他</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其他违规违纪行为</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[2011]246号）第二十条第(七)项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给予警告</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0F0EF5" w:rsidTr="00247AE7">
        <w:trPr>
          <w:cantSplit/>
          <w:trHeight w:val="527"/>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bl>
    <w:p w:rsidR="000F0EF5" w:rsidRDefault="000F0EF5" w:rsidP="000F0EF5">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br w:type="page"/>
      </w:r>
    </w:p>
    <w:tbl>
      <w:tblPr>
        <w:tblW w:w="0" w:type="auto"/>
        <w:tblLayout w:type="fixed"/>
        <w:tblCellMar>
          <w:top w:w="15" w:type="dxa"/>
          <w:left w:w="15" w:type="dxa"/>
          <w:bottom w:w="15" w:type="dxa"/>
          <w:right w:w="15" w:type="dxa"/>
        </w:tblCellMar>
        <w:tblLook w:val="0000"/>
      </w:tblPr>
      <w:tblGrid>
        <w:gridCol w:w="635"/>
        <w:gridCol w:w="1106"/>
        <w:gridCol w:w="3163"/>
        <w:gridCol w:w="4118"/>
        <w:gridCol w:w="1637"/>
        <w:gridCol w:w="2681"/>
        <w:gridCol w:w="648"/>
      </w:tblGrid>
      <w:tr w:rsidR="000F0EF5" w:rsidTr="00247AE7">
        <w:trPr>
          <w:cantSplit/>
          <w:trHeight w:val="369"/>
          <w:tblHeader/>
        </w:trPr>
        <w:tc>
          <w:tcPr>
            <w:tcW w:w="635"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lastRenderedPageBreak/>
              <w:t>序号</w:t>
            </w:r>
          </w:p>
        </w:tc>
        <w:tc>
          <w:tcPr>
            <w:tcW w:w="1106"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行为类别</w:t>
            </w:r>
          </w:p>
        </w:tc>
        <w:tc>
          <w:tcPr>
            <w:tcW w:w="3163"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违法违规行为</w:t>
            </w:r>
          </w:p>
        </w:tc>
        <w:tc>
          <w:tcPr>
            <w:tcW w:w="411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处罚处理依据</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违法情节</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1"/>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裁量基准</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分值</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33</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其他</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其他不客观、不公正履职的行为</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《招标投标法实施条例》第七十一条第(八)项</w:t>
            </w: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情节轻微</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责令改正</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暂停评标资格3个月</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情节特别严重</w:t>
            </w:r>
          </w:p>
        </w:tc>
        <w:tc>
          <w:tcPr>
            <w:tcW w:w="2681"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ind w:firstLineChars="100" w:firstLine="240"/>
              <w:jc w:val="left"/>
              <w:textAlignment w:val="center"/>
              <w:rPr>
                <w:rFonts w:ascii="宋体" w:hAnsi="宋体" w:cs="宋体" w:hint="eastAsia"/>
                <w:color w:val="000000"/>
                <w:sz w:val="24"/>
              </w:rPr>
            </w:pPr>
            <w:r>
              <w:rPr>
                <w:rFonts w:ascii="宋体" w:hAnsi="宋体" w:cs="宋体" w:hint="eastAsia"/>
                <w:color w:val="000000"/>
                <w:kern w:val="0"/>
                <w:sz w:val="24"/>
                <w:lang/>
              </w:rPr>
              <w:t>取消评标专家资格</w:t>
            </w:r>
          </w:p>
        </w:tc>
        <w:tc>
          <w:tcPr>
            <w:tcW w:w="648" w:type="dxa"/>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34</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其他</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未参加全市统一的评标专家培训考核或培训考核不合格的</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《北京市评标专家库专家管理细则》（京</w:t>
            </w:r>
            <w:proofErr w:type="gramStart"/>
            <w:r>
              <w:rPr>
                <w:rFonts w:ascii="宋体" w:hAnsi="宋体" w:cs="宋体" w:hint="eastAsia"/>
                <w:color w:val="000000"/>
                <w:kern w:val="0"/>
                <w:sz w:val="24"/>
                <w:lang/>
              </w:rPr>
              <w:t>人社专技发</w:t>
            </w:r>
            <w:proofErr w:type="gramEnd"/>
            <w:r>
              <w:rPr>
                <w:rFonts w:ascii="宋体" w:hAnsi="宋体" w:cs="宋体" w:hint="eastAsia"/>
                <w:color w:val="000000"/>
                <w:kern w:val="0"/>
                <w:sz w:val="24"/>
                <w:lang/>
              </w:rPr>
              <w:t>[2011]246号）第二十条第(三)项</w:t>
            </w:r>
          </w:p>
        </w:tc>
        <w:tc>
          <w:tcPr>
            <w:tcW w:w="1637"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情节严重</w:t>
            </w:r>
          </w:p>
        </w:tc>
        <w:tc>
          <w:tcPr>
            <w:tcW w:w="2681"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暂停评标资格12个月</w:t>
            </w:r>
          </w:p>
        </w:tc>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r>
      <w:tr w:rsidR="000F0EF5" w:rsidTr="00247AE7">
        <w:trPr>
          <w:cantSplit/>
          <w:trHeight w:val="510"/>
          <w:tblHeader/>
        </w:trPr>
        <w:tc>
          <w:tcPr>
            <w:tcW w:w="635"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left"/>
              <w:rPr>
                <w:rFonts w:ascii="宋体" w:hAnsi="宋体" w:cs="宋体" w:hint="eastAsia"/>
                <w:color w:val="000000"/>
                <w:sz w:val="24"/>
              </w:rPr>
            </w:pPr>
          </w:p>
        </w:tc>
        <w:tc>
          <w:tcPr>
            <w:tcW w:w="1637"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2681"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c>
          <w:tcPr>
            <w:tcW w:w="648" w:type="dxa"/>
            <w:vMerge/>
            <w:tcBorders>
              <w:top w:val="single" w:sz="4" w:space="0" w:color="000000"/>
              <w:left w:val="single" w:sz="4" w:space="0" w:color="000000"/>
              <w:bottom w:val="single" w:sz="4" w:space="0" w:color="000000"/>
              <w:right w:val="single" w:sz="4" w:space="0" w:color="000000"/>
            </w:tcBorders>
            <w:vAlign w:val="center"/>
          </w:tcPr>
          <w:p w:rsidR="000F0EF5" w:rsidRDefault="000F0EF5" w:rsidP="00247AE7">
            <w:pPr>
              <w:jc w:val="center"/>
              <w:rPr>
                <w:rFonts w:ascii="宋体" w:hAnsi="宋体" w:cs="宋体" w:hint="eastAsia"/>
                <w:color w:val="000000"/>
                <w:sz w:val="24"/>
              </w:rPr>
            </w:pPr>
          </w:p>
        </w:tc>
      </w:tr>
    </w:tbl>
    <w:p w:rsidR="000F0EF5" w:rsidRDefault="000F0EF5" w:rsidP="000F0EF5">
      <w:pPr>
        <w:pStyle w:val="WW-1"/>
        <w:suppressAutoHyphens/>
        <w:snapToGrid w:val="0"/>
        <w:spacing w:line="680" w:lineRule="exact"/>
        <w:ind w:rightChars="-456" w:right="-958"/>
        <w:rPr>
          <w:rFonts w:eastAsia="黑体"/>
          <w:spacing w:val="0"/>
          <w:kern w:val="32"/>
          <w:szCs w:val="32"/>
        </w:rPr>
        <w:sectPr w:rsidR="000F0EF5">
          <w:pgSz w:w="16838" w:h="11906" w:orient="landscape"/>
          <w:pgMar w:top="1588" w:right="1928" w:bottom="1474" w:left="1588" w:header="851" w:footer="992" w:gutter="0"/>
          <w:pgNumType w:fmt="numberInDash"/>
          <w:cols w:space="720"/>
          <w:docGrid w:linePitch="312"/>
        </w:sectPr>
      </w:pPr>
    </w:p>
    <w:p w:rsidR="00D9392C" w:rsidRPr="000F0EF5" w:rsidRDefault="00D9392C"/>
    <w:sectPr w:rsidR="00D9392C" w:rsidRPr="000F0EF5">
      <w:pgSz w:w="11906" w:h="16838"/>
      <w:pgMar w:top="1928" w:right="1474" w:bottom="1588" w:left="1588" w:header="851" w:footer="992"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F5" w:rsidRPr="00824E6C" w:rsidRDefault="000F0EF5">
    <w:pPr>
      <w:pStyle w:val="a3"/>
      <w:ind w:leftChars="200" w:left="420" w:rightChars="200" w:right="420"/>
      <w:rPr>
        <w:rFonts w:ascii="宋体" w:hAnsi="宋体"/>
        <w:sz w:val="28"/>
        <w:szCs w:val="28"/>
      </w:rPr>
    </w:pPr>
    <w:r w:rsidRPr="00824E6C">
      <w:rPr>
        <w:rFonts w:ascii="宋体" w:hAnsi="宋体"/>
        <w:sz w:val="28"/>
        <w:szCs w:val="28"/>
      </w:rPr>
      <w:fldChar w:fldCharType="begin"/>
    </w:r>
    <w:r w:rsidRPr="00824E6C">
      <w:rPr>
        <w:rFonts w:ascii="宋体" w:hAnsi="宋体"/>
        <w:sz w:val="28"/>
        <w:szCs w:val="28"/>
      </w:rPr>
      <w:instrText xml:space="preserve"> PAGE   \* MERGEFORMAT </w:instrText>
    </w:r>
    <w:r w:rsidRPr="00824E6C">
      <w:rPr>
        <w:rFonts w:ascii="宋体" w:hAnsi="宋体"/>
        <w:sz w:val="28"/>
        <w:szCs w:val="28"/>
      </w:rPr>
      <w:fldChar w:fldCharType="separate"/>
    </w:r>
    <w:r>
      <w:rPr>
        <w:rFonts w:ascii="宋体" w:hAnsi="宋体"/>
        <w:noProof/>
        <w:sz w:val="28"/>
        <w:szCs w:val="28"/>
      </w:rPr>
      <w:t>- 16 -</w:t>
    </w:r>
    <w:r w:rsidRPr="00824E6C">
      <w:rPr>
        <w:rFonts w:ascii="宋体" w:hAnsi="宋体"/>
        <w:sz w:val="28"/>
        <w:szCs w:val="28"/>
      </w:rPr>
      <w:fldChar w:fldCharType="end"/>
    </w:r>
  </w:p>
  <w:p w:rsidR="002D19F5" w:rsidRDefault="000F0E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F5" w:rsidRPr="00824E6C" w:rsidRDefault="000F0EF5">
    <w:pPr>
      <w:pStyle w:val="a3"/>
      <w:ind w:leftChars="200" w:left="420" w:rightChars="200" w:right="420"/>
      <w:jc w:val="right"/>
      <w:rPr>
        <w:rFonts w:ascii="宋体" w:hAnsi="宋体"/>
        <w:sz w:val="28"/>
        <w:szCs w:val="28"/>
      </w:rPr>
    </w:pPr>
    <w:r w:rsidRPr="00824E6C">
      <w:rPr>
        <w:rFonts w:ascii="宋体" w:hAnsi="宋体"/>
        <w:sz w:val="28"/>
        <w:szCs w:val="28"/>
      </w:rPr>
      <w:fldChar w:fldCharType="begin"/>
    </w:r>
    <w:r w:rsidRPr="00824E6C">
      <w:rPr>
        <w:rFonts w:ascii="宋体" w:hAnsi="宋体"/>
        <w:sz w:val="28"/>
        <w:szCs w:val="28"/>
      </w:rPr>
      <w:instrText xml:space="preserve"> PAGE   \* MERGEFORMAT </w:instrText>
    </w:r>
    <w:r w:rsidRPr="00824E6C">
      <w:rPr>
        <w:rFonts w:ascii="宋体" w:hAnsi="宋体"/>
        <w:sz w:val="28"/>
        <w:szCs w:val="28"/>
      </w:rPr>
      <w:fldChar w:fldCharType="separate"/>
    </w:r>
    <w:r>
      <w:rPr>
        <w:rFonts w:ascii="宋体" w:hAnsi="宋体"/>
        <w:noProof/>
        <w:sz w:val="28"/>
        <w:szCs w:val="28"/>
      </w:rPr>
      <w:t>- 13 -</w:t>
    </w:r>
    <w:r w:rsidRPr="00824E6C">
      <w:rPr>
        <w:rFonts w:ascii="宋体" w:hAnsi="宋体"/>
        <w:sz w:val="28"/>
        <w:szCs w:val="28"/>
      </w:rPr>
      <w:fldChar w:fldCharType="end"/>
    </w:r>
  </w:p>
  <w:p w:rsidR="002D19F5" w:rsidRDefault="000F0EF5">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F5" w:rsidRDefault="000F0EF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2F53"/>
    <w:multiLevelType w:val="singleLevel"/>
    <w:tmpl w:val="57432F53"/>
    <w:lvl w:ilvl="0">
      <w:start w:val="1"/>
      <w:numFmt w:val="chineseCounting"/>
      <w:suff w:val="space"/>
      <w:lvlText w:val="第%1章"/>
      <w:lvlJc w:val="left"/>
    </w:lvl>
  </w:abstractNum>
  <w:abstractNum w:abstractNumId="1">
    <w:nsid w:val="57433022"/>
    <w:multiLevelType w:val="singleLevel"/>
    <w:tmpl w:val="57433022"/>
    <w:lvl w:ilvl="0">
      <w:start w:val="4"/>
      <w:numFmt w:val="chineseCounting"/>
      <w:suff w:val="space"/>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0EF5"/>
    <w:rsid w:val="000F0EF5"/>
    <w:rsid w:val="00D93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0F0EF5"/>
    <w:rPr>
      <w:sz w:val="18"/>
      <w:szCs w:val="18"/>
    </w:rPr>
  </w:style>
  <w:style w:type="paragraph" w:styleId="a4">
    <w:name w:val="header"/>
    <w:basedOn w:val="a"/>
    <w:link w:val="Char0"/>
    <w:rsid w:val="000F0E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F0EF5"/>
    <w:rPr>
      <w:rFonts w:ascii="Times New Roman" w:eastAsia="宋体" w:hAnsi="Times New Roman" w:cs="Times New Roman"/>
      <w:sz w:val="18"/>
      <w:szCs w:val="18"/>
    </w:rPr>
  </w:style>
  <w:style w:type="paragraph" w:styleId="a3">
    <w:name w:val="footer"/>
    <w:basedOn w:val="a"/>
    <w:link w:val="Char"/>
    <w:uiPriority w:val="99"/>
    <w:rsid w:val="000F0E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0F0EF5"/>
    <w:rPr>
      <w:rFonts w:ascii="Times New Roman" w:eastAsia="宋体" w:hAnsi="Times New Roman" w:cs="Times New Roman"/>
      <w:sz w:val="18"/>
      <w:szCs w:val="18"/>
    </w:rPr>
  </w:style>
  <w:style w:type="paragraph" w:customStyle="1" w:styleId="WW-1">
    <w:name w:val="WW-日期1"/>
    <w:basedOn w:val="a"/>
    <w:rsid w:val="000F0EF5"/>
    <w:rPr>
      <w:rFonts w:hint="eastAsia"/>
      <w:spacing w:val="20"/>
      <w:kern w:val="1"/>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Words>
  <Characters>5382</Characters>
  <Application>Microsoft Office Word</Application>
  <DocSecurity>0</DocSecurity>
  <Lines>44</Lines>
  <Paragraphs>12</Paragraphs>
  <ScaleCrop>false</ScaleCrop>
  <Company>Microsoft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2016-06-02T08:35:00Z</dcterms:created>
  <dcterms:modified xsi:type="dcterms:W3CDTF">2016-06-02T08:35:00Z</dcterms:modified>
</cp:coreProperties>
</file>