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3854">
      <w:pPr>
        <w:pStyle w:val="12"/>
        <w:widowControl w:val="0"/>
        <w:adjustRightInd w:val="0"/>
        <w:snapToGrid w:val="0"/>
        <w:spacing w:before="0" w:beforeAutospacing="0" w:after="0" w:afterAutospacing="0" w:line="560" w:lineRule="exact"/>
        <w:rPr>
          <w:rFonts w:ascii="黑体" w:hAnsi="黑体" w:eastAsia="黑体"/>
          <w:kern w:val="2"/>
          <w:sz w:val="32"/>
          <w:szCs w:val="32"/>
        </w:rPr>
      </w:pPr>
      <w:r>
        <w:rPr>
          <w:rFonts w:hint="eastAsia" w:ascii="黑体" w:hAnsi="黑体" w:eastAsia="黑体"/>
          <w:kern w:val="2"/>
          <w:sz w:val="32"/>
          <w:szCs w:val="32"/>
        </w:rPr>
        <w:t>京建法〔2026〕1号附件</w:t>
      </w:r>
    </w:p>
    <w:p w14:paraId="74C60433">
      <w:pPr>
        <w:pStyle w:val="12"/>
        <w:widowControl w:val="0"/>
        <w:adjustRightInd w:val="0"/>
        <w:snapToGrid w:val="0"/>
        <w:spacing w:before="0" w:beforeAutospacing="0" w:after="0" w:afterAutospacing="0" w:line="560" w:lineRule="exact"/>
        <w:rPr>
          <w:rFonts w:ascii="方正小标宋简体" w:eastAsia="方正小标宋简体"/>
          <w:sz w:val="44"/>
          <w:szCs w:val="44"/>
        </w:rPr>
      </w:pPr>
    </w:p>
    <w:p w14:paraId="7AF1C15F">
      <w:pPr>
        <w:pStyle w:val="12"/>
        <w:widowControl w:val="0"/>
        <w:adjustRightInd w:val="0"/>
        <w:snapToGrid w:val="0"/>
        <w:spacing w:before="0" w:beforeAutospacing="0" w:after="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关于执行2025年《北京市建设工程计价依据</w:t>
      </w:r>
    </w:p>
    <w:p w14:paraId="32814EDA">
      <w:pPr>
        <w:pStyle w:val="12"/>
        <w:widowControl w:val="0"/>
        <w:adjustRightInd w:val="0"/>
        <w:snapToGrid w:val="0"/>
        <w:spacing w:before="0" w:beforeAutospacing="0" w:after="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——概算消耗量标准》的规定</w:t>
      </w:r>
    </w:p>
    <w:p w14:paraId="2F5E6527">
      <w:pPr>
        <w:pStyle w:val="12"/>
        <w:widowControl w:val="0"/>
        <w:adjustRightInd w:val="0"/>
        <w:snapToGrid w:val="0"/>
        <w:spacing w:before="0" w:beforeAutospacing="0" w:after="0" w:afterAutospacing="0" w:line="560" w:lineRule="exact"/>
        <w:rPr>
          <w:rFonts w:ascii="仿宋_GB2312" w:hAnsi="仿宋_GB2312" w:eastAsia="仿宋_GB2312" w:cs="仿宋_GB2312"/>
          <w:sz w:val="32"/>
          <w:szCs w:val="32"/>
          <w:shd w:val="clear" w:color="auto" w:fill="FFFFFF"/>
        </w:rPr>
      </w:pPr>
    </w:p>
    <w:p w14:paraId="3457BB6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一、本市行政区域内新建、扩建的房屋建筑（含装饰装修工程）和市政基础设施工程以及市政改建工程的初步设计概算中建筑安装工程费（以下简称“建安费”）的确定，适用本规定。</w:t>
      </w:r>
    </w:p>
    <w:p w14:paraId="744C7DF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国有资金投资项目的建安费应依据2025年《北京市建设工程计价依据——概算消耗量标准》（以下简称《概算消耗量标准》）和《北京工程造价信息（建设工程）》等确定；非国有资金投资项目的建安费，可参照确定。</w:t>
      </w:r>
    </w:p>
    <w:p w14:paraId="78271A6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概算消耗量标准》中人工、材料、施工机具等施工生产要素的价格，应依据初步设计概算编制期的《北京工程造价信息（建设工程）》中不含增值税可抵扣进项税的“工程造价信息价”确定，其中人工工日单价按“人工工日市场价格信息（含企业及个人按国家相关规定应缴纳的社会保险费和住房公积金）”合理确定。初步设计概算编制期“工程造价信息价”中未包括材料、施工机具的价格，初步设计概算的编制人（以下简称“概算编制人”）应通过市场询价方式合理确定，其中施工机具的台班单价应为包括燃料、司机及其他操作人员（如需）等费用的市场租赁价格。</w:t>
      </w:r>
    </w:p>
    <w:p w14:paraId="05D1A72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1.弃土（石）方、渣土消纳的价格，概算编制人应结合《北京市住房和城乡建设委员会关于建筑垃圾运输处置费用单独列项计价的通知》（京建法〔2017〕27号）规定，合理确定。</w:t>
      </w:r>
    </w:p>
    <w:p w14:paraId="016F7AA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机械设备安装工程、热力设备安装工程、静置设备与工艺金属结构制作安装工程、自动化控制仪表安装工程、工业管道工程、信息通信设备与线缆安装工程等专业工程的施工生产要素的数量应依据北京市地方标准《建设工程施工消耗量标准》（DB11/T 2382）中相应的项目确定，单价按本条第（一）项的方式确定。</w:t>
      </w:r>
    </w:p>
    <w:p w14:paraId="5A27498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3.《概算消耗量标准》《建设工程施工消耗量标准》（DB11/T 2382）中未包括或不适用的项目，其施工生产要素的数量，可由概算编制人参考类似项目补充，其工程量计算规则应与《概算消耗量标准》的口径保持一致。</w:t>
      </w:r>
    </w:p>
    <w:p w14:paraId="4A3318A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安全生产标准化措施费应按《北京市住房和城乡建设委员会关于印发〈北京市建设工程安全文明施工费管理办法（试行）〉的通知》（京建法〔2019〕9号）的规定且不低于《北京市住房和城乡建设委员会关于执行〈建设工程工程量清单计价标准〉及配套工程量计算标准的实施意见》（京建发〔2025〕377号）中相应项目的“绿色（一般计税方式）”费率标准，合理确定。</w:t>
      </w:r>
    </w:p>
    <w:p w14:paraId="239F573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施工垃圾场外运输和消纳费应按《北京市住房和城乡建设委员会关于建筑垃圾运输处置费用单独列项计价的通知》（京建法〔2017〕27号）的规定和《北京市住房和城乡建设委员会关于执行〈建设工程工程量清单计价标准〉及配套工程量计算标准的实施意见》（京建发〔2025〕377号）的相应费用标准，合理确定。</w:t>
      </w:r>
    </w:p>
    <w:p w14:paraId="5E0F656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不可精确计量措施费（除施工垃圾场外运输和消纳费及安全生产标准化措施费外）应由概算编制人自主测算确定，不得低于初步设计概算编制期《北京工程造价信息（建设工程）》中“费用指标（一般计税）”的相应指标中间值，其中初步设计概算编制期“费用指标（一般计税）”未包括或不适用的，概算编制人应结合工程具体情况，合理确定。</w:t>
      </w:r>
    </w:p>
    <w:p w14:paraId="24CECA0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受初步设计图纸深度不足等因素导致无法计量计价的零星工程且不属于本条第（一）项第2、3目的分部分项工程费用，可以本条第（一）～（四）项的合计费用为基数，并结合设计图纸的详尽情况，按1%～3%计取。</w:t>
      </w:r>
    </w:p>
    <w:p w14:paraId="2DB254C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（六）企业管理费、利润由概算编制人自主测算确定，不得低于初步设计概算编制期《北京工程造价信息（建设工程）》中“费用指标（一般计税）”的相应指标中间值。</w:t>
      </w:r>
    </w:p>
    <w:p w14:paraId="0639507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（七）增值税按国家政策文件中一般计税方式的增值税税率计算确定，规费不再单独列项计价。</w:t>
      </w:r>
    </w:p>
    <w:p w14:paraId="3A3E75D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（八）依据《概算消耗量标准》及本规定确定建安费时，应按《建设工程初步设计概算的计价程序表》（见附件）执行。</w:t>
      </w:r>
    </w:p>
    <w:p w14:paraId="19A1B12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三、本市建设工程造价管理机构应依据政策规定和市场实际，适时采取动态调整方式对《概算消耗量标准》进行修订。</w:t>
      </w:r>
    </w:p>
    <w:p w14:paraId="549B001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本规定自2026年5月1日（含）起执行。《北京市住房城乡建设委员会关于执行2016年〈北京市建设工程计价依据——概算定额〉有关规定的通知》（京建法〔2016〕20号）同时废止，2026年5月1日（不含）前，已按2016年《北京市建设工程计价依据——概算定额》及其配套文件规定编制并批复的初步设计概算发生调整的，仍按原规定执行。</w:t>
      </w:r>
    </w:p>
    <w:p w14:paraId="3A43D1F9">
      <w:pPr>
        <w:adjustRightInd w:val="0"/>
        <w:snapToGrid w:val="0"/>
        <w:spacing w:line="560" w:lineRule="exact"/>
        <w:ind w:firstLine="640" w:firstLineChars="200"/>
        <w:rPr>
          <w:rFonts w:ascii="仿宋_GB2312" w:eastAsia="仿宋_GB2312"/>
          <w:sz w:val="32"/>
          <w:szCs w:val="32"/>
        </w:rPr>
      </w:pPr>
    </w:p>
    <w:p w14:paraId="53BB5DA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附件：建设工程初步设计概算的计价程序表</w:t>
      </w:r>
    </w:p>
    <w:p w14:paraId="26CE2497">
      <w:pPr>
        <w:adjustRightInd w:val="0"/>
        <w:snapToGrid w:val="0"/>
        <w:spacing w:line="560" w:lineRule="exact"/>
        <w:rPr>
          <w:rFonts w:ascii="黑体" w:hAnsi="黑体" w:eastAsia="黑体" w:cs="黑体"/>
          <w:kern w:val="0"/>
          <w:sz w:val="32"/>
          <w:szCs w:val="32"/>
        </w:rPr>
      </w:pPr>
      <w:r>
        <w:rPr>
          <w:rFonts w:hint="eastAsia" w:ascii="仿宋_GB2312" w:eastAsia="仿宋_GB2312"/>
          <w:sz w:val="32"/>
          <w:szCs w:val="32"/>
        </w:rPr>
        <w:br w:type="page"/>
      </w:r>
      <w:r>
        <w:rPr>
          <w:rFonts w:hint="eastAsia" w:ascii="黑体" w:hAnsi="黑体" w:eastAsia="黑体" w:cs="黑体"/>
          <w:kern w:val="0"/>
          <w:sz w:val="32"/>
          <w:szCs w:val="32"/>
        </w:rPr>
        <w:t>附件</w:t>
      </w:r>
    </w:p>
    <w:p w14:paraId="1FB5098F">
      <w:pPr>
        <w:widowControl/>
        <w:spacing w:line="270" w:lineRule="atLeast"/>
        <w:jc w:val="left"/>
        <w:rPr>
          <w:rFonts w:ascii="宋体" w:hAnsi="宋体" w:cs="宋体"/>
          <w:kern w:val="0"/>
          <w:sz w:val="24"/>
        </w:rPr>
      </w:pPr>
    </w:p>
    <w:p w14:paraId="66A1D59A">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建设工程初步设计概算的计价程序表</w:t>
      </w:r>
    </w:p>
    <w:p w14:paraId="3956D765">
      <w:pPr>
        <w:pStyle w:val="12"/>
        <w:adjustRightInd w:val="0"/>
        <w:snapToGrid w:val="0"/>
        <w:spacing w:before="0" w:beforeAutospacing="0" w:after="0" w:afterAutospacing="0" w:line="560" w:lineRule="exact"/>
        <w:jc w:val="center"/>
        <w:rPr>
          <w:rFonts w:ascii="楷体_GB2312" w:hAnsi="仿宋_GB2312" w:eastAsia="楷体_GB2312" w:cs="仿宋_GB2312"/>
          <w:color w:val="404040"/>
          <w:sz w:val="28"/>
          <w:szCs w:val="28"/>
          <w:shd w:val="clear" w:color="auto" w:fill="FFFFFF"/>
        </w:rPr>
      </w:pPr>
      <w:r>
        <w:rPr>
          <w:rFonts w:hint="eastAsia" w:ascii="楷体_GB2312" w:eastAsia="楷体_GB2312" w:cs="宋体"/>
          <w:sz w:val="28"/>
          <w:szCs w:val="28"/>
        </w:rPr>
        <w:t>（单位工程建筑安装工程费）</w:t>
      </w: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437"/>
        <w:gridCol w:w="2396"/>
        <w:gridCol w:w="3455"/>
      </w:tblGrid>
      <w:tr w14:paraId="092E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48" w:type="dxa"/>
            <w:vAlign w:val="center"/>
          </w:tcPr>
          <w:p w14:paraId="3ADD93D9">
            <w:pPr>
              <w:widowControl/>
              <w:adjustRightInd w:val="0"/>
              <w:snapToGrid w:val="0"/>
              <w:jc w:val="center"/>
              <w:rPr>
                <w:rFonts w:ascii="黑体" w:hAnsi="黑体" w:eastAsia="黑体" w:cs="仿宋_GB2312"/>
                <w:color w:val="000000"/>
                <w:kern w:val="0"/>
                <w:sz w:val="24"/>
              </w:rPr>
            </w:pPr>
            <w:r>
              <w:rPr>
                <w:rFonts w:hint="eastAsia" w:ascii="黑体" w:hAnsi="黑体" w:eastAsia="黑体" w:cs="仿宋_GB2312"/>
                <w:color w:val="000000"/>
                <w:kern w:val="0"/>
                <w:sz w:val="24"/>
              </w:rPr>
              <w:t>序号</w:t>
            </w:r>
          </w:p>
        </w:tc>
        <w:tc>
          <w:tcPr>
            <w:tcW w:w="2437" w:type="dxa"/>
            <w:vAlign w:val="center"/>
          </w:tcPr>
          <w:p w14:paraId="7B5B9DCB">
            <w:pPr>
              <w:widowControl/>
              <w:adjustRightInd w:val="0"/>
              <w:snapToGrid w:val="0"/>
              <w:jc w:val="center"/>
              <w:rPr>
                <w:rFonts w:ascii="黑体" w:hAnsi="黑体" w:eastAsia="黑体" w:cs="仿宋_GB2312"/>
                <w:color w:val="000000"/>
                <w:kern w:val="0"/>
                <w:sz w:val="24"/>
              </w:rPr>
            </w:pPr>
            <w:r>
              <w:rPr>
                <w:rFonts w:hint="eastAsia" w:ascii="黑体" w:hAnsi="黑体" w:eastAsia="黑体" w:cs="仿宋_GB2312"/>
                <w:color w:val="000000"/>
                <w:kern w:val="0"/>
                <w:sz w:val="24"/>
              </w:rPr>
              <w:t>项目</w:t>
            </w:r>
          </w:p>
        </w:tc>
        <w:tc>
          <w:tcPr>
            <w:tcW w:w="2396" w:type="dxa"/>
            <w:vAlign w:val="center"/>
          </w:tcPr>
          <w:p w14:paraId="522FF24A">
            <w:pPr>
              <w:widowControl/>
              <w:adjustRightInd w:val="0"/>
              <w:snapToGrid w:val="0"/>
              <w:jc w:val="center"/>
              <w:rPr>
                <w:rFonts w:ascii="黑体" w:hAnsi="黑体" w:eastAsia="黑体" w:cs="仿宋_GB2312"/>
                <w:color w:val="000000"/>
                <w:kern w:val="0"/>
                <w:sz w:val="24"/>
              </w:rPr>
            </w:pPr>
            <w:r>
              <w:rPr>
                <w:rFonts w:hint="eastAsia" w:ascii="黑体" w:hAnsi="黑体" w:eastAsia="黑体" w:cs="仿宋_GB2312"/>
                <w:color w:val="000000"/>
                <w:kern w:val="0"/>
                <w:sz w:val="24"/>
              </w:rPr>
              <w:t>计算式</w:t>
            </w:r>
          </w:p>
        </w:tc>
        <w:tc>
          <w:tcPr>
            <w:tcW w:w="3455" w:type="dxa"/>
            <w:vAlign w:val="center"/>
          </w:tcPr>
          <w:p w14:paraId="539A2C3B">
            <w:pPr>
              <w:widowControl/>
              <w:adjustRightInd w:val="0"/>
              <w:snapToGrid w:val="0"/>
              <w:jc w:val="center"/>
              <w:rPr>
                <w:rFonts w:ascii="黑体" w:hAnsi="黑体" w:eastAsia="黑体" w:cs="仿宋_GB2312"/>
                <w:color w:val="000000"/>
                <w:kern w:val="0"/>
                <w:sz w:val="24"/>
              </w:rPr>
            </w:pPr>
            <w:r>
              <w:rPr>
                <w:rFonts w:hint="eastAsia" w:ascii="黑体" w:hAnsi="黑体" w:eastAsia="黑体" w:cs="仿宋_GB2312"/>
                <w:color w:val="000000"/>
                <w:kern w:val="0"/>
                <w:sz w:val="24"/>
              </w:rPr>
              <w:t>备注</w:t>
            </w:r>
          </w:p>
        </w:tc>
      </w:tr>
      <w:tr w14:paraId="1427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8" w:type="dxa"/>
            <w:vAlign w:val="center"/>
          </w:tcPr>
          <w:p w14:paraId="5F28D52D">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2437" w:type="dxa"/>
            <w:vAlign w:val="center"/>
          </w:tcPr>
          <w:p w14:paraId="7C491D7A">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依据《概算消耗量标准》计取的费用</w:t>
            </w:r>
          </w:p>
        </w:tc>
        <w:tc>
          <w:tcPr>
            <w:tcW w:w="2396" w:type="dxa"/>
            <w:vAlign w:val="center"/>
          </w:tcPr>
          <w:p w14:paraId="44177E3A">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按本规定第二条（一）项计算的“人工费+材料费+施工机具使用费”</w:t>
            </w:r>
          </w:p>
        </w:tc>
        <w:tc>
          <w:tcPr>
            <w:tcW w:w="3455" w:type="dxa"/>
            <w:vAlign w:val="center"/>
          </w:tcPr>
          <w:p w14:paraId="6E4A2B00">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材料费包括工程设备费</w:t>
            </w:r>
          </w:p>
        </w:tc>
      </w:tr>
      <w:tr w14:paraId="202B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vAlign w:val="center"/>
          </w:tcPr>
          <w:p w14:paraId="7799C997">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2437" w:type="dxa"/>
            <w:vAlign w:val="center"/>
          </w:tcPr>
          <w:p w14:paraId="6A635FDC">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其中：人工费</w:t>
            </w:r>
          </w:p>
        </w:tc>
        <w:tc>
          <w:tcPr>
            <w:tcW w:w="2396" w:type="dxa"/>
            <w:vAlign w:val="center"/>
          </w:tcPr>
          <w:p w14:paraId="7A0B7D2F">
            <w:pPr>
              <w:widowControl/>
              <w:adjustRightInd w:val="0"/>
              <w:snapToGrid w:val="0"/>
              <w:jc w:val="center"/>
              <w:rPr>
                <w:rFonts w:ascii="仿宋_GB2312" w:hAnsi="仿宋_GB2312" w:eastAsia="仿宋_GB2312" w:cs="仿宋_GB2312"/>
                <w:color w:val="000000"/>
                <w:szCs w:val="21"/>
              </w:rPr>
            </w:pPr>
          </w:p>
        </w:tc>
        <w:tc>
          <w:tcPr>
            <w:tcW w:w="3455" w:type="dxa"/>
            <w:vAlign w:val="center"/>
          </w:tcPr>
          <w:p w14:paraId="10221E6C">
            <w:pPr>
              <w:widowControl/>
              <w:adjustRightInd w:val="0"/>
              <w:snapToGrid w:val="0"/>
              <w:jc w:val="center"/>
              <w:rPr>
                <w:rFonts w:ascii="仿宋_GB2312" w:hAnsi="仿宋_GB2312" w:eastAsia="仿宋_GB2312" w:cs="仿宋_GB2312"/>
                <w:color w:val="000000"/>
                <w:szCs w:val="21"/>
              </w:rPr>
            </w:pPr>
          </w:p>
        </w:tc>
      </w:tr>
      <w:tr w14:paraId="5F2E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8" w:type="dxa"/>
            <w:vAlign w:val="center"/>
          </w:tcPr>
          <w:p w14:paraId="46540EF0">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w:t>
            </w:r>
          </w:p>
        </w:tc>
        <w:tc>
          <w:tcPr>
            <w:tcW w:w="2437" w:type="dxa"/>
            <w:vAlign w:val="center"/>
          </w:tcPr>
          <w:p w14:paraId="2EA82A5B">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其中：施工机具使用费</w:t>
            </w:r>
          </w:p>
        </w:tc>
        <w:tc>
          <w:tcPr>
            <w:tcW w:w="2396" w:type="dxa"/>
            <w:vAlign w:val="center"/>
          </w:tcPr>
          <w:p w14:paraId="7903150F">
            <w:pPr>
              <w:widowControl/>
              <w:adjustRightInd w:val="0"/>
              <w:snapToGrid w:val="0"/>
              <w:jc w:val="center"/>
              <w:rPr>
                <w:rFonts w:ascii="仿宋_GB2312" w:hAnsi="仿宋_GB2312" w:eastAsia="仿宋_GB2312" w:cs="仿宋_GB2312"/>
                <w:color w:val="000000"/>
                <w:szCs w:val="21"/>
              </w:rPr>
            </w:pPr>
          </w:p>
        </w:tc>
        <w:tc>
          <w:tcPr>
            <w:tcW w:w="3455" w:type="dxa"/>
            <w:vAlign w:val="center"/>
          </w:tcPr>
          <w:p w14:paraId="43BDFDCA">
            <w:pPr>
              <w:widowControl/>
              <w:adjustRightInd w:val="0"/>
              <w:snapToGrid w:val="0"/>
              <w:jc w:val="center"/>
              <w:rPr>
                <w:rFonts w:ascii="仿宋_GB2312" w:hAnsi="仿宋_GB2312" w:eastAsia="仿宋_GB2312" w:cs="仿宋_GB2312"/>
                <w:color w:val="000000"/>
                <w:szCs w:val="21"/>
              </w:rPr>
            </w:pPr>
          </w:p>
        </w:tc>
      </w:tr>
      <w:tr w14:paraId="73DC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79815F38">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2437" w:type="dxa"/>
            <w:vAlign w:val="center"/>
          </w:tcPr>
          <w:p w14:paraId="0188F6B2">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其中：工程设备费</w:t>
            </w:r>
          </w:p>
        </w:tc>
        <w:tc>
          <w:tcPr>
            <w:tcW w:w="2396" w:type="dxa"/>
            <w:vAlign w:val="center"/>
          </w:tcPr>
          <w:p w14:paraId="782242AF">
            <w:pPr>
              <w:widowControl/>
              <w:adjustRightInd w:val="0"/>
              <w:snapToGrid w:val="0"/>
              <w:jc w:val="center"/>
              <w:rPr>
                <w:rFonts w:ascii="仿宋_GB2312" w:hAnsi="仿宋_GB2312" w:eastAsia="仿宋_GB2312" w:cs="仿宋_GB2312"/>
                <w:color w:val="000000"/>
                <w:szCs w:val="21"/>
              </w:rPr>
            </w:pPr>
          </w:p>
        </w:tc>
        <w:tc>
          <w:tcPr>
            <w:tcW w:w="3455" w:type="dxa"/>
            <w:vAlign w:val="center"/>
          </w:tcPr>
          <w:p w14:paraId="06FCB2F9">
            <w:pPr>
              <w:widowControl/>
              <w:adjustRightInd w:val="0"/>
              <w:snapToGrid w:val="0"/>
              <w:jc w:val="center"/>
              <w:rPr>
                <w:rFonts w:ascii="仿宋_GB2312" w:hAnsi="仿宋_GB2312" w:eastAsia="仿宋_GB2312" w:cs="仿宋_GB2312"/>
                <w:color w:val="000000"/>
                <w:szCs w:val="21"/>
              </w:rPr>
            </w:pPr>
          </w:p>
        </w:tc>
      </w:tr>
      <w:tr w14:paraId="5632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8" w:type="dxa"/>
            <w:vAlign w:val="center"/>
          </w:tcPr>
          <w:p w14:paraId="5080FB6B">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2437" w:type="dxa"/>
            <w:vAlign w:val="center"/>
          </w:tcPr>
          <w:p w14:paraId="79AED1A9">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安全生产标准化措施费</w:t>
            </w:r>
          </w:p>
        </w:tc>
        <w:tc>
          <w:tcPr>
            <w:tcW w:w="2396" w:type="dxa"/>
            <w:vAlign w:val="center"/>
          </w:tcPr>
          <w:p w14:paraId="48231636">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按本规定，合理确定</w:t>
            </w:r>
          </w:p>
        </w:tc>
        <w:tc>
          <w:tcPr>
            <w:tcW w:w="3455" w:type="dxa"/>
            <w:vAlign w:val="center"/>
          </w:tcPr>
          <w:p w14:paraId="4B4EE314">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应不低于按对应项目“绿色（一般计税方式）”费用标准计算的费用。</w:t>
            </w:r>
          </w:p>
        </w:tc>
      </w:tr>
      <w:tr w14:paraId="7471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8" w:type="dxa"/>
            <w:vAlign w:val="center"/>
          </w:tcPr>
          <w:p w14:paraId="24CD1149">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2437" w:type="dxa"/>
            <w:vAlign w:val="center"/>
          </w:tcPr>
          <w:p w14:paraId="21DE1C56">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施工垃圾场外运输和消纳费</w:t>
            </w:r>
          </w:p>
        </w:tc>
        <w:tc>
          <w:tcPr>
            <w:tcW w:w="2396" w:type="dxa"/>
            <w:vAlign w:val="center"/>
          </w:tcPr>
          <w:p w14:paraId="0A8C007D">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（1.1+1.2）×相关文件的费用标准</w:t>
            </w:r>
          </w:p>
        </w:tc>
        <w:tc>
          <w:tcPr>
            <w:tcW w:w="3455" w:type="dxa"/>
            <w:vAlign w:val="center"/>
          </w:tcPr>
          <w:p w14:paraId="5A2D77C0">
            <w:pPr>
              <w:widowControl/>
              <w:adjustRightInd w:val="0"/>
              <w:snapToGrid w:val="0"/>
              <w:jc w:val="center"/>
              <w:rPr>
                <w:rFonts w:ascii="仿宋_GB2312" w:hAnsi="仿宋_GB2312" w:eastAsia="仿宋_GB2312" w:cs="仿宋_GB2312"/>
                <w:color w:val="000000"/>
                <w:szCs w:val="21"/>
              </w:rPr>
            </w:pPr>
          </w:p>
        </w:tc>
      </w:tr>
      <w:tr w14:paraId="3CC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48" w:type="dxa"/>
            <w:vAlign w:val="center"/>
          </w:tcPr>
          <w:p w14:paraId="4848FA33">
            <w:pPr>
              <w:widowControl/>
              <w:adjustRightInd w:val="0"/>
              <w:snapToGrid w:val="0"/>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2437" w:type="dxa"/>
            <w:vAlign w:val="center"/>
          </w:tcPr>
          <w:p w14:paraId="3D1CEBA7">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不可精确计量措施项目费</w:t>
            </w:r>
          </w:p>
        </w:tc>
        <w:tc>
          <w:tcPr>
            <w:tcW w:w="2396" w:type="dxa"/>
            <w:vAlign w:val="center"/>
          </w:tcPr>
          <w:p w14:paraId="06693F4F">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按本规定，合理确定</w:t>
            </w:r>
          </w:p>
        </w:tc>
        <w:tc>
          <w:tcPr>
            <w:tcW w:w="3455" w:type="dxa"/>
            <w:vAlign w:val="center"/>
          </w:tcPr>
          <w:p w14:paraId="313E8AB9">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应不低于按初步设计概算编制期的《北京工程造价信息（建设工程）》中相应费用指标（一般计税）的中间值计算的费用，不含现场管理费</w:t>
            </w:r>
          </w:p>
        </w:tc>
      </w:tr>
      <w:tr w14:paraId="4719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8" w:type="dxa"/>
            <w:vAlign w:val="center"/>
          </w:tcPr>
          <w:p w14:paraId="4E40F927">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2437" w:type="dxa"/>
            <w:vAlign w:val="center"/>
          </w:tcPr>
          <w:p w14:paraId="46218433">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零星工程费</w:t>
            </w:r>
          </w:p>
        </w:tc>
        <w:tc>
          <w:tcPr>
            <w:tcW w:w="2396" w:type="dxa"/>
            <w:vAlign w:val="center"/>
          </w:tcPr>
          <w:p w14:paraId="5AB21F2B">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（1+2+3+4）×系数</w:t>
            </w:r>
          </w:p>
        </w:tc>
        <w:tc>
          <w:tcPr>
            <w:tcW w:w="3455" w:type="dxa"/>
            <w:vAlign w:val="center"/>
          </w:tcPr>
          <w:p w14:paraId="66B927CB">
            <w:pPr>
              <w:widowControl/>
              <w:adjustRightInd w:val="0"/>
              <w:snapToGrid w:val="0"/>
              <w:jc w:val="center"/>
              <w:rPr>
                <w:rFonts w:ascii="仿宋_GB2312" w:hAnsi="仿宋_GB2312" w:eastAsia="仿宋_GB2312" w:cs="仿宋_GB2312"/>
                <w:color w:val="000000"/>
                <w:szCs w:val="21"/>
              </w:rPr>
            </w:pPr>
          </w:p>
        </w:tc>
      </w:tr>
      <w:tr w14:paraId="7961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8" w:type="dxa"/>
            <w:vAlign w:val="center"/>
          </w:tcPr>
          <w:p w14:paraId="70CE0EE8">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p>
        </w:tc>
        <w:tc>
          <w:tcPr>
            <w:tcW w:w="2437" w:type="dxa"/>
            <w:vAlign w:val="center"/>
          </w:tcPr>
          <w:p w14:paraId="6AEA6443">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现场管理费</w:t>
            </w:r>
          </w:p>
        </w:tc>
        <w:tc>
          <w:tcPr>
            <w:tcW w:w="2396" w:type="dxa"/>
            <w:vMerge w:val="restart"/>
            <w:vAlign w:val="center"/>
          </w:tcPr>
          <w:p w14:paraId="0D1C5088">
            <w:pPr>
              <w:widowControl/>
              <w:adjustRightInd w:val="0"/>
              <w:snapToGrid w:val="0"/>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按本规定，合理确定</w:t>
            </w:r>
          </w:p>
        </w:tc>
        <w:tc>
          <w:tcPr>
            <w:tcW w:w="3455" w:type="dxa"/>
            <w:vAlign w:val="center"/>
          </w:tcPr>
          <w:p w14:paraId="08FEE18E">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应不低于按（1-1.3+2+3+4+5）×相应费用指标的中间值计算的费用</w:t>
            </w:r>
          </w:p>
        </w:tc>
      </w:tr>
      <w:tr w14:paraId="671B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48" w:type="dxa"/>
            <w:vAlign w:val="center"/>
          </w:tcPr>
          <w:p w14:paraId="621BE287">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2437" w:type="dxa"/>
            <w:vAlign w:val="center"/>
          </w:tcPr>
          <w:p w14:paraId="22F165E6">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企业管理费</w:t>
            </w:r>
          </w:p>
        </w:tc>
        <w:tc>
          <w:tcPr>
            <w:tcW w:w="2396" w:type="dxa"/>
            <w:vMerge w:val="continue"/>
            <w:vAlign w:val="center"/>
          </w:tcPr>
          <w:p w14:paraId="5CE264E2">
            <w:pPr>
              <w:widowControl/>
              <w:adjustRightInd w:val="0"/>
              <w:snapToGrid w:val="0"/>
              <w:jc w:val="center"/>
              <w:rPr>
                <w:rFonts w:ascii="仿宋_GB2312" w:hAnsi="仿宋_GB2312" w:eastAsia="仿宋_GB2312" w:cs="仿宋_GB2312"/>
                <w:color w:val="000000"/>
                <w:szCs w:val="21"/>
              </w:rPr>
            </w:pPr>
          </w:p>
        </w:tc>
        <w:tc>
          <w:tcPr>
            <w:tcW w:w="3455" w:type="dxa"/>
            <w:vAlign w:val="center"/>
          </w:tcPr>
          <w:p w14:paraId="0F87D9EF">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应不低于按（1-1.3+2+3+4+5+6）×相应费用指标中间值计算的费用</w:t>
            </w:r>
          </w:p>
        </w:tc>
      </w:tr>
      <w:tr w14:paraId="1A28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8" w:type="dxa"/>
            <w:vAlign w:val="center"/>
          </w:tcPr>
          <w:p w14:paraId="4C532BDF">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w:t>
            </w:r>
          </w:p>
        </w:tc>
        <w:tc>
          <w:tcPr>
            <w:tcW w:w="2437" w:type="dxa"/>
            <w:vAlign w:val="center"/>
          </w:tcPr>
          <w:p w14:paraId="44C58003">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利润</w:t>
            </w:r>
          </w:p>
        </w:tc>
        <w:tc>
          <w:tcPr>
            <w:tcW w:w="2396" w:type="dxa"/>
            <w:vMerge w:val="continue"/>
            <w:vAlign w:val="center"/>
          </w:tcPr>
          <w:p w14:paraId="3373F74B">
            <w:pPr>
              <w:widowControl/>
              <w:adjustRightInd w:val="0"/>
              <w:snapToGrid w:val="0"/>
              <w:jc w:val="center"/>
              <w:rPr>
                <w:rFonts w:ascii="仿宋_GB2312" w:hAnsi="仿宋_GB2312" w:eastAsia="仿宋_GB2312" w:cs="仿宋_GB2312"/>
                <w:color w:val="000000"/>
                <w:kern w:val="0"/>
                <w:szCs w:val="21"/>
              </w:rPr>
            </w:pPr>
          </w:p>
        </w:tc>
        <w:tc>
          <w:tcPr>
            <w:tcW w:w="3455" w:type="dxa"/>
            <w:vAlign w:val="center"/>
          </w:tcPr>
          <w:p w14:paraId="1DD9F095">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应不低于按（1-1.3+2+3+4+5+6+7）×相应费用指标中间值计算的利润</w:t>
            </w:r>
          </w:p>
        </w:tc>
      </w:tr>
      <w:tr w14:paraId="057E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8" w:type="dxa"/>
            <w:vAlign w:val="center"/>
          </w:tcPr>
          <w:p w14:paraId="3A52BF49">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w:t>
            </w:r>
          </w:p>
        </w:tc>
        <w:tc>
          <w:tcPr>
            <w:tcW w:w="2437" w:type="dxa"/>
            <w:vAlign w:val="center"/>
          </w:tcPr>
          <w:p w14:paraId="6E3D6DFB">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增值税</w:t>
            </w:r>
          </w:p>
        </w:tc>
        <w:tc>
          <w:tcPr>
            <w:tcW w:w="2396" w:type="dxa"/>
            <w:vAlign w:val="center"/>
          </w:tcPr>
          <w:p w14:paraId="7FD69559">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（1+2+3+4+5+6+7+8）×税率</w:t>
            </w:r>
          </w:p>
        </w:tc>
        <w:tc>
          <w:tcPr>
            <w:tcW w:w="3455" w:type="dxa"/>
            <w:vAlign w:val="center"/>
          </w:tcPr>
          <w:p w14:paraId="4B47D058">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一般计税方式的增值税税率</w:t>
            </w:r>
          </w:p>
        </w:tc>
      </w:tr>
      <w:tr w14:paraId="54E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8" w:type="dxa"/>
            <w:vAlign w:val="center"/>
          </w:tcPr>
          <w:p w14:paraId="6AF196BB">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2437" w:type="dxa"/>
            <w:vAlign w:val="center"/>
          </w:tcPr>
          <w:p w14:paraId="3D703CE3">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工程造价</w:t>
            </w:r>
          </w:p>
        </w:tc>
        <w:tc>
          <w:tcPr>
            <w:tcW w:w="2396" w:type="dxa"/>
            <w:vAlign w:val="center"/>
          </w:tcPr>
          <w:p w14:paraId="6C39073D">
            <w:pPr>
              <w:widowControl/>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1+2+3+4+5+6+7+8+9</w:t>
            </w:r>
          </w:p>
        </w:tc>
        <w:tc>
          <w:tcPr>
            <w:tcW w:w="3455" w:type="dxa"/>
            <w:vAlign w:val="center"/>
          </w:tcPr>
          <w:p w14:paraId="7EF4F85E">
            <w:pPr>
              <w:widowControl/>
              <w:adjustRightInd w:val="0"/>
              <w:snapToGrid w:val="0"/>
              <w:jc w:val="center"/>
              <w:rPr>
                <w:rFonts w:ascii="仿宋_GB2312" w:hAnsi="仿宋_GB2312" w:eastAsia="仿宋_GB2312" w:cs="仿宋_GB2312"/>
                <w:color w:val="000000"/>
                <w:szCs w:val="21"/>
              </w:rPr>
            </w:pPr>
          </w:p>
        </w:tc>
      </w:tr>
    </w:tbl>
    <w:p w14:paraId="6A215224">
      <w:pPr>
        <w:pStyle w:val="12"/>
        <w:adjustRightInd w:val="0"/>
        <w:snapToGrid w:val="0"/>
        <w:spacing w:before="0" w:beforeAutospacing="0" w:after="0" w:afterAutospacing="0" w:line="560" w:lineRule="exact"/>
        <w:rPr>
          <w:rFonts w:ascii="仿宋_GB2312" w:hAnsi="仿宋_GB2312" w:eastAsia="仿宋_GB2312" w:cs="仿宋_GB2312"/>
          <w:color w:val="404040"/>
          <w:sz w:val="32"/>
          <w:szCs w:val="32"/>
          <w:shd w:val="clear" w:color="auto" w:fill="FFFFFF"/>
        </w:rPr>
      </w:pPr>
    </w:p>
    <w:p w14:paraId="1D45E4DA">
      <w:pPr>
        <w:tabs>
          <w:tab w:val="left" w:pos="7920"/>
          <w:tab w:val="left" w:pos="8100"/>
          <w:tab w:val="left" w:pos="8280"/>
        </w:tabs>
        <w:spacing w:line="500" w:lineRule="exact"/>
        <w:ind w:firstLine="280" w:firstLineChars="100"/>
        <w:rPr>
          <w:rFonts w:ascii="仿宋_GB2312" w:eastAsia="仿宋_GB2312"/>
          <w:kern w:val="32"/>
          <w:sz w:val="28"/>
          <w:szCs w:val="28"/>
        </w:rPr>
      </w:pPr>
      <w:bookmarkStart w:id="0" w:name="_GoBack"/>
      <w:bookmarkEnd w:id="0"/>
    </w:p>
    <w:sectPr>
      <w:footerReference r:id="rId3" w:type="default"/>
      <w:footerReference r:id="rId4" w:type="even"/>
      <w:pgSz w:w="11906" w:h="16838"/>
      <w:pgMar w:top="1701" w:right="1474" w:bottom="1701"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6D71">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91B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2763"/>
    <w:rsid w:val="0007441B"/>
    <w:rsid w:val="00077581"/>
    <w:rsid w:val="00077B89"/>
    <w:rsid w:val="00090270"/>
    <w:rsid w:val="000A1675"/>
    <w:rsid w:val="000B19B4"/>
    <w:rsid w:val="000B25D9"/>
    <w:rsid w:val="000E1BD7"/>
    <w:rsid w:val="000F3449"/>
    <w:rsid w:val="0016266E"/>
    <w:rsid w:val="00172CE4"/>
    <w:rsid w:val="00172D94"/>
    <w:rsid w:val="001B7849"/>
    <w:rsid w:val="001B7AD9"/>
    <w:rsid w:val="001C77B7"/>
    <w:rsid w:val="0025176D"/>
    <w:rsid w:val="00286978"/>
    <w:rsid w:val="002A0860"/>
    <w:rsid w:val="002C095A"/>
    <w:rsid w:val="002C1AFB"/>
    <w:rsid w:val="002D0672"/>
    <w:rsid w:val="002E082D"/>
    <w:rsid w:val="002E619B"/>
    <w:rsid w:val="002F6DF0"/>
    <w:rsid w:val="00300679"/>
    <w:rsid w:val="00304F79"/>
    <w:rsid w:val="003229F6"/>
    <w:rsid w:val="00327E54"/>
    <w:rsid w:val="00333AD9"/>
    <w:rsid w:val="0033483C"/>
    <w:rsid w:val="003403DA"/>
    <w:rsid w:val="00352EE9"/>
    <w:rsid w:val="003677AB"/>
    <w:rsid w:val="0038415A"/>
    <w:rsid w:val="003B45B2"/>
    <w:rsid w:val="003D5A98"/>
    <w:rsid w:val="004047D8"/>
    <w:rsid w:val="004179D5"/>
    <w:rsid w:val="004259FF"/>
    <w:rsid w:val="0044744C"/>
    <w:rsid w:val="00447677"/>
    <w:rsid w:val="00492736"/>
    <w:rsid w:val="0049627F"/>
    <w:rsid w:val="004A3D47"/>
    <w:rsid w:val="004B3426"/>
    <w:rsid w:val="004C7FC3"/>
    <w:rsid w:val="004D5CF3"/>
    <w:rsid w:val="004E3786"/>
    <w:rsid w:val="004F1EF3"/>
    <w:rsid w:val="0051412A"/>
    <w:rsid w:val="005300ED"/>
    <w:rsid w:val="00540E6B"/>
    <w:rsid w:val="00545CF3"/>
    <w:rsid w:val="005A27FC"/>
    <w:rsid w:val="005D04B9"/>
    <w:rsid w:val="005D2824"/>
    <w:rsid w:val="005F086B"/>
    <w:rsid w:val="005F2108"/>
    <w:rsid w:val="00605B57"/>
    <w:rsid w:val="00616B00"/>
    <w:rsid w:val="00624203"/>
    <w:rsid w:val="00626CCA"/>
    <w:rsid w:val="006309FF"/>
    <w:rsid w:val="006328EC"/>
    <w:rsid w:val="00635158"/>
    <w:rsid w:val="00654519"/>
    <w:rsid w:val="006611AB"/>
    <w:rsid w:val="006A7979"/>
    <w:rsid w:val="006B2F19"/>
    <w:rsid w:val="006B577C"/>
    <w:rsid w:val="006E00A7"/>
    <w:rsid w:val="00702173"/>
    <w:rsid w:val="00705580"/>
    <w:rsid w:val="0071529B"/>
    <w:rsid w:val="00727DF9"/>
    <w:rsid w:val="00762902"/>
    <w:rsid w:val="00791E50"/>
    <w:rsid w:val="007A6D21"/>
    <w:rsid w:val="007A7D90"/>
    <w:rsid w:val="007D0CEC"/>
    <w:rsid w:val="007F3D12"/>
    <w:rsid w:val="00803706"/>
    <w:rsid w:val="0082607D"/>
    <w:rsid w:val="008603CF"/>
    <w:rsid w:val="008A0020"/>
    <w:rsid w:val="008B5F2E"/>
    <w:rsid w:val="008F1850"/>
    <w:rsid w:val="00901BD0"/>
    <w:rsid w:val="00927A5B"/>
    <w:rsid w:val="00950805"/>
    <w:rsid w:val="0095543E"/>
    <w:rsid w:val="009566C7"/>
    <w:rsid w:val="00963E2F"/>
    <w:rsid w:val="00974237"/>
    <w:rsid w:val="00977A61"/>
    <w:rsid w:val="00982C96"/>
    <w:rsid w:val="009B7501"/>
    <w:rsid w:val="009D08FF"/>
    <w:rsid w:val="009F0241"/>
    <w:rsid w:val="00A03017"/>
    <w:rsid w:val="00A14CC3"/>
    <w:rsid w:val="00A46CFD"/>
    <w:rsid w:val="00A4765C"/>
    <w:rsid w:val="00A64073"/>
    <w:rsid w:val="00AA66C1"/>
    <w:rsid w:val="00AB0E20"/>
    <w:rsid w:val="00AD5848"/>
    <w:rsid w:val="00B05CDD"/>
    <w:rsid w:val="00B120FB"/>
    <w:rsid w:val="00B21EEF"/>
    <w:rsid w:val="00B72611"/>
    <w:rsid w:val="00B82CB2"/>
    <w:rsid w:val="00B94D52"/>
    <w:rsid w:val="00BA79E3"/>
    <w:rsid w:val="00BB6BA0"/>
    <w:rsid w:val="00BB6C4E"/>
    <w:rsid w:val="00BB745B"/>
    <w:rsid w:val="00BD12DB"/>
    <w:rsid w:val="00BD78AF"/>
    <w:rsid w:val="00C305FF"/>
    <w:rsid w:val="00C307E0"/>
    <w:rsid w:val="00C43AD6"/>
    <w:rsid w:val="00C5518F"/>
    <w:rsid w:val="00C71A3E"/>
    <w:rsid w:val="00C728E5"/>
    <w:rsid w:val="00C777C3"/>
    <w:rsid w:val="00C9285D"/>
    <w:rsid w:val="00CA4F69"/>
    <w:rsid w:val="00CE1F76"/>
    <w:rsid w:val="00D06F54"/>
    <w:rsid w:val="00D147CE"/>
    <w:rsid w:val="00D14E9C"/>
    <w:rsid w:val="00D30F4A"/>
    <w:rsid w:val="00D4169E"/>
    <w:rsid w:val="00D57679"/>
    <w:rsid w:val="00DE4DE7"/>
    <w:rsid w:val="00DE5B6F"/>
    <w:rsid w:val="00DF44B0"/>
    <w:rsid w:val="00DF595B"/>
    <w:rsid w:val="00E11AA4"/>
    <w:rsid w:val="00E159C4"/>
    <w:rsid w:val="00E205A9"/>
    <w:rsid w:val="00E54075"/>
    <w:rsid w:val="00E655A9"/>
    <w:rsid w:val="00E81BC1"/>
    <w:rsid w:val="00E82B1B"/>
    <w:rsid w:val="00E87368"/>
    <w:rsid w:val="00EA4315"/>
    <w:rsid w:val="00F078C1"/>
    <w:rsid w:val="00F1232A"/>
    <w:rsid w:val="00F128BA"/>
    <w:rsid w:val="00F24319"/>
    <w:rsid w:val="00F26454"/>
    <w:rsid w:val="00F6200F"/>
    <w:rsid w:val="00F72D2D"/>
    <w:rsid w:val="00FF2142"/>
    <w:rsid w:val="12FBA7DB"/>
    <w:rsid w:val="3D7F46F3"/>
    <w:rsid w:val="7E7B6F74"/>
    <w:rsid w:val="7F244840"/>
    <w:rsid w:val="B8B7D5E0"/>
    <w:rsid w:val="FEE7B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 w:type="character" w:customStyle="1" w:styleId="27">
    <w:name w:val="页脚 Char"/>
    <w:link w:val="8"/>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SZAQ</Company>
  <Pages>5</Pages>
  <Words>1435</Words>
  <Characters>1436</Characters>
  <Lines>57</Lines>
  <Paragraphs>16</Paragraphs>
  <TotalTime>17</TotalTime>
  <ScaleCrop>false</ScaleCrop>
  <LinksUpToDate>false</LinksUpToDate>
  <CharactersWithSpaces>2855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2026-04-30T12:16:00Z</dcterms:created>
  <dc:creator>ABD</dc:creator>
  <cp:lastModifiedBy>楊林</cp:lastModifiedBy>
  <cp:lastPrinted>2026-04-30T14:25:00Z</cp:lastPrinted>
  <dcterms:modified xsi:type="dcterms:W3CDTF">2026-04-30T15:18:16Z</dcterms:modified>
  <dc:title>地铁应急抢险大队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46A7F1FC01786DCC3802F36992E28ABC_42</vt:lpwstr>
  </property>
</Properties>
</file>