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Calibri" w:eastAsia="黑体"/>
          <w:kern w:val="0"/>
          <w:sz w:val="32"/>
          <w:szCs w:val="32"/>
        </w:rPr>
      </w:pPr>
      <w:bookmarkStart w:id="0" w:name="RiseOffice_body"/>
    </w:p>
    <w:p>
      <w:pPr>
        <w:adjustRightInd w:val="0"/>
        <w:snapToGrid w:val="0"/>
        <w:spacing w:line="560" w:lineRule="exact"/>
        <w:jc w:val="center"/>
        <w:rPr>
          <w:rFonts w:ascii="方正小标宋简体" w:hAnsi="黑体" w:eastAsia="方正小标宋简体"/>
          <w:spacing w:val="-6"/>
          <w:sz w:val="44"/>
          <w:szCs w:val="44"/>
          <w:highlight w:val="yellow"/>
        </w:rPr>
      </w:pPr>
      <w:r>
        <w:rPr>
          <w:rFonts w:hint="eastAsia" w:ascii="方正小标宋简体" w:hAnsi="黑体" w:eastAsia="方正小标宋简体"/>
          <w:spacing w:val="-6"/>
          <w:sz w:val="44"/>
          <w:szCs w:val="44"/>
        </w:rPr>
        <w:t>北京市装配式建筑、绿色建筑、绿色生态示范区项目市级奖励资金管理暂行办法</w:t>
      </w:r>
    </w:p>
    <w:p>
      <w:pPr>
        <w:adjustRightInd w:val="0"/>
        <w:snapToGrid w:val="0"/>
        <w:spacing w:line="360" w:lineRule="auto"/>
        <w:rPr>
          <w:rFonts w:ascii="仿宋_GB2312" w:eastAsia="仿宋_GB2312"/>
          <w:sz w:val="32"/>
          <w:szCs w:val="32"/>
        </w:rPr>
      </w:pPr>
    </w:p>
    <w:p>
      <w:pPr>
        <w:numPr>
          <w:ilvl w:val="0"/>
          <w:numId w:val="1"/>
        </w:numPr>
        <w:adjustRightInd w:val="0"/>
        <w:snapToGrid w:val="0"/>
        <w:spacing w:line="560" w:lineRule="exact"/>
        <w:jc w:val="center"/>
        <w:rPr>
          <w:rFonts w:hint="eastAsia" w:ascii="黑体" w:eastAsia="黑体"/>
          <w:sz w:val="32"/>
          <w:szCs w:val="32"/>
        </w:rPr>
      </w:pPr>
      <w:r>
        <w:rPr>
          <w:rFonts w:hint="eastAsia" w:ascii="黑体" w:eastAsia="黑体"/>
          <w:sz w:val="32"/>
          <w:szCs w:val="32"/>
        </w:rPr>
        <w:t>总则</w:t>
      </w:r>
    </w:p>
    <w:p>
      <w:pPr>
        <w:adjustRightInd w:val="0"/>
        <w:snapToGrid w:val="0"/>
        <w:spacing w:line="560" w:lineRule="exact"/>
        <w:rPr>
          <w:rFonts w:ascii="黑体" w:eastAsia="黑体"/>
          <w:sz w:val="32"/>
          <w:szCs w:val="32"/>
        </w:rPr>
      </w:pPr>
    </w:p>
    <w:p>
      <w:pPr>
        <w:widowControl/>
        <w:tabs>
          <w:tab w:val="left" w:pos="7513"/>
        </w:tabs>
        <w:adjustRightInd w:val="0"/>
        <w:snapToGrid w:val="0"/>
        <w:spacing w:line="560" w:lineRule="exact"/>
        <w:ind w:firstLine="640" w:firstLineChars="200"/>
        <w:rPr>
          <w:rFonts w:ascii="仿宋_GB2312" w:eastAsia="仿宋_GB2312"/>
          <w:sz w:val="32"/>
          <w:szCs w:val="32"/>
        </w:rPr>
      </w:pPr>
      <w:r>
        <w:rPr>
          <w:rFonts w:hint="eastAsia" w:ascii="黑体" w:hAnsi="黑体" w:eastAsia="黑体"/>
          <w:b w:val="0"/>
          <w:bCs w:val="0"/>
          <w:sz w:val="32"/>
          <w:szCs w:val="32"/>
          <w:lang w:eastAsia="zh-CN"/>
        </w:rPr>
        <w:t>（</w:t>
      </w:r>
      <w:r>
        <w:rPr>
          <w:rFonts w:hint="eastAsia" w:ascii="黑体" w:hAnsi="黑体" w:eastAsia="黑体"/>
          <w:b w:val="0"/>
          <w:bCs w:val="0"/>
          <w:sz w:val="32"/>
          <w:szCs w:val="32"/>
          <w:lang w:val="en-US" w:eastAsia="zh-CN"/>
        </w:rPr>
        <w:t>失效）</w:t>
      </w:r>
      <w:r>
        <w:rPr>
          <w:rFonts w:hint="eastAsia" w:ascii="黑体" w:hAnsi="黑体" w:eastAsia="黑体"/>
          <w:sz w:val="32"/>
          <w:szCs w:val="32"/>
        </w:rPr>
        <w:t>第一条</w:t>
      </w:r>
      <w:r>
        <w:rPr>
          <w:rFonts w:hint="eastAsia" w:ascii="仿宋_GB2312" w:eastAsia="仿宋_GB2312"/>
          <w:sz w:val="32"/>
          <w:szCs w:val="32"/>
        </w:rPr>
        <w:t xml:space="preserve"> 为促进我市装配式建筑高</w:t>
      </w:r>
      <w:r>
        <w:rPr>
          <w:rFonts w:ascii="仿宋_GB2312" w:eastAsia="仿宋_GB2312"/>
          <w:sz w:val="32"/>
          <w:szCs w:val="32"/>
        </w:rPr>
        <w:t>质量</w:t>
      </w:r>
      <w:r>
        <w:rPr>
          <w:rFonts w:hint="eastAsia" w:ascii="仿宋_GB2312" w:eastAsia="仿宋_GB2312"/>
          <w:sz w:val="32"/>
          <w:szCs w:val="32"/>
        </w:rPr>
        <w:t>发展，推动绿色建筑和绿色生态示范区建设，规范装配式建筑、绿色建筑、绿色生态示范区项目市级奖励资金管理,根据《中华人民共和国预算法》、《北京市民用建筑节能管理办法》（北京市人民政府令第256号）、《北京市人民政府办公厅关于印发发展绿色建筑推动生态城市建设实施方案的通知》（京政办发〔2013〕25号）、《北京市人民政府办公厅关于加快发展装配式建筑的实施意见》（京政办发〔2017〕8号）等有关规定，结合我市实际情况，制定本办法。</w:t>
      </w:r>
    </w:p>
    <w:p>
      <w:pPr>
        <w:widowControl/>
        <w:adjustRightInd w:val="0"/>
        <w:snapToGrid w:val="0"/>
        <w:spacing w:line="560" w:lineRule="exact"/>
        <w:ind w:firstLine="640" w:firstLineChars="200"/>
        <w:rPr>
          <w:rFonts w:ascii="仿宋_GB2312" w:eastAsia="仿宋_GB2312"/>
          <w:color w:val="000000"/>
          <w:sz w:val="32"/>
          <w:szCs w:val="32"/>
        </w:rPr>
      </w:pPr>
      <w:r>
        <w:rPr>
          <w:rFonts w:hint="eastAsia" w:ascii="黑体" w:hAnsi="黑体" w:eastAsia="黑体"/>
          <w:b w:val="0"/>
          <w:bCs w:val="0"/>
          <w:sz w:val="32"/>
          <w:szCs w:val="32"/>
          <w:lang w:eastAsia="zh-CN"/>
        </w:rPr>
        <w:t>（</w:t>
      </w:r>
      <w:r>
        <w:rPr>
          <w:rFonts w:hint="eastAsia" w:ascii="黑体" w:hAnsi="黑体" w:eastAsia="黑体"/>
          <w:b w:val="0"/>
          <w:bCs w:val="0"/>
          <w:sz w:val="32"/>
          <w:szCs w:val="32"/>
          <w:lang w:val="en-US" w:eastAsia="zh-CN"/>
        </w:rPr>
        <w:t>失效）</w:t>
      </w:r>
      <w:r>
        <w:rPr>
          <w:rFonts w:hint="eastAsia" w:ascii="黑体" w:hAnsi="黑体" w:eastAsia="黑体"/>
          <w:color w:val="000000"/>
          <w:sz w:val="32"/>
          <w:szCs w:val="32"/>
        </w:rPr>
        <w:t>第二条</w:t>
      </w:r>
      <w:r>
        <w:rPr>
          <w:rFonts w:hint="eastAsia" w:ascii="仿宋_GB2312" w:eastAsia="仿宋_GB2312"/>
          <w:color w:val="000000"/>
          <w:sz w:val="32"/>
          <w:szCs w:val="32"/>
        </w:rPr>
        <w:t xml:space="preserve"> 本办法所称装配式</w:t>
      </w:r>
      <w:r>
        <w:rPr>
          <w:rFonts w:ascii="仿宋_GB2312" w:eastAsia="仿宋_GB2312"/>
          <w:color w:val="000000"/>
          <w:sz w:val="32"/>
          <w:szCs w:val="32"/>
        </w:rPr>
        <w:t>建筑</w:t>
      </w:r>
      <w:r>
        <w:rPr>
          <w:rFonts w:hint="eastAsia" w:ascii="仿宋_GB2312" w:eastAsia="仿宋_GB2312"/>
          <w:color w:val="000000"/>
          <w:sz w:val="32"/>
          <w:szCs w:val="32"/>
        </w:rPr>
        <w:t>、</w:t>
      </w:r>
      <w:r>
        <w:rPr>
          <w:rFonts w:ascii="仿宋_GB2312" w:eastAsia="仿宋_GB2312"/>
          <w:color w:val="000000"/>
          <w:sz w:val="32"/>
          <w:szCs w:val="32"/>
        </w:rPr>
        <w:t>绿色</w:t>
      </w:r>
      <w:r>
        <w:rPr>
          <w:rFonts w:hint="eastAsia" w:ascii="仿宋_GB2312" w:eastAsia="仿宋_GB2312"/>
          <w:color w:val="000000"/>
          <w:sz w:val="32"/>
          <w:szCs w:val="32"/>
        </w:rPr>
        <w:t>建筑和绿色生态示范区市级奖励资金（以下简称奖励资金），是指每年从市财政</w:t>
      </w:r>
      <w:r>
        <w:rPr>
          <w:rFonts w:ascii="仿宋_GB2312" w:eastAsia="仿宋_GB2312"/>
          <w:color w:val="000000"/>
          <w:sz w:val="32"/>
          <w:szCs w:val="32"/>
        </w:rPr>
        <w:t>预算</w:t>
      </w:r>
      <w:r>
        <w:rPr>
          <w:rFonts w:hint="eastAsia" w:ascii="仿宋_GB2312" w:eastAsia="仿宋_GB2312"/>
          <w:color w:val="000000"/>
          <w:sz w:val="32"/>
          <w:szCs w:val="32"/>
        </w:rPr>
        <w:t>中</w:t>
      </w:r>
      <w:r>
        <w:rPr>
          <w:rFonts w:ascii="仿宋_GB2312" w:eastAsia="仿宋_GB2312"/>
          <w:color w:val="000000"/>
          <w:sz w:val="32"/>
          <w:szCs w:val="32"/>
        </w:rPr>
        <w:t>安排用于支持我市</w:t>
      </w:r>
      <w:r>
        <w:rPr>
          <w:rFonts w:hint="eastAsia" w:ascii="仿宋_GB2312" w:eastAsia="仿宋_GB2312"/>
          <w:color w:val="000000"/>
          <w:sz w:val="32"/>
          <w:szCs w:val="32"/>
        </w:rPr>
        <w:t>装配式</w:t>
      </w:r>
      <w:r>
        <w:rPr>
          <w:rFonts w:ascii="仿宋_GB2312" w:eastAsia="仿宋_GB2312"/>
          <w:color w:val="000000"/>
          <w:sz w:val="32"/>
          <w:szCs w:val="32"/>
        </w:rPr>
        <w:t>建筑</w:t>
      </w:r>
      <w:r>
        <w:rPr>
          <w:rFonts w:hint="eastAsia" w:ascii="仿宋_GB2312" w:eastAsia="仿宋_GB2312"/>
          <w:color w:val="000000"/>
          <w:sz w:val="32"/>
          <w:szCs w:val="32"/>
        </w:rPr>
        <w:t>、</w:t>
      </w:r>
      <w:r>
        <w:rPr>
          <w:rFonts w:ascii="仿宋_GB2312" w:eastAsia="仿宋_GB2312"/>
          <w:color w:val="000000"/>
          <w:sz w:val="32"/>
          <w:szCs w:val="32"/>
        </w:rPr>
        <w:t>绿色</w:t>
      </w:r>
      <w:r>
        <w:rPr>
          <w:rFonts w:hint="eastAsia" w:ascii="仿宋_GB2312" w:eastAsia="仿宋_GB2312"/>
          <w:color w:val="000000"/>
          <w:sz w:val="32"/>
          <w:szCs w:val="32"/>
        </w:rPr>
        <w:t>建筑和</w:t>
      </w:r>
      <w:r>
        <w:rPr>
          <w:rFonts w:ascii="仿宋_GB2312" w:eastAsia="仿宋_GB2312"/>
          <w:color w:val="000000"/>
          <w:sz w:val="32"/>
          <w:szCs w:val="32"/>
        </w:rPr>
        <w:t>绿色生态示范区</w:t>
      </w:r>
      <w:r>
        <w:rPr>
          <w:rFonts w:hint="eastAsia" w:ascii="仿宋_GB2312" w:eastAsia="仿宋_GB2312"/>
          <w:color w:val="000000"/>
          <w:sz w:val="32"/>
          <w:szCs w:val="32"/>
        </w:rPr>
        <w:t>的</w:t>
      </w:r>
      <w:r>
        <w:rPr>
          <w:rFonts w:ascii="仿宋_GB2312" w:eastAsia="仿宋_GB2312"/>
          <w:color w:val="000000"/>
          <w:sz w:val="32"/>
          <w:szCs w:val="32"/>
        </w:rPr>
        <w:t>奖励</w:t>
      </w:r>
      <w:r>
        <w:rPr>
          <w:rFonts w:hint="eastAsia" w:ascii="仿宋_GB2312" w:eastAsia="仿宋_GB2312"/>
          <w:color w:val="000000"/>
          <w:sz w:val="32"/>
          <w:szCs w:val="32"/>
        </w:rPr>
        <w:t>资金。</w:t>
      </w:r>
    </w:p>
    <w:p>
      <w:pPr>
        <w:widowControl/>
        <w:adjustRightInd w:val="0"/>
        <w:snapToGrid w:val="0"/>
        <w:spacing w:line="560" w:lineRule="exact"/>
        <w:ind w:firstLine="640" w:firstLineChars="200"/>
        <w:rPr>
          <w:rFonts w:ascii="仿宋_GB2312" w:eastAsia="仿宋_GB2312"/>
          <w:color w:val="000000"/>
          <w:sz w:val="32"/>
          <w:szCs w:val="32"/>
        </w:rPr>
      </w:pPr>
      <w:r>
        <w:rPr>
          <w:rFonts w:hint="eastAsia" w:ascii="黑体" w:hAnsi="黑体" w:eastAsia="黑体"/>
          <w:b w:val="0"/>
          <w:bCs w:val="0"/>
          <w:sz w:val="32"/>
          <w:szCs w:val="32"/>
          <w:lang w:eastAsia="zh-CN"/>
        </w:rPr>
        <w:t>（</w:t>
      </w:r>
      <w:r>
        <w:rPr>
          <w:rFonts w:hint="eastAsia" w:ascii="黑体" w:hAnsi="黑体" w:eastAsia="黑体"/>
          <w:b w:val="0"/>
          <w:bCs w:val="0"/>
          <w:sz w:val="32"/>
          <w:szCs w:val="32"/>
          <w:lang w:val="en-US" w:eastAsia="zh-CN"/>
        </w:rPr>
        <w:t>失效）</w:t>
      </w:r>
      <w:r>
        <w:rPr>
          <w:rFonts w:hint="eastAsia" w:ascii="黑体" w:hAnsi="黑体" w:eastAsia="黑体"/>
          <w:color w:val="000000"/>
          <w:sz w:val="32"/>
          <w:szCs w:val="32"/>
        </w:rPr>
        <w:t>第三条</w:t>
      </w:r>
      <w:r>
        <w:rPr>
          <w:rFonts w:hint="eastAsia" w:ascii="仿宋_GB2312" w:eastAsia="仿宋_GB2312"/>
          <w:color w:val="000000"/>
          <w:sz w:val="32"/>
          <w:szCs w:val="32"/>
        </w:rPr>
        <w:t xml:space="preserve"> 奖励资金</w:t>
      </w:r>
      <w:r>
        <w:rPr>
          <w:rFonts w:ascii="仿宋_GB2312" w:eastAsia="仿宋_GB2312"/>
          <w:color w:val="000000"/>
          <w:sz w:val="32"/>
          <w:szCs w:val="32"/>
        </w:rPr>
        <w:t>的</w:t>
      </w:r>
      <w:r>
        <w:rPr>
          <w:rFonts w:hint="eastAsia" w:ascii="仿宋_GB2312" w:eastAsia="仿宋_GB2312"/>
          <w:color w:val="000000"/>
          <w:sz w:val="32"/>
          <w:szCs w:val="32"/>
        </w:rPr>
        <w:t>使用</w:t>
      </w:r>
      <w:r>
        <w:rPr>
          <w:rFonts w:ascii="仿宋_GB2312" w:eastAsia="仿宋_GB2312"/>
          <w:color w:val="000000"/>
          <w:sz w:val="32"/>
          <w:szCs w:val="32"/>
        </w:rPr>
        <w:t>和</w:t>
      </w:r>
      <w:r>
        <w:rPr>
          <w:rFonts w:hint="eastAsia" w:ascii="仿宋_GB2312" w:eastAsia="仿宋_GB2312"/>
          <w:color w:val="000000"/>
          <w:sz w:val="32"/>
          <w:szCs w:val="32"/>
        </w:rPr>
        <w:t>管理遵循“依法依规、</w:t>
      </w:r>
      <w:r>
        <w:rPr>
          <w:rFonts w:ascii="仿宋_GB2312" w:eastAsia="仿宋_GB2312"/>
          <w:color w:val="000000"/>
          <w:sz w:val="32"/>
          <w:szCs w:val="32"/>
        </w:rPr>
        <w:t>公开透明、注重实效、强化</w:t>
      </w:r>
      <w:r>
        <w:rPr>
          <w:rFonts w:hint="eastAsia" w:ascii="仿宋_GB2312" w:eastAsia="仿宋_GB2312"/>
          <w:color w:val="000000"/>
          <w:sz w:val="32"/>
          <w:szCs w:val="32"/>
        </w:rPr>
        <w:t>监督”的</w:t>
      </w:r>
      <w:r>
        <w:rPr>
          <w:rFonts w:ascii="仿宋_GB2312" w:eastAsia="仿宋_GB2312"/>
          <w:color w:val="000000"/>
          <w:sz w:val="32"/>
          <w:szCs w:val="32"/>
        </w:rPr>
        <w:t>原则,实行</w:t>
      </w:r>
      <w:r>
        <w:rPr>
          <w:rFonts w:hint="eastAsia" w:ascii="仿宋_GB2312" w:eastAsia="仿宋_GB2312"/>
          <w:color w:val="000000"/>
          <w:sz w:val="32"/>
          <w:szCs w:val="32"/>
        </w:rPr>
        <w:t>“专家评审</w:t>
      </w:r>
      <w:r>
        <w:rPr>
          <w:rFonts w:ascii="仿宋_GB2312" w:eastAsia="仿宋_GB2312"/>
          <w:color w:val="000000"/>
          <w:sz w:val="32"/>
          <w:szCs w:val="32"/>
        </w:rPr>
        <w:t>、</w:t>
      </w:r>
      <w:r>
        <w:rPr>
          <w:rFonts w:hint="eastAsia" w:ascii="仿宋_GB2312" w:eastAsia="仿宋_GB2312"/>
          <w:color w:val="000000"/>
          <w:sz w:val="32"/>
          <w:szCs w:val="32"/>
        </w:rPr>
        <w:t>社会公示</w:t>
      </w:r>
      <w:r>
        <w:rPr>
          <w:rFonts w:ascii="仿宋_GB2312" w:eastAsia="仿宋_GB2312"/>
          <w:color w:val="000000"/>
          <w:sz w:val="32"/>
          <w:szCs w:val="32"/>
        </w:rPr>
        <w:t>、绩效</w:t>
      </w:r>
      <w:r>
        <w:rPr>
          <w:rFonts w:hint="eastAsia" w:ascii="仿宋_GB2312" w:eastAsia="仿宋_GB2312"/>
          <w:color w:val="000000"/>
          <w:sz w:val="32"/>
          <w:szCs w:val="32"/>
        </w:rPr>
        <w:t>评价”的</w:t>
      </w:r>
      <w:r>
        <w:rPr>
          <w:rFonts w:ascii="仿宋_GB2312" w:eastAsia="仿宋_GB2312"/>
          <w:color w:val="000000"/>
          <w:sz w:val="32"/>
          <w:szCs w:val="32"/>
        </w:rPr>
        <w:t>管理模式</w:t>
      </w:r>
      <w:r>
        <w:rPr>
          <w:rFonts w:hint="eastAsia" w:ascii="仿宋_GB2312" w:eastAsia="仿宋_GB2312"/>
          <w:color w:val="000000"/>
          <w:sz w:val="32"/>
          <w:szCs w:val="32"/>
        </w:rPr>
        <w:t>，</w:t>
      </w:r>
      <w:r>
        <w:rPr>
          <w:rFonts w:ascii="仿宋_GB2312" w:eastAsia="仿宋_GB2312"/>
          <w:color w:val="000000"/>
          <w:sz w:val="32"/>
          <w:szCs w:val="32"/>
        </w:rPr>
        <w:t>确保</w:t>
      </w:r>
      <w:r>
        <w:rPr>
          <w:rFonts w:hint="eastAsia" w:ascii="仿宋_GB2312" w:eastAsia="仿宋_GB2312"/>
          <w:color w:val="000000"/>
          <w:sz w:val="32"/>
          <w:szCs w:val="32"/>
        </w:rPr>
        <w:t>奖励</w:t>
      </w:r>
      <w:r>
        <w:rPr>
          <w:rFonts w:ascii="仿宋_GB2312" w:eastAsia="仿宋_GB2312"/>
          <w:color w:val="000000"/>
          <w:sz w:val="32"/>
          <w:szCs w:val="32"/>
        </w:rPr>
        <w:t>资金安全、规范、合理、</w:t>
      </w:r>
      <w:r>
        <w:rPr>
          <w:rFonts w:hint="eastAsia" w:ascii="仿宋_GB2312" w:eastAsia="仿宋_GB2312"/>
          <w:color w:val="000000"/>
          <w:sz w:val="32"/>
          <w:szCs w:val="32"/>
        </w:rPr>
        <w:t>有效</w:t>
      </w:r>
      <w:r>
        <w:rPr>
          <w:rFonts w:ascii="仿宋_GB2312" w:eastAsia="仿宋_GB2312"/>
          <w:color w:val="000000"/>
          <w:sz w:val="32"/>
          <w:szCs w:val="32"/>
        </w:rPr>
        <w:t>使用</w:t>
      </w:r>
      <w:r>
        <w:rPr>
          <w:rFonts w:hint="eastAsia" w:ascii="仿宋_GB2312" w:eastAsia="仿宋_GB2312"/>
          <w:color w:val="000000"/>
          <w:sz w:val="32"/>
          <w:szCs w:val="32"/>
        </w:rPr>
        <w:t>。</w:t>
      </w:r>
    </w:p>
    <w:p>
      <w:pPr>
        <w:widowControl/>
        <w:adjustRightInd w:val="0"/>
        <w:snapToGrid w:val="0"/>
        <w:spacing w:line="560" w:lineRule="exact"/>
        <w:ind w:firstLine="640" w:firstLineChars="200"/>
        <w:rPr>
          <w:rFonts w:ascii="仿宋_GB2312" w:eastAsia="仿宋_GB2312"/>
          <w:sz w:val="32"/>
          <w:szCs w:val="32"/>
        </w:rPr>
      </w:pPr>
      <w:r>
        <w:rPr>
          <w:rFonts w:hint="eastAsia" w:ascii="黑体" w:hAnsi="黑体" w:eastAsia="黑体"/>
          <w:b w:val="0"/>
          <w:bCs w:val="0"/>
          <w:sz w:val="32"/>
          <w:szCs w:val="32"/>
          <w:lang w:eastAsia="zh-CN"/>
        </w:rPr>
        <w:t>（</w:t>
      </w:r>
      <w:r>
        <w:rPr>
          <w:rFonts w:hint="eastAsia" w:ascii="黑体" w:hAnsi="黑体" w:eastAsia="黑体"/>
          <w:b w:val="0"/>
          <w:bCs w:val="0"/>
          <w:sz w:val="32"/>
          <w:szCs w:val="32"/>
          <w:lang w:val="en-US" w:eastAsia="zh-CN"/>
        </w:rPr>
        <w:t>失效）</w:t>
      </w:r>
      <w:r>
        <w:rPr>
          <w:rFonts w:hint="eastAsia" w:ascii="黑体" w:hAnsi="黑体" w:eastAsia="黑体"/>
          <w:color w:val="000000"/>
          <w:sz w:val="32"/>
          <w:szCs w:val="32"/>
        </w:rPr>
        <w:t>第四条</w:t>
      </w:r>
      <w:r>
        <w:rPr>
          <w:rFonts w:hint="eastAsia" w:ascii="仿宋_GB2312" w:eastAsia="仿宋_GB2312"/>
          <w:color w:val="000000"/>
          <w:sz w:val="32"/>
          <w:szCs w:val="32"/>
        </w:rPr>
        <w:t xml:space="preserve"> </w:t>
      </w:r>
      <w:r>
        <w:rPr>
          <w:rFonts w:hint="eastAsia" w:ascii="仿宋_GB2312" w:eastAsia="仿宋_GB2312"/>
          <w:sz w:val="32"/>
          <w:szCs w:val="32"/>
        </w:rPr>
        <w:t>市住房城乡建设委负责统筹协调全市装配式建筑和绿色建筑工作，制定相关政策标准，建立装配</w:t>
      </w:r>
      <w:r>
        <w:rPr>
          <w:rFonts w:ascii="仿宋_GB2312" w:eastAsia="仿宋_GB2312"/>
          <w:sz w:val="32"/>
          <w:szCs w:val="32"/>
        </w:rPr>
        <w:t>式建筑和绿色建筑</w:t>
      </w:r>
      <w:r>
        <w:rPr>
          <w:rFonts w:hint="eastAsia" w:ascii="仿宋_GB2312" w:eastAsia="仿宋_GB2312"/>
          <w:sz w:val="32"/>
          <w:szCs w:val="32"/>
        </w:rPr>
        <w:t>管理服务平台，组</w:t>
      </w:r>
      <w:r>
        <w:rPr>
          <w:rFonts w:ascii="仿宋_GB2312" w:eastAsia="仿宋_GB2312"/>
          <w:sz w:val="32"/>
          <w:szCs w:val="32"/>
        </w:rPr>
        <w:t>织</w:t>
      </w:r>
      <w:r>
        <w:rPr>
          <w:rFonts w:hint="eastAsia" w:ascii="仿宋_GB2312" w:eastAsia="仿宋_GB2312"/>
          <w:sz w:val="32"/>
          <w:szCs w:val="32"/>
        </w:rPr>
        <w:t>装配</w:t>
      </w:r>
      <w:r>
        <w:rPr>
          <w:rFonts w:ascii="仿宋_GB2312" w:eastAsia="仿宋_GB2312"/>
          <w:sz w:val="32"/>
          <w:szCs w:val="32"/>
        </w:rPr>
        <w:t>式建筑</w:t>
      </w:r>
      <w:r>
        <w:rPr>
          <w:rFonts w:hint="eastAsia" w:ascii="仿宋_GB2312" w:eastAsia="仿宋_GB2312"/>
          <w:sz w:val="32"/>
          <w:szCs w:val="32"/>
        </w:rPr>
        <w:t>和</w:t>
      </w:r>
      <w:r>
        <w:rPr>
          <w:rFonts w:ascii="仿宋_GB2312" w:eastAsia="仿宋_GB2312"/>
          <w:sz w:val="32"/>
          <w:szCs w:val="32"/>
        </w:rPr>
        <w:t>绿色建筑项目审</w:t>
      </w:r>
      <w:r>
        <w:rPr>
          <w:rFonts w:hint="eastAsia" w:ascii="仿宋_GB2312" w:eastAsia="仿宋_GB2312"/>
          <w:sz w:val="32"/>
          <w:szCs w:val="32"/>
        </w:rPr>
        <w:t>核，依据各区的申报资料向市财政局提出奖励资金拨付申请；负责设立奖励资金的总体绩效目标，开展</w:t>
      </w:r>
      <w:r>
        <w:rPr>
          <w:rFonts w:ascii="仿宋_GB2312" w:eastAsia="仿宋_GB2312"/>
          <w:sz w:val="32"/>
          <w:szCs w:val="32"/>
        </w:rPr>
        <w:t>部门绩效评价工作并</w:t>
      </w:r>
      <w:r>
        <w:rPr>
          <w:rFonts w:hint="eastAsia" w:ascii="仿宋_GB2312" w:eastAsia="仿宋_GB2312"/>
          <w:sz w:val="32"/>
          <w:szCs w:val="32"/>
        </w:rPr>
        <w:t>组织开展各区绩效</w:t>
      </w:r>
      <w:r>
        <w:rPr>
          <w:rFonts w:ascii="仿宋_GB2312" w:eastAsia="仿宋_GB2312"/>
          <w:sz w:val="32"/>
          <w:szCs w:val="32"/>
        </w:rPr>
        <w:t>评价</w:t>
      </w:r>
      <w:r>
        <w:rPr>
          <w:rFonts w:hint="eastAsia" w:ascii="仿宋_GB2312" w:eastAsia="仿宋_GB2312"/>
          <w:sz w:val="32"/>
          <w:szCs w:val="32"/>
        </w:rPr>
        <w:t>和</w:t>
      </w:r>
      <w:r>
        <w:rPr>
          <w:rFonts w:ascii="仿宋_GB2312" w:eastAsia="仿宋_GB2312"/>
          <w:sz w:val="32"/>
          <w:szCs w:val="32"/>
        </w:rPr>
        <w:t>监督检查等</w:t>
      </w:r>
      <w:r>
        <w:rPr>
          <w:rFonts w:hint="eastAsia" w:ascii="仿宋_GB2312" w:eastAsia="仿宋_GB2312"/>
          <w:sz w:val="32"/>
          <w:szCs w:val="32"/>
        </w:rPr>
        <w:t>工作</w:t>
      </w:r>
      <w:r>
        <w:rPr>
          <w:rFonts w:ascii="仿宋_GB2312" w:eastAsia="仿宋_GB2312"/>
          <w:sz w:val="32"/>
          <w:szCs w:val="32"/>
        </w:rPr>
        <w:t>。</w:t>
      </w:r>
    </w:p>
    <w:p>
      <w:pPr>
        <w:widowControl/>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市规划自然资源委负责组</w:t>
      </w:r>
      <w:r>
        <w:rPr>
          <w:rFonts w:ascii="仿宋_GB2312" w:eastAsia="仿宋_GB2312"/>
          <w:sz w:val="32"/>
          <w:szCs w:val="32"/>
        </w:rPr>
        <w:t>织</w:t>
      </w:r>
      <w:r>
        <w:rPr>
          <w:rFonts w:hint="eastAsia" w:ascii="仿宋_GB2312" w:eastAsia="仿宋_GB2312"/>
          <w:sz w:val="32"/>
          <w:szCs w:val="32"/>
        </w:rPr>
        <w:t>绿色生态示范区的评选；编制年度绿色生态示范区奖励资金的预算，拨付奖励资金；设立绿色生态示范区奖励资金的绩效目标，并对项目进行监督管理。</w:t>
      </w:r>
    </w:p>
    <w:p>
      <w:pPr>
        <w:widowControl/>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市财政局负责做好奖励资金的预算安排和拨付，配合市住房城乡建设委、</w:t>
      </w:r>
      <w:r>
        <w:rPr>
          <w:rFonts w:ascii="仿宋_GB2312" w:eastAsia="仿宋_GB2312"/>
          <w:sz w:val="32"/>
          <w:szCs w:val="32"/>
        </w:rPr>
        <w:t>市规划自然</w:t>
      </w:r>
      <w:r>
        <w:rPr>
          <w:rFonts w:hint="eastAsia" w:ascii="仿宋_GB2312" w:eastAsia="仿宋_GB2312"/>
          <w:sz w:val="32"/>
          <w:szCs w:val="32"/>
        </w:rPr>
        <w:t>资源委做好奖励资金的绩效管理、监督管理等工作。</w:t>
      </w:r>
    </w:p>
    <w:p>
      <w:pPr>
        <w:widowControl/>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区住房城乡（市）建设委负责组</w:t>
      </w:r>
      <w:r>
        <w:rPr>
          <w:rFonts w:ascii="仿宋_GB2312" w:eastAsia="仿宋_GB2312"/>
          <w:sz w:val="32"/>
          <w:szCs w:val="32"/>
        </w:rPr>
        <w:t>织</w:t>
      </w:r>
      <w:r>
        <w:rPr>
          <w:rFonts w:hint="eastAsia" w:ascii="仿宋_GB2312" w:eastAsia="仿宋_GB2312"/>
          <w:sz w:val="32"/>
          <w:szCs w:val="32"/>
        </w:rPr>
        <w:t>本辖区内装配式建筑、</w:t>
      </w:r>
      <w:r>
        <w:rPr>
          <w:rFonts w:hint="eastAsia" w:ascii="仿宋_GB2312" w:eastAsia="仿宋_GB2312"/>
          <w:color w:val="000000"/>
          <w:sz w:val="32"/>
          <w:szCs w:val="32"/>
        </w:rPr>
        <w:t>绿色建筑运</w:t>
      </w:r>
      <w:r>
        <w:rPr>
          <w:rFonts w:ascii="仿宋_GB2312" w:eastAsia="仿宋_GB2312"/>
          <w:color w:val="000000"/>
          <w:sz w:val="32"/>
          <w:szCs w:val="32"/>
        </w:rPr>
        <w:t>行标识</w:t>
      </w:r>
      <w:r>
        <w:rPr>
          <w:rFonts w:hint="eastAsia" w:ascii="仿宋_GB2312" w:eastAsia="仿宋_GB2312"/>
          <w:sz w:val="32"/>
          <w:szCs w:val="32"/>
        </w:rPr>
        <w:t>奖励项目的申报和</w:t>
      </w:r>
      <w:r>
        <w:rPr>
          <w:rFonts w:ascii="仿宋_GB2312" w:eastAsia="仿宋_GB2312"/>
          <w:sz w:val="32"/>
          <w:szCs w:val="32"/>
        </w:rPr>
        <w:t>初审</w:t>
      </w:r>
      <w:r>
        <w:rPr>
          <w:rFonts w:hint="eastAsia" w:ascii="仿宋_GB2312" w:eastAsia="仿宋_GB2312"/>
          <w:sz w:val="32"/>
          <w:szCs w:val="32"/>
        </w:rPr>
        <w:t>；组织对项目实施装配式建筑情况的过程检查；参与装配式建筑、</w:t>
      </w:r>
      <w:r>
        <w:rPr>
          <w:rFonts w:hint="eastAsia" w:ascii="仿宋_GB2312" w:eastAsia="仿宋_GB2312"/>
          <w:color w:val="000000"/>
          <w:sz w:val="32"/>
          <w:szCs w:val="32"/>
        </w:rPr>
        <w:t>绿色建筑运</w:t>
      </w:r>
      <w:r>
        <w:rPr>
          <w:rFonts w:ascii="仿宋_GB2312" w:eastAsia="仿宋_GB2312"/>
          <w:color w:val="000000"/>
          <w:sz w:val="32"/>
          <w:szCs w:val="32"/>
        </w:rPr>
        <w:t>行标识</w:t>
      </w:r>
      <w:r>
        <w:rPr>
          <w:rFonts w:hint="eastAsia" w:ascii="仿宋_GB2312" w:eastAsia="仿宋_GB2312"/>
          <w:sz w:val="32"/>
          <w:szCs w:val="32"/>
        </w:rPr>
        <w:t>奖励项目专家评审和现场核查；提出装配式建筑、</w:t>
      </w:r>
      <w:r>
        <w:rPr>
          <w:rFonts w:hint="eastAsia" w:ascii="仿宋_GB2312" w:eastAsia="仿宋_GB2312"/>
          <w:color w:val="000000"/>
          <w:sz w:val="32"/>
          <w:szCs w:val="32"/>
        </w:rPr>
        <w:t>绿色建筑运</w:t>
      </w:r>
      <w:r>
        <w:rPr>
          <w:rFonts w:ascii="仿宋_GB2312" w:eastAsia="仿宋_GB2312"/>
          <w:color w:val="000000"/>
          <w:sz w:val="32"/>
          <w:szCs w:val="32"/>
        </w:rPr>
        <w:t>行标识</w:t>
      </w:r>
      <w:r>
        <w:rPr>
          <w:rFonts w:hint="eastAsia" w:ascii="仿宋_GB2312" w:eastAsia="仿宋_GB2312"/>
          <w:sz w:val="32"/>
          <w:szCs w:val="32"/>
        </w:rPr>
        <w:t>奖励项目资金拨付申请；负责设立奖励资金的具体绩效目标，并组织开展本区绩效评价和监督检查等工作。</w:t>
      </w:r>
    </w:p>
    <w:p>
      <w:pPr>
        <w:widowControl/>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市规划自然</w:t>
      </w:r>
      <w:r>
        <w:rPr>
          <w:rFonts w:ascii="仿宋_GB2312" w:eastAsia="仿宋_GB2312"/>
          <w:sz w:val="32"/>
          <w:szCs w:val="32"/>
        </w:rPr>
        <w:t>资源</w:t>
      </w:r>
      <w:r>
        <w:rPr>
          <w:rFonts w:hint="eastAsia" w:ascii="仿宋_GB2312" w:eastAsia="仿宋_GB2312"/>
          <w:sz w:val="32"/>
          <w:szCs w:val="32"/>
        </w:rPr>
        <w:t>委各区分局负责本辖区内绿色生态示范区的推荐和初步审核；负责推进绿色建筑和装配式建筑的规划设计工作。</w:t>
      </w:r>
    </w:p>
    <w:p>
      <w:pPr>
        <w:widowControl/>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区财政局负责本辖区内市级奖励资金的拨付、管理和监督检查，保障区级工作经费，配合开展奖励资金绩效评价。</w:t>
      </w:r>
    </w:p>
    <w:p>
      <w:pPr>
        <w:widowControl/>
        <w:adjustRightInd w:val="0"/>
        <w:snapToGrid w:val="0"/>
        <w:spacing w:line="560" w:lineRule="exact"/>
        <w:ind w:firstLine="640" w:firstLineChars="200"/>
        <w:rPr>
          <w:rFonts w:ascii="仿宋_GB2312" w:eastAsia="仿宋_GB2312"/>
          <w:sz w:val="32"/>
          <w:szCs w:val="32"/>
        </w:rPr>
      </w:pPr>
    </w:p>
    <w:p>
      <w:pPr>
        <w:adjustRightInd w:val="0"/>
        <w:snapToGrid w:val="0"/>
        <w:spacing w:line="560" w:lineRule="exact"/>
        <w:jc w:val="center"/>
        <w:rPr>
          <w:rFonts w:hint="eastAsia" w:ascii="黑体" w:eastAsia="黑体"/>
          <w:sz w:val="32"/>
          <w:szCs w:val="32"/>
        </w:rPr>
      </w:pPr>
      <w:r>
        <w:rPr>
          <w:rFonts w:hint="eastAsia" w:ascii="黑体" w:eastAsia="黑体"/>
          <w:sz w:val="32"/>
          <w:szCs w:val="32"/>
        </w:rPr>
        <w:t>第二章 奖励资金</w:t>
      </w:r>
      <w:r>
        <w:rPr>
          <w:rFonts w:ascii="黑体" w:eastAsia="黑体"/>
          <w:sz w:val="32"/>
          <w:szCs w:val="32"/>
        </w:rPr>
        <w:t>支持范围</w:t>
      </w:r>
      <w:r>
        <w:rPr>
          <w:rFonts w:hint="eastAsia" w:ascii="黑体" w:eastAsia="黑体"/>
          <w:sz w:val="32"/>
          <w:szCs w:val="32"/>
        </w:rPr>
        <w:t>和</w:t>
      </w:r>
      <w:r>
        <w:rPr>
          <w:rFonts w:ascii="黑体" w:eastAsia="黑体"/>
          <w:sz w:val="32"/>
          <w:szCs w:val="32"/>
        </w:rPr>
        <w:t>标准</w:t>
      </w:r>
    </w:p>
    <w:p>
      <w:pPr>
        <w:adjustRightInd w:val="0"/>
        <w:snapToGrid w:val="0"/>
        <w:spacing w:line="560" w:lineRule="exact"/>
        <w:jc w:val="center"/>
        <w:rPr>
          <w:rFonts w:ascii="黑体" w:eastAsia="黑体"/>
          <w:sz w:val="32"/>
          <w:szCs w:val="32"/>
        </w:rPr>
      </w:pPr>
    </w:p>
    <w:p>
      <w:pPr>
        <w:adjustRightInd w:val="0"/>
        <w:snapToGrid w:val="0"/>
        <w:spacing w:line="560" w:lineRule="exact"/>
        <w:ind w:firstLine="800" w:firstLineChars="250"/>
        <w:rPr>
          <w:rFonts w:eastAsia="仿宋_GB2312"/>
          <w:kern w:val="0"/>
          <w:sz w:val="32"/>
          <w:szCs w:val="32"/>
        </w:rPr>
      </w:pPr>
      <w:r>
        <w:rPr>
          <w:rFonts w:hint="eastAsia" w:ascii="黑体" w:hAnsi="黑体" w:eastAsia="黑体"/>
          <w:b w:val="0"/>
          <w:bCs w:val="0"/>
          <w:sz w:val="32"/>
          <w:szCs w:val="32"/>
          <w:lang w:eastAsia="zh-CN"/>
        </w:rPr>
        <w:t>（</w:t>
      </w:r>
      <w:r>
        <w:rPr>
          <w:rFonts w:hint="eastAsia" w:ascii="黑体" w:hAnsi="黑体" w:eastAsia="黑体"/>
          <w:b w:val="0"/>
          <w:bCs w:val="0"/>
          <w:sz w:val="32"/>
          <w:szCs w:val="32"/>
          <w:lang w:val="en-US" w:eastAsia="zh-CN"/>
        </w:rPr>
        <w:t>失效）</w:t>
      </w:r>
      <w:r>
        <w:rPr>
          <w:rFonts w:hint="eastAsia" w:ascii="黑体" w:hAnsi="黑体" w:eastAsia="黑体"/>
          <w:color w:val="000000"/>
          <w:sz w:val="32"/>
          <w:szCs w:val="32"/>
        </w:rPr>
        <w:t>第五条</w:t>
      </w:r>
      <w:r>
        <w:rPr>
          <w:rFonts w:hint="eastAsia" w:ascii="仿宋_GB2312" w:eastAsia="仿宋_GB2312"/>
          <w:color w:val="000000"/>
          <w:sz w:val="32"/>
          <w:szCs w:val="32"/>
        </w:rPr>
        <w:t xml:space="preserve"> </w:t>
      </w:r>
      <w:r>
        <w:rPr>
          <w:rFonts w:hint="eastAsia" w:ascii="仿宋_GB2312" w:eastAsia="仿宋_GB2312"/>
          <w:sz w:val="32"/>
          <w:szCs w:val="32"/>
        </w:rPr>
        <w:t>奖励</w:t>
      </w:r>
      <w:r>
        <w:rPr>
          <w:rFonts w:ascii="仿宋_GB2312" w:eastAsia="仿宋_GB2312"/>
          <w:sz w:val="32"/>
          <w:szCs w:val="32"/>
        </w:rPr>
        <w:t>资金</w:t>
      </w:r>
      <w:r>
        <w:rPr>
          <w:rFonts w:hint="eastAsia" w:ascii="仿宋_GB2312" w:eastAsia="仿宋_GB2312"/>
          <w:sz w:val="32"/>
          <w:szCs w:val="32"/>
        </w:rPr>
        <w:t>用于支持本市行政区域内装配式建筑</w:t>
      </w:r>
      <w:r>
        <w:rPr>
          <w:rFonts w:hint="eastAsia" w:ascii="仿宋_GB2312" w:eastAsia="仿宋_GB2312"/>
          <w:color w:val="000000"/>
          <w:sz w:val="32"/>
          <w:szCs w:val="32"/>
        </w:rPr>
        <w:t>、绿色建筑的非</w:t>
      </w:r>
      <w:r>
        <w:rPr>
          <w:rFonts w:ascii="仿宋_GB2312" w:eastAsia="仿宋_GB2312"/>
          <w:color w:val="000000"/>
          <w:sz w:val="32"/>
          <w:szCs w:val="32"/>
        </w:rPr>
        <w:t>政府投资</w:t>
      </w:r>
      <w:r>
        <w:rPr>
          <w:rFonts w:hint="eastAsia" w:ascii="仿宋_GB2312" w:eastAsia="仿宋_GB2312"/>
          <w:color w:val="000000"/>
          <w:sz w:val="32"/>
          <w:szCs w:val="32"/>
        </w:rPr>
        <w:t>民用建筑项目和</w:t>
      </w:r>
      <w:r>
        <w:rPr>
          <w:rFonts w:hint="eastAsia" w:ascii="仿宋_GB2312" w:eastAsia="仿宋_GB2312"/>
          <w:sz w:val="32"/>
          <w:szCs w:val="32"/>
        </w:rPr>
        <w:t>绿色生态示范区</w:t>
      </w:r>
      <w:r>
        <w:rPr>
          <w:rFonts w:hint="eastAsia" w:ascii="仿宋_GB2312" w:eastAsia="仿宋_GB2312"/>
          <w:color w:val="000000"/>
          <w:sz w:val="32"/>
          <w:szCs w:val="32"/>
        </w:rPr>
        <w:t>。本办法中的非政府投资项目是依据项目立项批复文件中资金来源规定</w:t>
      </w:r>
      <w:r>
        <w:rPr>
          <w:rFonts w:ascii="仿宋_GB2312" w:eastAsia="仿宋_GB2312"/>
          <w:color w:val="000000"/>
          <w:sz w:val="32"/>
          <w:szCs w:val="32"/>
        </w:rPr>
        <w:t>的</w:t>
      </w:r>
      <w:r>
        <w:rPr>
          <w:rFonts w:hint="eastAsia" w:ascii="仿宋_GB2312" w:eastAsia="仿宋_GB2312"/>
          <w:color w:val="000000"/>
          <w:sz w:val="32"/>
          <w:szCs w:val="32"/>
        </w:rPr>
        <w:t>使用财政性资金未达到50%以上的项目</w:t>
      </w:r>
      <w:r>
        <w:rPr>
          <w:rFonts w:eastAsia="仿宋_GB2312"/>
          <w:kern w:val="0"/>
          <w:sz w:val="32"/>
          <w:szCs w:val="32"/>
        </w:rPr>
        <w:t>。</w:t>
      </w:r>
      <w:r>
        <w:rPr>
          <w:rFonts w:hint="eastAsia" w:eastAsia="仿宋_GB2312"/>
          <w:kern w:val="0"/>
          <w:sz w:val="32"/>
          <w:szCs w:val="32"/>
        </w:rPr>
        <w:t>单个</w:t>
      </w:r>
      <w:r>
        <w:rPr>
          <w:rFonts w:eastAsia="仿宋_GB2312"/>
          <w:kern w:val="0"/>
          <w:sz w:val="32"/>
          <w:szCs w:val="32"/>
        </w:rPr>
        <w:t>项目依据</w:t>
      </w:r>
      <w:r>
        <w:rPr>
          <w:rFonts w:hint="eastAsia" w:eastAsia="仿宋_GB2312"/>
          <w:kern w:val="0"/>
          <w:sz w:val="32"/>
          <w:szCs w:val="32"/>
        </w:rPr>
        <w:t>立项批复文件规划</w:t>
      </w:r>
      <w:r>
        <w:rPr>
          <w:rFonts w:eastAsia="仿宋_GB2312"/>
          <w:kern w:val="0"/>
          <w:sz w:val="32"/>
          <w:szCs w:val="32"/>
        </w:rPr>
        <w:t>用地、</w:t>
      </w:r>
      <w:r>
        <w:rPr>
          <w:rFonts w:hint="eastAsia" w:eastAsia="仿宋_GB2312"/>
          <w:kern w:val="0"/>
          <w:sz w:val="32"/>
          <w:szCs w:val="32"/>
        </w:rPr>
        <w:t>建设规模</w:t>
      </w:r>
      <w:r>
        <w:rPr>
          <w:rFonts w:eastAsia="仿宋_GB2312"/>
          <w:kern w:val="0"/>
          <w:sz w:val="32"/>
          <w:szCs w:val="32"/>
        </w:rPr>
        <w:t>等信息确定。</w:t>
      </w:r>
    </w:p>
    <w:p>
      <w:pPr>
        <w:adjustRightInd w:val="0"/>
        <w:snapToGrid w:val="0"/>
        <w:spacing w:line="560" w:lineRule="exact"/>
        <w:ind w:firstLine="640" w:firstLineChars="200"/>
        <w:rPr>
          <w:rFonts w:ascii="仿宋_GB2312" w:eastAsia="仿宋_GB2312"/>
          <w:color w:val="000000"/>
          <w:sz w:val="32"/>
          <w:szCs w:val="32"/>
        </w:rPr>
      </w:pPr>
      <w:r>
        <w:rPr>
          <w:rFonts w:hint="eastAsia" w:ascii="黑体" w:hAnsi="黑体" w:eastAsia="黑体"/>
          <w:b w:val="0"/>
          <w:bCs w:val="0"/>
          <w:sz w:val="32"/>
          <w:szCs w:val="32"/>
          <w:lang w:eastAsia="zh-CN"/>
        </w:rPr>
        <w:t>（</w:t>
      </w:r>
      <w:r>
        <w:rPr>
          <w:rFonts w:hint="eastAsia" w:ascii="黑体" w:hAnsi="黑体" w:eastAsia="黑体"/>
          <w:b w:val="0"/>
          <w:bCs w:val="0"/>
          <w:sz w:val="32"/>
          <w:szCs w:val="32"/>
          <w:lang w:val="en-US" w:eastAsia="zh-CN"/>
        </w:rPr>
        <w:t>失效）</w:t>
      </w:r>
      <w:r>
        <w:rPr>
          <w:rFonts w:hint="eastAsia" w:ascii="黑体" w:hAnsi="黑体" w:eastAsia="黑体"/>
          <w:color w:val="000000"/>
          <w:sz w:val="32"/>
          <w:szCs w:val="32"/>
        </w:rPr>
        <w:t>第六条</w:t>
      </w:r>
      <w:r>
        <w:rPr>
          <w:rFonts w:hint="eastAsia" w:ascii="仿宋_GB2312" w:eastAsia="仿宋_GB2312"/>
          <w:color w:val="000000"/>
          <w:sz w:val="32"/>
          <w:szCs w:val="32"/>
        </w:rPr>
        <w:t xml:space="preserve"> 凡在取得土地使用权时规定应实施高标准商品住宅建设、已享受面积奖励的住宅产业化项目和已按《北京市发展绿色建筑推动绿色生态示范区建设奖励资金管理暂行办法》（京财经二〔2014〕665号）申请</w:t>
      </w:r>
      <w:r>
        <w:rPr>
          <w:rFonts w:ascii="仿宋_GB2312" w:eastAsia="仿宋_GB2312"/>
          <w:color w:val="000000"/>
          <w:sz w:val="32"/>
          <w:szCs w:val="32"/>
        </w:rPr>
        <w:t>并</w:t>
      </w:r>
      <w:r>
        <w:rPr>
          <w:rFonts w:hint="eastAsia" w:ascii="仿宋_GB2312" w:eastAsia="仿宋_GB2312"/>
          <w:color w:val="000000"/>
          <w:sz w:val="32"/>
          <w:szCs w:val="32"/>
        </w:rPr>
        <w:t>取得绿色建筑奖励资金的项目不再纳</w:t>
      </w:r>
      <w:r>
        <w:rPr>
          <w:rFonts w:ascii="仿宋_GB2312" w:eastAsia="仿宋_GB2312"/>
          <w:color w:val="000000"/>
          <w:sz w:val="32"/>
          <w:szCs w:val="32"/>
        </w:rPr>
        <w:t>入</w:t>
      </w:r>
      <w:r>
        <w:rPr>
          <w:rFonts w:hint="eastAsia" w:ascii="仿宋_GB2312" w:eastAsia="仿宋_GB2312"/>
          <w:color w:val="000000"/>
          <w:sz w:val="32"/>
          <w:szCs w:val="32"/>
        </w:rPr>
        <w:t>奖励</w:t>
      </w:r>
      <w:r>
        <w:rPr>
          <w:rFonts w:ascii="仿宋_GB2312" w:eastAsia="仿宋_GB2312"/>
          <w:color w:val="000000"/>
          <w:sz w:val="32"/>
          <w:szCs w:val="32"/>
        </w:rPr>
        <w:t>支持范围。</w:t>
      </w:r>
    </w:p>
    <w:p>
      <w:pPr>
        <w:adjustRightInd w:val="0"/>
        <w:snapToGrid w:val="0"/>
        <w:spacing w:line="560" w:lineRule="exact"/>
        <w:ind w:firstLine="640" w:firstLineChars="200"/>
        <w:rPr>
          <w:rFonts w:ascii="仿宋_GB2312" w:eastAsia="仿宋_GB2312"/>
          <w:color w:val="000000"/>
          <w:sz w:val="32"/>
          <w:szCs w:val="32"/>
        </w:rPr>
      </w:pPr>
      <w:r>
        <w:rPr>
          <w:rFonts w:hint="eastAsia" w:ascii="黑体" w:hAnsi="黑体" w:eastAsia="黑体"/>
          <w:sz w:val="32"/>
          <w:szCs w:val="32"/>
        </w:rPr>
        <w:t>第七条</w:t>
      </w:r>
      <w:r>
        <w:rPr>
          <w:rFonts w:hint="eastAsia" w:ascii="仿宋_GB2312" w:eastAsia="仿宋_GB2312"/>
          <w:sz w:val="32"/>
          <w:szCs w:val="32"/>
        </w:rPr>
        <w:t xml:space="preserve"> </w:t>
      </w:r>
      <w:r>
        <w:rPr>
          <w:rFonts w:hint="eastAsia" w:ascii="仿宋_GB2312" w:eastAsia="仿宋_GB2312"/>
          <w:color w:val="000000"/>
          <w:sz w:val="32"/>
          <w:szCs w:val="32"/>
        </w:rPr>
        <w:t>对装配式建筑项目给予财政奖励。对按照《北京市人民政府办公厅关于加快发展装配式建筑的实施意见》（京政办发〔2017〕8号）实施的项目，装配率不低于</w:t>
      </w:r>
      <w:r>
        <w:rPr>
          <w:rFonts w:ascii="仿宋_GB2312" w:eastAsia="仿宋_GB2312"/>
          <w:color w:val="000000"/>
          <w:sz w:val="32"/>
          <w:szCs w:val="32"/>
        </w:rPr>
        <w:t>70%</w:t>
      </w:r>
      <w:r>
        <w:rPr>
          <w:rFonts w:hint="eastAsia" w:ascii="仿宋_GB2312" w:eastAsia="仿宋_GB2312"/>
          <w:color w:val="000000"/>
          <w:sz w:val="32"/>
          <w:szCs w:val="32"/>
        </w:rPr>
        <w:t>且预制率不低于</w:t>
      </w:r>
      <w:r>
        <w:rPr>
          <w:rFonts w:ascii="仿宋_GB2312" w:eastAsia="仿宋_GB2312"/>
          <w:color w:val="000000"/>
          <w:sz w:val="32"/>
          <w:szCs w:val="32"/>
        </w:rPr>
        <w:t>50%</w:t>
      </w:r>
      <w:r>
        <w:rPr>
          <w:rFonts w:hint="eastAsia" w:ascii="仿宋_GB2312" w:eastAsia="仿宋_GB2312"/>
          <w:color w:val="000000"/>
          <w:sz w:val="32"/>
          <w:szCs w:val="32"/>
        </w:rPr>
        <w:t>时，给予</w:t>
      </w:r>
      <w:r>
        <w:rPr>
          <w:rFonts w:ascii="仿宋_GB2312" w:eastAsia="仿宋_GB2312"/>
          <w:color w:val="000000"/>
          <w:sz w:val="32"/>
          <w:szCs w:val="32"/>
        </w:rPr>
        <w:t>180</w:t>
      </w:r>
      <w:r>
        <w:rPr>
          <w:rFonts w:hint="eastAsia" w:ascii="仿宋_GB2312" w:eastAsia="仿宋_GB2312"/>
          <w:color w:val="000000"/>
          <w:sz w:val="32"/>
          <w:szCs w:val="32"/>
        </w:rPr>
        <w:t>元/平方米</w:t>
      </w:r>
      <w:r>
        <w:rPr>
          <w:rFonts w:ascii="仿宋_GB2312" w:eastAsia="仿宋_GB2312"/>
          <w:color w:val="000000"/>
          <w:sz w:val="32"/>
          <w:szCs w:val="32"/>
        </w:rPr>
        <w:t>的</w:t>
      </w:r>
      <w:r>
        <w:rPr>
          <w:rFonts w:hint="eastAsia" w:ascii="仿宋_GB2312" w:eastAsia="仿宋_GB2312"/>
          <w:color w:val="000000"/>
          <w:sz w:val="32"/>
          <w:szCs w:val="32"/>
        </w:rPr>
        <w:t>奖励</w:t>
      </w:r>
      <w:r>
        <w:rPr>
          <w:rFonts w:ascii="仿宋_GB2312" w:eastAsia="仿宋_GB2312"/>
          <w:color w:val="000000"/>
          <w:sz w:val="32"/>
          <w:szCs w:val="32"/>
        </w:rPr>
        <w:t>资金</w:t>
      </w:r>
      <w:r>
        <w:rPr>
          <w:rFonts w:hint="eastAsia" w:ascii="仿宋_GB2312" w:eastAsia="仿宋_GB2312"/>
          <w:color w:val="000000"/>
          <w:sz w:val="32"/>
          <w:szCs w:val="32"/>
        </w:rPr>
        <w:t>；对于自愿实施的项目，装配率不低于5</w:t>
      </w:r>
      <w:r>
        <w:rPr>
          <w:rFonts w:ascii="仿宋_GB2312" w:eastAsia="仿宋_GB2312"/>
          <w:color w:val="000000"/>
          <w:sz w:val="32"/>
          <w:szCs w:val="32"/>
        </w:rPr>
        <w:t>0%</w:t>
      </w:r>
      <w:r>
        <w:rPr>
          <w:rFonts w:hint="eastAsia" w:ascii="仿宋_GB2312" w:eastAsia="仿宋_GB2312"/>
          <w:color w:val="000000"/>
          <w:sz w:val="32"/>
          <w:szCs w:val="32"/>
        </w:rPr>
        <w:t>，且建筑高度在60米（含）以下时预制率不低于40</w:t>
      </w:r>
      <w:r>
        <w:rPr>
          <w:rFonts w:ascii="仿宋_GB2312" w:eastAsia="仿宋_GB2312"/>
          <w:color w:val="000000"/>
          <w:sz w:val="32"/>
          <w:szCs w:val="32"/>
        </w:rPr>
        <w:t>%</w:t>
      </w:r>
      <w:r>
        <w:rPr>
          <w:rFonts w:hint="eastAsia" w:ascii="仿宋_GB2312" w:eastAsia="仿宋_GB2312"/>
          <w:color w:val="000000"/>
          <w:sz w:val="32"/>
          <w:szCs w:val="32"/>
        </w:rPr>
        <w:t>、建筑高度在60米以上时预制率不低于20%给予</w:t>
      </w:r>
      <w:r>
        <w:rPr>
          <w:rFonts w:ascii="仿宋_GB2312" w:eastAsia="仿宋_GB2312"/>
          <w:color w:val="000000"/>
          <w:sz w:val="32"/>
          <w:szCs w:val="32"/>
        </w:rPr>
        <w:t>180</w:t>
      </w:r>
      <w:r>
        <w:rPr>
          <w:rFonts w:hint="eastAsia" w:ascii="仿宋_GB2312" w:eastAsia="仿宋_GB2312"/>
          <w:color w:val="000000"/>
          <w:sz w:val="32"/>
          <w:szCs w:val="32"/>
        </w:rPr>
        <w:t>元/平方米</w:t>
      </w:r>
      <w:r>
        <w:rPr>
          <w:rFonts w:ascii="仿宋_GB2312" w:eastAsia="仿宋_GB2312"/>
          <w:color w:val="000000"/>
          <w:sz w:val="32"/>
          <w:szCs w:val="32"/>
        </w:rPr>
        <w:t>的</w:t>
      </w:r>
      <w:r>
        <w:rPr>
          <w:rFonts w:hint="eastAsia" w:ascii="仿宋_GB2312" w:eastAsia="仿宋_GB2312"/>
          <w:color w:val="000000"/>
          <w:sz w:val="32"/>
          <w:szCs w:val="32"/>
        </w:rPr>
        <w:t>奖励</w:t>
      </w:r>
      <w:r>
        <w:rPr>
          <w:rFonts w:ascii="仿宋_GB2312" w:eastAsia="仿宋_GB2312"/>
          <w:color w:val="000000"/>
          <w:sz w:val="32"/>
          <w:szCs w:val="32"/>
        </w:rPr>
        <w:t>资金。</w:t>
      </w:r>
      <w:r>
        <w:rPr>
          <w:rFonts w:hint="eastAsia" w:ascii="仿宋_GB2312" w:eastAsia="仿宋_GB2312"/>
          <w:color w:val="000000"/>
          <w:sz w:val="32"/>
          <w:szCs w:val="32"/>
        </w:rPr>
        <w:t>对按照《关于印发&lt;北京市混凝土结构产业化住宅项目技术管理要点&gt;的通知》（京建发〔2010〕740号）实施的住宅项目，预制率不低于40%给予</w:t>
      </w:r>
      <w:r>
        <w:rPr>
          <w:rFonts w:ascii="仿宋_GB2312" w:eastAsia="仿宋_GB2312"/>
          <w:color w:val="000000"/>
          <w:sz w:val="32"/>
          <w:szCs w:val="32"/>
        </w:rPr>
        <w:t>180</w:t>
      </w:r>
      <w:r>
        <w:rPr>
          <w:rFonts w:hint="eastAsia" w:ascii="仿宋_GB2312" w:eastAsia="仿宋_GB2312"/>
          <w:color w:val="000000"/>
          <w:sz w:val="32"/>
          <w:szCs w:val="32"/>
        </w:rPr>
        <w:t>元/平方米</w:t>
      </w:r>
      <w:r>
        <w:rPr>
          <w:rFonts w:ascii="仿宋_GB2312" w:eastAsia="仿宋_GB2312"/>
          <w:color w:val="000000"/>
          <w:sz w:val="32"/>
          <w:szCs w:val="32"/>
        </w:rPr>
        <w:t>的</w:t>
      </w:r>
      <w:r>
        <w:rPr>
          <w:rFonts w:hint="eastAsia" w:ascii="仿宋_GB2312" w:eastAsia="仿宋_GB2312"/>
          <w:color w:val="000000"/>
          <w:sz w:val="32"/>
          <w:szCs w:val="32"/>
        </w:rPr>
        <w:t>奖励</w:t>
      </w:r>
      <w:r>
        <w:rPr>
          <w:rFonts w:ascii="仿宋_GB2312" w:eastAsia="仿宋_GB2312"/>
          <w:color w:val="000000"/>
          <w:sz w:val="32"/>
          <w:szCs w:val="32"/>
        </w:rPr>
        <w:t>资金</w:t>
      </w:r>
      <w:r>
        <w:rPr>
          <w:rFonts w:hint="eastAsia" w:ascii="仿宋_GB2312" w:eastAsia="仿宋_GB2312"/>
          <w:color w:val="000000"/>
          <w:sz w:val="32"/>
          <w:szCs w:val="32"/>
        </w:rPr>
        <w:t>。</w:t>
      </w:r>
    </w:p>
    <w:p>
      <w:p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申请奖励资金的项目按照地上建筑面积实施奖励，且地上建筑面积不应小于5000平方米。</w:t>
      </w:r>
      <w:r>
        <w:rPr>
          <w:rFonts w:hint="eastAsia" w:ascii="仿宋_GB2312" w:eastAsia="仿宋_GB2312"/>
          <w:color w:val="000000"/>
          <w:sz w:val="32"/>
          <w:szCs w:val="32"/>
        </w:rPr>
        <w:t>单个项目奖励资金最高不超过</w:t>
      </w:r>
      <w:r>
        <w:rPr>
          <w:rFonts w:ascii="仿宋_GB2312" w:eastAsia="仿宋_GB2312"/>
          <w:color w:val="000000"/>
          <w:sz w:val="32"/>
          <w:szCs w:val="32"/>
        </w:rPr>
        <w:t>2500</w:t>
      </w:r>
      <w:r>
        <w:rPr>
          <w:rFonts w:hint="eastAsia" w:ascii="仿宋_GB2312" w:eastAsia="仿宋_GB2312"/>
          <w:color w:val="000000"/>
          <w:sz w:val="32"/>
          <w:szCs w:val="32"/>
        </w:rPr>
        <w:t>万元。奖励资金主要用于装配式建筑项目建设的咨询、设计、生产、施工、运维等方面。</w:t>
      </w:r>
    </w:p>
    <w:p>
      <w:pPr>
        <w:adjustRightInd w:val="0"/>
        <w:snapToGrid w:val="0"/>
        <w:spacing w:line="560" w:lineRule="exact"/>
        <w:ind w:firstLine="640" w:firstLineChars="200"/>
        <w:rPr>
          <w:rFonts w:ascii="仿宋_GB2312" w:eastAsia="仿宋_GB2312"/>
          <w:color w:val="000000"/>
          <w:sz w:val="32"/>
          <w:szCs w:val="32"/>
        </w:rPr>
      </w:pPr>
      <w:r>
        <w:rPr>
          <w:rFonts w:hint="eastAsia" w:ascii="黑体" w:hAnsi="黑体" w:eastAsia="黑体"/>
          <w:b w:val="0"/>
          <w:bCs w:val="0"/>
          <w:sz w:val="32"/>
          <w:szCs w:val="32"/>
          <w:lang w:eastAsia="zh-CN"/>
        </w:rPr>
        <w:t>（</w:t>
      </w:r>
      <w:r>
        <w:rPr>
          <w:rFonts w:hint="eastAsia" w:ascii="黑体" w:hAnsi="黑体" w:eastAsia="黑体"/>
          <w:b w:val="0"/>
          <w:bCs w:val="0"/>
          <w:sz w:val="32"/>
          <w:szCs w:val="32"/>
          <w:lang w:val="en-US" w:eastAsia="zh-CN"/>
        </w:rPr>
        <w:t>失效）</w:t>
      </w:r>
      <w:r>
        <w:rPr>
          <w:rFonts w:hint="eastAsia" w:ascii="黑体" w:hAnsi="黑体" w:eastAsia="黑体"/>
          <w:color w:val="000000"/>
          <w:sz w:val="32"/>
          <w:szCs w:val="32"/>
        </w:rPr>
        <w:t>第八条</w:t>
      </w:r>
      <w:r>
        <w:rPr>
          <w:rFonts w:hint="eastAsia" w:ascii="仿宋_GB2312" w:eastAsia="仿宋_GB2312"/>
          <w:color w:val="000000"/>
          <w:sz w:val="32"/>
          <w:szCs w:val="32"/>
        </w:rPr>
        <w:t xml:space="preserve"> 对绿色建筑运行标识项目给予财政奖励。对满足北京市《绿色建筑评价标准》（DB11/T825-2015）或国</w:t>
      </w:r>
      <w:r>
        <w:rPr>
          <w:rFonts w:ascii="仿宋_GB2312" w:eastAsia="仿宋_GB2312"/>
          <w:color w:val="000000"/>
          <w:sz w:val="32"/>
          <w:szCs w:val="32"/>
        </w:rPr>
        <w:t>家《</w:t>
      </w:r>
      <w:r>
        <w:rPr>
          <w:rFonts w:hint="eastAsia" w:ascii="仿宋_GB2312" w:eastAsia="仿宋_GB2312"/>
          <w:color w:val="000000"/>
          <w:sz w:val="32"/>
          <w:szCs w:val="32"/>
        </w:rPr>
        <w:t>既有建筑</w:t>
      </w:r>
      <w:r>
        <w:rPr>
          <w:rFonts w:ascii="仿宋_GB2312" w:eastAsia="仿宋_GB2312"/>
          <w:color w:val="000000"/>
          <w:sz w:val="32"/>
          <w:szCs w:val="32"/>
        </w:rPr>
        <w:t>绿色改造评价标准》</w:t>
      </w:r>
      <w:r>
        <w:rPr>
          <w:rFonts w:hint="eastAsia" w:ascii="仿宋_GB2312" w:eastAsia="仿宋_GB2312"/>
          <w:color w:val="000000"/>
          <w:sz w:val="32"/>
          <w:szCs w:val="32"/>
        </w:rPr>
        <w:t>（GB/T</w:t>
      </w:r>
      <w:r>
        <w:rPr>
          <w:rFonts w:ascii="仿宋_GB2312" w:eastAsia="仿宋_GB2312"/>
          <w:color w:val="000000"/>
          <w:sz w:val="32"/>
          <w:szCs w:val="32"/>
        </w:rPr>
        <w:t>51141</w:t>
      </w:r>
      <w:r>
        <w:rPr>
          <w:rFonts w:hint="eastAsia" w:ascii="仿宋_GB2312" w:eastAsia="仿宋_GB2312"/>
          <w:color w:val="000000"/>
          <w:sz w:val="32"/>
          <w:szCs w:val="32"/>
        </w:rPr>
        <w:t>）、</w:t>
      </w:r>
      <w:r>
        <w:rPr>
          <w:rFonts w:ascii="仿宋_GB2312" w:eastAsia="仿宋_GB2312"/>
          <w:color w:val="000000"/>
          <w:sz w:val="32"/>
          <w:szCs w:val="32"/>
        </w:rPr>
        <w:t>《</w:t>
      </w:r>
      <w:r>
        <w:rPr>
          <w:rFonts w:hint="eastAsia" w:ascii="仿宋_GB2312" w:eastAsia="仿宋_GB2312"/>
          <w:color w:val="000000"/>
          <w:sz w:val="32"/>
          <w:szCs w:val="32"/>
        </w:rPr>
        <w:t>绿色</w:t>
      </w:r>
      <w:r>
        <w:rPr>
          <w:rFonts w:ascii="仿宋_GB2312" w:eastAsia="仿宋_GB2312"/>
          <w:color w:val="000000"/>
          <w:sz w:val="32"/>
          <w:szCs w:val="32"/>
        </w:rPr>
        <w:t>医院建筑评价标准》</w:t>
      </w:r>
      <w:r>
        <w:rPr>
          <w:rFonts w:hint="eastAsia" w:ascii="仿宋_GB2312" w:eastAsia="仿宋_GB2312"/>
          <w:color w:val="000000"/>
          <w:sz w:val="32"/>
          <w:szCs w:val="32"/>
        </w:rPr>
        <w:t>（GB/T</w:t>
      </w:r>
      <w:r>
        <w:rPr>
          <w:rFonts w:ascii="仿宋_GB2312" w:eastAsia="仿宋_GB2312"/>
          <w:color w:val="000000"/>
          <w:sz w:val="32"/>
          <w:szCs w:val="32"/>
        </w:rPr>
        <w:t>51153</w:t>
      </w:r>
      <w:r>
        <w:rPr>
          <w:rFonts w:hint="eastAsia" w:ascii="仿宋_GB2312" w:eastAsia="仿宋_GB2312"/>
          <w:color w:val="000000"/>
          <w:sz w:val="32"/>
          <w:szCs w:val="32"/>
        </w:rPr>
        <w:t>）等</w:t>
      </w:r>
      <w:r>
        <w:rPr>
          <w:rFonts w:ascii="仿宋_GB2312" w:eastAsia="仿宋_GB2312"/>
          <w:color w:val="000000"/>
          <w:sz w:val="32"/>
          <w:szCs w:val="32"/>
        </w:rPr>
        <w:t>专项标准</w:t>
      </w:r>
      <w:r>
        <w:rPr>
          <w:rFonts w:hint="eastAsia" w:ascii="仿宋_GB2312" w:eastAsia="仿宋_GB2312"/>
          <w:color w:val="000000"/>
          <w:sz w:val="32"/>
          <w:szCs w:val="32"/>
        </w:rPr>
        <w:t>并取</w:t>
      </w:r>
      <w:r>
        <w:rPr>
          <w:rFonts w:ascii="仿宋_GB2312" w:eastAsia="仿宋_GB2312"/>
          <w:color w:val="000000"/>
          <w:sz w:val="32"/>
          <w:szCs w:val="32"/>
        </w:rPr>
        <w:t>得二星级、三星级绿色建筑运行标识的</w:t>
      </w:r>
      <w:r>
        <w:rPr>
          <w:rFonts w:hint="eastAsia" w:ascii="仿宋_GB2312" w:eastAsia="仿宋_GB2312"/>
          <w:color w:val="000000"/>
          <w:sz w:val="32"/>
          <w:szCs w:val="32"/>
        </w:rPr>
        <w:t>项目</w:t>
      </w:r>
      <w:r>
        <w:rPr>
          <w:rFonts w:ascii="仿宋_GB2312" w:eastAsia="仿宋_GB2312"/>
          <w:color w:val="000000"/>
          <w:sz w:val="32"/>
          <w:szCs w:val="32"/>
        </w:rPr>
        <w:t>分别给予</w:t>
      </w:r>
      <w:r>
        <w:rPr>
          <w:rFonts w:hint="eastAsia" w:ascii="仿宋_GB2312" w:eastAsia="仿宋_GB2312"/>
          <w:color w:val="000000"/>
          <w:sz w:val="32"/>
          <w:szCs w:val="32"/>
        </w:rPr>
        <w:t>50元/平方米</w:t>
      </w:r>
      <w:r>
        <w:rPr>
          <w:rFonts w:ascii="仿宋_GB2312" w:eastAsia="仿宋_GB2312"/>
          <w:color w:val="000000"/>
          <w:sz w:val="32"/>
          <w:szCs w:val="32"/>
        </w:rPr>
        <w:t>、</w:t>
      </w:r>
      <w:r>
        <w:rPr>
          <w:rFonts w:hint="eastAsia" w:ascii="仿宋_GB2312" w:eastAsia="仿宋_GB2312"/>
          <w:color w:val="000000"/>
          <w:sz w:val="32"/>
          <w:szCs w:val="32"/>
        </w:rPr>
        <w:t>80元/平方米</w:t>
      </w:r>
      <w:r>
        <w:rPr>
          <w:rFonts w:ascii="仿宋_GB2312" w:eastAsia="仿宋_GB2312"/>
          <w:color w:val="000000"/>
          <w:sz w:val="32"/>
          <w:szCs w:val="32"/>
        </w:rPr>
        <w:t>的奖励资金，</w:t>
      </w:r>
      <w:r>
        <w:rPr>
          <w:rFonts w:hint="eastAsia" w:ascii="仿宋_GB2312" w:eastAsia="仿宋_GB2312"/>
          <w:color w:val="000000"/>
          <w:sz w:val="32"/>
          <w:szCs w:val="32"/>
        </w:rPr>
        <w:t>单个项目最高奖励不超过</w:t>
      </w:r>
      <w:r>
        <w:rPr>
          <w:rFonts w:ascii="仿宋_GB2312" w:eastAsia="仿宋_GB2312"/>
          <w:color w:val="000000"/>
          <w:sz w:val="32"/>
          <w:szCs w:val="32"/>
        </w:rPr>
        <w:t>800</w:t>
      </w:r>
      <w:r>
        <w:rPr>
          <w:rFonts w:hint="eastAsia" w:ascii="仿宋_GB2312" w:eastAsia="仿宋_GB2312"/>
          <w:color w:val="000000"/>
          <w:sz w:val="32"/>
          <w:szCs w:val="32"/>
        </w:rPr>
        <w:t>万元。建设用地规划条件中明确绿色建筑建设目标的项目，获得高于规定星级的绿色建筑运</w:t>
      </w:r>
      <w:r>
        <w:rPr>
          <w:rFonts w:ascii="仿宋_GB2312" w:eastAsia="仿宋_GB2312"/>
          <w:color w:val="000000"/>
          <w:sz w:val="32"/>
          <w:szCs w:val="32"/>
        </w:rPr>
        <w:t>行</w:t>
      </w:r>
      <w:r>
        <w:rPr>
          <w:rFonts w:hint="eastAsia" w:ascii="仿宋_GB2312" w:eastAsia="仿宋_GB2312"/>
          <w:color w:val="000000"/>
          <w:sz w:val="32"/>
          <w:szCs w:val="32"/>
        </w:rPr>
        <w:t>标识方可纳入奖励支持范围。2016年4月1日前取得</w:t>
      </w:r>
      <w:r>
        <w:rPr>
          <w:rFonts w:ascii="仿宋_GB2312" w:eastAsia="仿宋_GB2312"/>
          <w:color w:val="000000"/>
          <w:sz w:val="32"/>
          <w:szCs w:val="32"/>
        </w:rPr>
        <w:t>建设</w:t>
      </w:r>
      <w:r>
        <w:rPr>
          <w:rFonts w:hint="eastAsia" w:ascii="仿宋_GB2312" w:eastAsia="仿宋_GB2312"/>
          <w:color w:val="000000"/>
          <w:sz w:val="32"/>
          <w:szCs w:val="32"/>
        </w:rPr>
        <w:t>工程</w:t>
      </w:r>
      <w:r>
        <w:rPr>
          <w:rFonts w:ascii="仿宋_GB2312" w:eastAsia="仿宋_GB2312"/>
          <w:color w:val="000000"/>
          <w:sz w:val="32"/>
          <w:szCs w:val="32"/>
        </w:rPr>
        <w:t>规划许可证</w:t>
      </w:r>
      <w:r>
        <w:rPr>
          <w:rFonts w:hint="eastAsia" w:ascii="仿宋_GB2312" w:eastAsia="仿宋_GB2312"/>
          <w:color w:val="000000"/>
          <w:sz w:val="32"/>
          <w:szCs w:val="32"/>
        </w:rPr>
        <w:t>、并依据北京市《绿色建筑评价标准》（DB11/T825-2011）获得绿色建筑二、三星级运行标识的项目分别给予11.25元/平方米、20元/平方米的</w:t>
      </w:r>
      <w:r>
        <w:rPr>
          <w:rFonts w:ascii="仿宋_GB2312" w:eastAsia="仿宋_GB2312"/>
          <w:color w:val="000000"/>
          <w:sz w:val="32"/>
          <w:szCs w:val="32"/>
        </w:rPr>
        <w:t>奖励</w:t>
      </w:r>
      <w:r>
        <w:rPr>
          <w:rFonts w:hint="eastAsia" w:ascii="仿宋_GB2312" w:eastAsia="仿宋_GB2312"/>
          <w:color w:val="000000"/>
          <w:sz w:val="32"/>
          <w:szCs w:val="32"/>
        </w:rPr>
        <w:t>资金。奖励资金主要用于补贴绿色建筑咨询、建设或改</w:t>
      </w:r>
      <w:r>
        <w:rPr>
          <w:rFonts w:ascii="仿宋_GB2312" w:eastAsia="仿宋_GB2312"/>
          <w:color w:val="000000"/>
          <w:sz w:val="32"/>
          <w:szCs w:val="32"/>
        </w:rPr>
        <w:t>造</w:t>
      </w:r>
      <w:r>
        <w:rPr>
          <w:rFonts w:hint="eastAsia" w:ascii="仿宋_GB2312" w:eastAsia="仿宋_GB2312"/>
          <w:color w:val="000000"/>
          <w:sz w:val="32"/>
          <w:szCs w:val="32"/>
        </w:rPr>
        <w:t>增量成本及能效测评等方面。</w:t>
      </w:r>
    </w:p>
    <w:p>
      <w:pPr>
        <w:adjustRightInd w:val="0"/>
        <w:snapToGrid w:val="0"/>
        <w:spacing w:line="560" w:lineRule="exact"/>
        <w:ind w:firstLine="640" w:firstLineChars="200"/>
        <w:rPr>
          <w:rFonts w:ascii="仿宋_GB2312" w:eastAsia="仿宋_GB2312"/>
          <w:color w:val="000000"/>
          <w:sz w:val="32"/>
          <w:szCs w:val="32"/>
        </w:rPr>
      </w:pPr>
      <w:r>
        <w:rPr>
          <w:rFonts w:hint="eastAsia" w:ascii="黑体" w:hAnsi="黑体" w:eastAsia="黑体"/>
          <w:b w:val="0"/>
          <w:bCs w:val="0"/>
          <w:sz w:val="32"/>
          <w:szCs w:val="32"/>
          <w:lang w:eastAsia="zh-CN"/>
        </w:rPr>
        <w:t>（</w:t>
      </w:r>
      <w:r>
        <w:rPr>
          <w:rFonts w:hint="eastAsia" w:ascii="黑体" w:hAnsi="黑体" w:eastAsia="黑体"/>
          <w:b w:val="0"/>
          <w:bCs w:val="0"/>
          <w:sz w:val="32"/>
          <w:szCs w:val="32"/>
          <w:lang w:val="en-US" w:eastAsia="zh-CN"/>
        </w:rPr>
        <w:t>失效）</w:t>
      </w:r>
      <w:r>
        <w:rPr>
          <w:rFonts w:hint="eastAsia" w:ascii="黑体" w:hAnsi="黑体" w:eastAsia="黑体"/>
          <w:color w:val="000000"/>
          <w:sz w:val="32"/>
          <w:szCs w:val="32"/>
        </w:rPr>
        <w:t>第九条</w:t>
      </w:r>
      <w:r>
        <w:rPr>
          <w:rFonts w:hint="eastAsia" w:ascii="仿宋_GB2312" w:eastAsia="仿宋_GB2312"/>
          <w:color w:val="000000"/>
          <w:sz w:val="32"/>
          <w:szCs w:val="32"/>
        </w:rPr>
        <w:t xml:space="preserve"> 已享受奖励资金的装配式建筑项目，又取得二星级、三星级绿色建筑运行标识的，分别再给予30元/平方米、60元/平方米的奖励资金，单个项目再奖励资金最高不超过500万元。</w:t>
      </w:r>
    </w:p>
    <w:p>
      <w:pPr>
        <w:adjustRightInd w:val="0"/>
        <w:snapToGrid w:val="0"/>
        <w:spacing w:line="560" w:lineRule="exact"/>
        <w:ind w:firstLine="598" w:firstLineChars="187"/>
        <w:rPr>
          <w:rFonts w:ascii="仿宋_GB2312" w:eastAsia="仿宋_GB2312"/>
          <w:sz w:val="32"/>
          <w:szCs w:val="32"/>
        </w:rPr>
      </w:pPr>
      <w:r>
        <w:rPr>
          <w:rFonts w:hint="eastAsia" w:ascii="黑体" w:hAnsi="黑体" w:eastAsia="黑体"/>
          <w:b w:val="0"/>
          <w:bCs w:val="0"/>
          <w:sz w:val="32"/>
          <w:szCs w:val="32"/>
          <w:lang w:eastAsia="zh-CN"/>
        </w:rPr>
        <w:t>（</w:t>
      </w:r>
      <w:r>
        <w:rPr>
          <w:rFonts w:hint="eastAsia" w:ascii="黑体" w:hAnsi="黑体" w:eastAsia="黑体"/>
          <w:b w:val="0"/>
          <w:bCs w:val="0"/>
          <w:sz w:val="32"/>
          <w:szCs w:val="32"/>
          <w:lang w:val="en-US" w:eastAsia="zh-CN"/>
        </w:rPr>
        <w:t>失效）</w:t>
      </w:r>
      <w:r>
        <w:rPr>
          <w:rFonts w:hint="eastAsia" w:ascii="黑体" w:hAnsi="黑体" w:eastAsia="黑体"/>
          <w:sz w:val="32"/>
          <w:szCs w:val="32"/>
        </w:rPr>
        <w:t>第十条</w:t>
      </w:r>
      <w:r>
        <w:rPr>
          <w:rFonts w:hint="eastAsia" w:ascii="仿宋_GB2312" w:eastAsia="仿宋_GB2312"/>
          <w:sz w:val="32"/>
          <w:szCs w:val="32"/>
        </w:rPr>
        <w:t xml:space="preserve"> 对绿色生态示范区给予财政奖励。绿色生态示范区奖励资金总额为300万元。满足条件的绿色生态示范区经评审通过后，给予奖励资金200万元；项目开工或改造更新规模达到50%后，并通过规划建设绩效评价，再给予奖励资金100万元。奖励资金主要用于示范区绿色生态规划建设、改造更新和环境提升，包括规划编制、设计咨询、运营管理、绩效评价、数据采集等。</w:t>
      </w:r>
    </w:p>
    <w:p>
      <w:pPr>
        <w:adjustRightInd w:val="0"/>
        <w:snapToGrid w:val="0"/>
        <w:spacing w:line="560" w:lineRule="exact"/>
        <w:ind w:firstLine="640" w:firstLineChars="200"/>
        <w:rPr>
          <w:rFonts w:ascii="仿宋_GB2312" w:eastAsia="仿宋_GB2312"/>
          <w:sz w:val="32"/>
          <w:szCs w:val="32"/>
        </w:rPr>
      </w:pPr>
    </w:p>
    <w:p>
      <w:pPr>
        <w:adjustRightInd w:val="0"/>
        <w:snapToGrid w:val="0"/>
        <w:spacing w:line="560" w:lineRule="exact"/>
        <w:jc w:val="center"/>
        <w:rPr>
          <w:rFonts w:hint="eastAsia" w:ascii="黑体" w:eastAsia="黑体"/>
          <w:sz w:val="32"/>
          <w:szCs w:val="32"/>
        </w:rPr>
      </w:pPr>
      <w:r>
        <w:rPr>
          <w:rFonts w:hint="eastAsia" w:ascii="黑体" w:eastAsia="黑体"/>
          <w:sz w:val="32"/>
          <w:szCs w:val="32"/>
        </w:rPr>
        <w:t>第三章 装配</w:t>
      </w:r>
      <w:r>
        <w:rPr>
          <w:rFonts w:ascii="黑体" w:eastAsia="黑体"/>
          <w:sz w:val="32"/>
          <w:szCs w:val="32"/>
        </w:rPr>
        <w:t>式建筑</w:t>
      </w:r>
      <w:r>
        <w:rPr>
          <w:rFonts w:hint="eastAsia" w:ascii="黑体" w:eastAsia="黑体"/>
          <w:sz w:val="32"/>
          <w:szCs w:val="32"/>
        </w:rPr>
        <w:t>奖励项目申报和管理</w:t>
      </w:r>
    </w:p>
    <w:p>
      <w:pPr>
        <w:adjustRightInd w:val="0"/>
        <w:snapToGrid w:val="0"/>
        <w:spacing w:line="560" w:lineRule="exact"/>
        <w:jc w:val="center"/>
        <w:rPr>
          <w:rFonts w:ascii="黑体" w:eastAsia="黑体"/>
          <w:sz w:val="32"/>
          <w:szCs w:val="32"/>
        </w:rPr>
      </w:pPr>
    </w:p>
    <w:p>
      <w:pPr>
        <w:widowControl/>
        <w:tabs>
          <w:tab w:val="left" w:pos="7513"/>
        </w:tabs>
        <w:adjustRightInd w:val="0"/>
        <w:snapToGrid w:val="0"/>
        <w:spacing w:line="560" w:lineRule="exact"/>
        <w:ind w:firstLine="640" w:firstLineChars="200"/>
        <w:rPr>
          <w:rFonts w:ascii="仿宋_GB2312" w:eastAsia="仿宋_GB2312"/>
          <w:sz w:val="32"/>
          <w:szCs w:val="32"/>
        </w:rPr>
      </w:pPr>
      <w:r>
        <w:rPr>
          <w:rFonts w:hint="eastAsia" w:ascii="黑体" w:hAnsi="黑体" w:eastAsia="黑体"/>
          <w:b w:val="0"/>
          <w:bCs w:val="0"/>
          <w:sz w:val="32"/>
          <w:szCs w:val="32"/>
          <w:lang w:eastAsia="zh-CN"/>
        </w:rPr>
        <w:t>（</w:t>
      </w:r>
      <w:r>
        <w:rPr>
          <w:rFonts w:hint="eastAsia" w:ascii="黑体" w:hAnsi="黑体" w:eastAsia="黑体"/>
          <w:b w:val="0"/>
          <w:bCs w:val="0"/>
          <w:sz w:val="32"/>
          <w:szCs w:val="32"/>
          <w:lang w:val="en-US" w:eastAsia="zh-CN"/>
        </w:rPr>
        <w:t>失效）</w:t>
      </w:r>
      <w:r>
        <w:rPr>
          <w:rFonts w:hint="eastAsia" w:ascii="黑体" w:hAnsi="黑体" w:eastAsia="黑体"/>
          <w:sz w:val="32"/>
          <w:szCs w:val="32"/>
        </w:rPr>
        <w:t>第十一条</w:t>
      </w:r>
      <w:r>
        <w:rPr>
          <w:rFonts w:hint="eastAsia" w:ascii="仿宋_GB2312" w:eastAsia="仿宋_GB2312"/>
          <w:sz w:val="32"/>
          <w:szCs w:val="32"/>
        </w:rPr>
        <w:t xml:space="preserve"> 装配式建筑奖励项目申报单位为建设单位。申报项目应依法依规办理开工手续；2016年1月1日至2020年4月30日取得开工手续的项目应在2020年8月31日前进行申报，2020年5月1日后取得开工手续的项目应在首层楼地面施工前进行申报。</w:t>
      </w:r>
    </w:p>
    <w:p>
      <w:pPr>
        <w:widowControl/>
        <w:tabs>
          <w:tab w:val="left" w:pos="7513"/>
        </w:tabs>
        <w:adjustRightInd w:val="0"/>
        <w:snapToGrid w:val="0"/>
        <w:spacing w:line="560" w:lineRule="exact"/>
        <w:ind w:firstLine="640" w:firstLineChars="200"/>
        <w:rPr>
          <w:rFonts w:ascii="仿宋_GB2312" w:eastAsia="仿宋_GB2312"/>
          <w:sz w:val="32"/>
          <w:szCs w:val="32"/>
        </w:rPr>
      </w:pPr>
      <w:r>
        <w:rPr>
          <w:rFonts w:hint="eastAsia" w:ascii="黑体" w:hAnsi="黑体" w:eastAsia="黑体"/>
          <w:b w:val="0"/>
          <w:bCs w:val="0"/>
          <w:sz w:val="32"/>
          <w:szCs w:val="32"/>
          <w:lang w:eastAsia="zh-CN"/>
        </w:rPr>
        <w:t>（</w:t>
      </w:r>
      <w:r>
        <w:rPr>
          <w:rFonts w:hint="eastAsia" w:ascii="黑体" w:hAnsi="黑体" w:eastAsia="黑体"/>
          <w:b w:val="0"/>
          <w:bCs w:val="0"/>
          <w:sz w:val="32"/>
          <w:szCs w:val="32"/>
          <w:lang w:val="en-US" w:eastAsia="zh-CN"/>
        </w:rPr>
        <w:t>失效）</w:t>
      </w:r>
      <w:r>
        <w:rPr>
          <w:rFonts w:hint="eastAsia" w:ascii="黑体" w:hAnsi="黑体" w:eastAsia="黑体"/>
          <w:sz w:val="32"/>
          <w:szCs w:val="32"/>
        </w:rPr>
        <w:t>第十二条</w:t>
      </w:r>
      <w:r>
        <w:rPr>
          <w:rFonts w:hint="eastAsia" w:ascii="仿宋_GB2312" w:eastAsia="仿宋_GB2312"/>
          <w:sz w:val="32"/>
          <w:szCs w:val="32"/>
        </w:rPr>
        <w:t xml:space="preserve"> 申报单位登录北京市住房和城乡建设委员会网上办事大厅的“北京市装配式建筑项目管理服务平台”（以下简称“平台”）在线填写《北京市装配式建筑项目财政奖励资金申报书》，上传项目开工或竣工手续证明文件、</w:t>
      </w:r>
      <w:r>
        <w:rPr>
          <w:rFonts w:hint="eastAsia" w:ascii="仿宋_GB2312" w:hAnsi="仿宋_GB2312" w:eastAsia="仿宋_GB2312" w:cs="仿宋_GB2312"/>
          <w:sz w:val="32"/>
          <w:szCs w:val="32"/>
        </w:rPr>
        <w:t>装配式建筑技术方案</w:t>
      </w:r>
      <w:r>
        <w:rPr>
          <w:rFonts w:hint="eastAsia" w:ascii="仿宋_GB2312" w:eastAsia="仿宋_GB2312"/>
          <w:sz w:val="32"/>
          <w:szCs w:val="32"/>
        </w:rPr>
        <w:t>专家评审意见、申请奖励各单体的预制率和装配率承诺书、装配式建筑技术配置表等材料。</w:t>
      </w:r>
    </w:p>
    <w:p>
      <w:pPr>
        <w:widowControl/>
        <w:tabs>
          <w:tab w:val="left" w:pos="7513"/>
        </w:tabs>
        <w:adjustRightInd w:val="0"/>
        <w:snapToGrid w:val="0"/>
        <w:spacing w:line="560" w:lineRule="exact"/>
        <w:ind w:firstLine="640" w:firstLineChars="200"/>
        <w:rPr>
          <w:rFonts w:ascii="仿宋_GB2312" w:eastAsia="仿宋_GB2312"/>
          <w:sz w:val="32"/>
          <w:szCs w:val="32"/>
        </w:rPr>
      </w:pPr>
      <w:r>
        <w:rPr>
          <w:rFonts w:hint="eastAsia" w:ascii="黑体" w:hAnsi="黑体" w:eastAsia="黑体"/>
          <w:b w:val="0"/>
          <w:bCs w:val="0"/>
          <w:sz w:val="32"/>
          <w:szCs w:val="32"/>
          <w:lang w:eastAsia="zh-CN"/>
        </w:rPr>
        <w:t>（</w:t>
      </w:r>
      <w:r>
        <w:rPr>
          <w:rFonts w:hint="eastAsia" w:ascii="黑体" w:hAnsi="黑体" w:eastAsia="黑体"/>
          <w:b w:val="0"/>
          <w:bCs w:val="0"/>
          <w:sz w:val="32"/>
          <w:szCs w:val="32"/>
          <w:lang w:val="en-US" w:eastAsia="zh-CN"/>
        </w:rPr>
        <w:t>失效）</w:t>
      </w:r>
      <w:r>
        <w:rPr>
          <w:rFonts w:hint="eastAsia" w:ascii="黑体" w:hAnsi="黑体" w:eastAsia="黑体"/>
          <w:sz w:val="32"/>
          <w:szCs w:val="32"/>
        </w:rPr>
        <w:t>第十三条</w:t>
      </w:r>
      <w:r>
        <w:rPr>
          <w:rFonts w:hint="eastAsia" w:ascii="仿宋_GB2312" w:eastAsia="仿宋_GB2312"/>
          <w:sz w:val="32"/>
          <w:szCs w:val="32"/>
        </w:rPr>
        <w:t xml:space="preserve"> 区住房城乡（市）建设委对装配式建筑奖励项目基</w:t>
      </w:r>
      <w:r>
        <w:rPr>
          <w:rFonts w:ascii="仿宋_GB2312" w:eastAsia="仿宋_GB2312"/>
          <w:sz w:val="32"/>
          <w:szCs w:val="32"/>
        </w:rPr>
        <w:t>本</w:t>
      </w:r>
      <w:r>
        <w:rPr>
          <w:rFonts w:hint="eastAsia" w:ascii="仿宋_GB2312" w:eastAsia="仿宋_GB2312"/>
          <w:sz w:val="32"/>
          <w:szCs w:val="32"/>
        </w:rPr>
        <w:t>情况进行核实，</w:t>
      </w:r>
      <w:r>
        <w:rPr>
          <w:rFonts w:ascii="仿宋_GB2312" w:eastAsia="仿宋_GB2312"/>
          <w:sz w:val="32"/>
          <w:szCs w:val="32"/>
        </w:rPr>
        <w:t>核实</w:t>
      </w:r>
      <w:r>
        <w:rPr>
          <w:rFonts w:hint="eastAsia" w:ascii="仿宋_GB2312" w:eastAsia="仿宋_GB2312"/>
          <w:sz w:val="32"/>
          <w:szCs w:val="32"/>
        </w:rPr>
        <w:t>无异议的，通过平台将申报材料及审核意见提交至市住房城乡建设委；项目实施过程中会同市、区行</w:t>
      </w:r>
      <w:r>
        <w:rPr>
          <w:rFonts w:ascii="仿宋_GB2312" w:eastAsia="仿宋_GB2312"/>
          <w:sz w:val="32"/>
          <w:szCs w:val="32"/>
        </w:rPr>
        <w:t>政主管部门</w:t>
      </w:r>
      <w:r>
        <w:rPr>
          <w:rFonts w:hint="eastAsia" w:ascii="仿宋_GB2312" w:eastAsia="仿宋_GB2312"/>
          <w:sz w:val="32"/>
          <w:szCs w:val="32"/>
        </w:rPr>
        <w:t>不定期检查项目实施装配式建筑的情况。</w:t>
      </w:r>
    </w:p>
    <w:p>
      <w:pPr>
        <w:widowControl/>
        <w:tabs>
          <w:tab w:val="left" w:pos="7513"/>
        </w:tabs>
        <w:adjustRightInd w:val="0"/>
        <w:snapToGrid w:val="0"/>
        <w:spacing w:line="560" w:lineRule="exact"/>
        <w:ind w:firstLine="640" w:firstLineChars="200"/>
        <w:rPr>
          <w:rFonts w:ascii="仿宋_GB2312" w:eastAsia="仿宋_GB2312"/>
          <w:sz w:val="32"/>
          <w:szCs w:val="32"/>
        </w:rPr>
      </w:pPr>
      <w:r>
        <w:rPr>
          <w:rFonts w:hint="eastAsia" w:ascii="黑体" w:hAnsi="黑体" w:eastAsia="黑体"/>
          <w:b w:val="0"/>
          <w:bCs w:val="0"/>
          <w:sz w:val="32"/>
          <w:szCs w:val="32"/>
          <w:lang w:eastAsia="zh-CN"/>
        </w:rPr>
        <w:t>（</w:t>
      </w:r>
      <w:r>
        <w:rPr>
          <w:rFonts w:hint="eastAsia" w:ascii="黑体" w:hAnsi="黑体" w:eastAsia="黑体"/>
          <w:b w:val="0"/>
          <w:bCs w:val="0"/>
          <w:sz w:val="32"/>
          <w:szCs w:val="32"/>
          <w:lang w:val="en-US" w:eastAsia="zh-CN"/>
        </w:rPr>
        <w:t>失效）</w:t>
      </w:r>
      <w:r>
        <w:rPr>
          <w:rFonts w:hint="eastAsia" w:ascii="黑体" w:hAnsi="黑体" w:eastAsia="黑体"/>
          <w:sz w:val="32"/>
          <w:szCs w:val="32"/>
        </w:rPr>
        <w:t>第十四条</w:t>
      </w:r>
      <w:r>
        <w:rPr>
          <w:rFonts w:hint="eastAsia" w:ascii="仿宋_GB2312" w:eastAsia="仿宋_GB2312"/>
          <w:sz w:val="32"/>
          <w:szCs w:val="32"/>
        </w:rPr>
        <w:t xml:space="preserve"> 申报单位应在项目主体结构验收前组织预制率验收，形成装配式建筑预制率验收表；在竣工验收阶段组织装配率验收，形成装配式建筑装配率验收表，并将装配式建筑实施情况纳入工程竣工验收报告；在项目竣工备案或联合验收后，将实施装配式建筑情况报告、申请奖励各单体项目的预制率和装配率验收表、竣工备案表或联合验收表等材料上传至平台。</w:t>
      </w:r>
    </w:p>
    <w:p>
      <w:pPr>
        <w:widowControl/>
        <w:tabs>
          <w:tab w:val="left" w:pos="7513"/>
        </w:tabs>
        <w:adjustRightInd w:val="0"/>
        <w:snapToGrid w:val="0"/>
        <w:spacing w:line="560" w:lineRule="exact"/>
        <w:ind w:firstLine="640" w:firstLineChars="200"/>
        <w:rPr>
          <w:rFonts w:ascii="黑体" w:eastAsia="黑体"/>
          <w:sz w:val="32"/>
          <w:szCs w:val="32"/>
        </w:rPr>
      </w:pPr>
      <w:r>
        <w:rPr>
          <w:rFonts w:hint="eastAsia" w:ascii="黑体" w:hAnsi="黑体" w:eastAsia="黑体"/>
          <w:b w:val="0"/>
          <w:bCs w:val="0"/>
          <w:sz w:val="32"/>
          <w:szCs w:val="32"/>
          <w:lang w:eastAsia="zh-CN"/>
        </w:rPr>
        <w:t>（</w:t>
      </w:r>
      <w:r>
        <w:rPr>
          <w:rFonts w:hint="eastAsia" w:ascii="黑体" w:hAnsi="黑体" w:eastAsia="黑体"/>
          <w:b w:val="0"/>
          <w:bCs w:val="0"/>
          <w:sz w:val="32"/>
          <w:szCs w:val="32"/>
          <w:lang w:val="en-US" w:eastAsia="zh-CN"/>
        </w:rPr>
        <w:t>失效）</w:t>
      </w:r>
      <w:r>
        <w:rPr>
          <w:rFonts w:hint="eastAsia" w:ascii="黑体" w:hAnsi="黑体" w:eastAsia="黑体"/>
          <w:sz w:val="32"/>
          <w:szCs w:val="32"/>
        </w:rPr>
        <w:t>第十五条</w:t>
      </w:r>
      <w:r>
        <w:rPr>
          <w:rFonts w:hint="eastAsia" w:ascii="仿宋_GB2312" w:eastAsia="仿宋_GB2312"/>
          <w:sz w:val="32"/>
          <w:szCs w:val="32"/>
        </w:rPr>
        <w:t xml:space="preserve"> 区住房城乡（市）建设委对项目基</w:t>
      </w:r>
      <w:r>
        <w:rPr>
          <w:rFonts w:ascii="仿宋_GB2312" w:eastAsia="仿宋_GB2312"/>
          <w:sz w:val="32"/>
          <w:szCs w:val="32"/>
        </w:rPr>
        <w:t>本</w:t>
      </w:r>
      <w:r>
        <w:rPr>
          <w:rFonts w:hint="eastAsia" w:ascii="仿宋_GB2312" w:eastAsia="仿宋_GB2312"/>
          <w:sz w:val="32"/>
          <w:szCs w:val="32"/>
        </w:rPr>
        <w:t>情况进行核实，将符合条件的项目通过平台提交至市住房城乡建设委。市住房城乡建设委会同市、区行</w:t>
      </w:r>
      <w:r>
        <w:rPr>
          <w:rFonts w:ascii="仿宋_GB2312" w:eastAsia="仿宋_GB2312"/>
          <w:sz w:val="32"/>
          <w:szCs w:val="32"/>
        </w:rPr>
        <w:t>政主管部门</w:t>
      </w:r>
      <w:r>
        <w:rPr>
          <w:rFonts w:hint="eastAsia" w:ascii="仿宋_GB2312" w:eastAsia="仿宋_GB2312"/>
          <w:sz w:val="32"/>
          <w:szCs w:val="32"/>
        </w:rPr>
        <w:t>组织专家对申报项目进行现场核查和专家评审。经专家评审通过的</w:t>
      </w:r>
      <w:r>
        <w:rPr>
          <w:rFonts w:ascii="仿宋_GB2312" w:eastAsia="仿宋_GB2312"/>
          <w:sz w:val="32"/>
          <w:szCs w:val="32"/>
        </w:rPr>
        <w:t>项目</w:t>
      </w:r>
      <w:r>
        <w:rPr>
          <w:rFonts w:hint="eastAsia" w:ascii="仿宋_GB2312" w:eastAsia="仿宋_GB2312"/>
          <w:sz w:val="32"/>
          <w:szCs w:val="32"/>
        </w:rPr>
        <w:t>和</w:t>
      </w:r>
      <w:r>
        <w:rPr>
          <w:rFonts w:ascii="仿宋_GB2312" w:eastAsia="仿宋_GB2312"/>
          <w:sz w:val="32"/>
          <w:szCs w:val="32"/>
        </w:rPr>
        <w:t>金额在市住房城乡建设委网站公示。经公示无异议后，</w:t>
      </w:r>
      <w:r>
        <w:rPr>
          <w:rFonts w:hint="eastAsia" w:ascii="仿宋_GB2312" w:eastAsia="仿宋_GB2312"/>
          <w:sz w:val="32"/>
          <w:szCs w:val="32"/>
        </w:rPr>
        <w:t>区住房城乡（市）建设委会同区财政局向市住房城乡建设委提出资金拨付申请，市住房城乡建设委于每年9月底前将各区奖励项目资金拨付申请汇总后提交至市财政局。</w:t>
      </w:r>
    </w:p>
    <w:p>
      <w:pPr>
        <w:widowControl/>
        <w:adjustRightInd w:val="0"/>
        <w:snapToGrid w:val="0"/>
        <w:spacing w:line="560" w:lineRule="exact"/>
        <w:ind w:firstLine="640" w:firstLineChars="200"/>
        <w:rPr>
          <w:rFonts w:ascii="黑体" w:eastAsia="黑体"/>
          <w:sz w:val="32"/>
          <w:szCs w:val="32"/>
        </w:rPr>
      </w:pPr>
    </w:p>
    <w:p>
      <w:pPr>
        <w:adjustRightInd w:val="0"/>
        <w:snapToGrid w:val="0"/>
        <w:spacing w:line="560" w:lineRule="exact"/>
        <w:jc w:val="center"/>
        <w:rPr>
          <w:rFonts w:hint="eastAsia" w:ascii="黑体" w:eastAsia="黑体"/>
          <w:sz w:val="32"/>
          <w:szCs w:val="32"/>
        </w:rPr>
      </w:pPr>
      <w:r>
        <w:rPr>
          <w:rFonts w:hint="eastAsia" w:ascii="黑体" w:eastAsia="黑体"/>
          <w:sz w:val="32"/>
          <w:szCs w:val="32"/>
        </w:rPr>
        <w:t>第四章 绿色</w:t>
      </w:r>
      <w:r>
        <w:rPr>
          <w:rFonts w:ascii="黑体" w:eastAsia="黑体"/>
          <w:sz w:val="32"/>
          <w:szCs w:val="32"/>
        </w:rPr>
        <w:t>建筑</w:t>
      </w:r>
      <w:r>
        <w:rPr>
          <w:rFonts w:hint="eastAsia" w:ascii="黑体" w:eastAsia="黑体"/>
          <w:sz w:val="32"/>
          <w:szCs w:val="32"/>
        </w:rPr>
        <w:t>奖励项目申报和管理</w:t>
      </w:r>
    </w:p>
    <w:p>
      <w:pPr>
        <w:adjustRightInd w:val="0"/>
        <w:snapToGrid w:val="0"/>
        <w:spacing w:line="560" w:lineRule="exact"/>
        <w:jc w:val="center"/>
        <w:rPr>
          <w:rFonts w:ascii="黑体" w:eastAsia="黑体"/>
          <w:sz w:val="32"/>
          <w:szCs w:val="32"/>
        </w:rPr>
      </w:pPr>
    </w:p>
    <w:p>
      <w:pPr>
        <w:widowControl/>
        <w:tabs>
          <w:tab w:val="left" w:pos="7513"/>
        </w:tabs>
        <w:adjustRightInd w:val="0"/>
        <w:snapToGrid w:val="0"/>
        <w:spacing w:line="560" w:lineRule="exact"/>
        <w:ind w:firstLine="640" w:firstLineChars="200"/>
        <w:rPr>
          <w:rFonts w:ascii="仿宋_GB2312" w:eastAsia="仿宋_GB2312"/>
          <w:sz w:val="32"/>
          <w:szCs w:val="32"/>
        </w:rPr>
      </w:pPr>
      <w:r>
        <w:rPr>
          <w:rFonts w:hint="eastAsia" w:ascii="黑体" w:hAnsi="黑体" w:eastAsia="黑体"/>
          <w:b w:val="0"/>
          <w:bCs w:val="0"/>
          <w:sz w:val="32"/>
          <w:szCs w:val="32"/>
          <w:lang w:eastAsia="zh-CN"/>
        </w:rPr>
        <w:t>（</w:t>
      </w:r>
      <w:r>
        <w:rPr>
          <w:rFonts w:hint="eastAsia" w:ascii="黑体" w:hAnsi="黑体" w:eastAsia="黑体"/>
          <w:b w:val="0"/>
          <w:bCs w:val="0"/>
          <w:sz w:val="32"/>
          <w:szCs w:val="32"/>
          <w:lang w:val="en-US" w:eastAsia="zh-CN"/>
        </w:rPr>
        <w:t>失效）</w:t>
      </w:r>
      <w:r>
        <w:rPr>
          <w:rFonts w:hint="eastAsia" w:ascii="黑体" w:hAnsi="黑体" w:eastAsia="黑体"/>
          <w:sz w:val="32"/>
          <w:szCs w:val="32"/>
        </w:rPr>
        <w:t>第十六条</w:t>
      </w:r>
      <w:r>
        <w:rPr>
          <w:rFonts w:hint="eastAsia" w:ascii="仿宋_GB2312" w:eastAsia="仿宋_GB2312"/>
          <w:sz w:val="32"/>
          <w:szCs w:val="32"/>
        </w:rPr>
        <w:t xml:space="preserve"> 绿色建筑奖励项目申</w:t>
      </w:r>
      <w:r>
        <w:rPr>
          <w:rFonts w:ascii="仿宋_GB2312" w:eastAsia="仿宋_GB2312"/>
          <w:sz w:val="32"/>
          <w:szCs w:val="32"/>
        </w:rPr>
        <w:t>报单位</w:t>
      </w:r>
      <w:r>
        <w:rPr>
          <w:rFonts w:hint="eastAsia" w:ascii="仿宋_GB2312" w:eastAsia="仿宋_GB2312"/>
          <w:color w:val="000000"/>
          <w:sz w:val="32"/>
          <w:szCs w:val="32"/>
        </w:rPr>
        <w:t>为建设单位、业主单位（含业主</w:t>
      </w:r>
      <w:r>
        <w:rPr>
          <w:rFonts w:ascii="仿宋_GB2312" w:eastAsia="仿宋_GB2312"/>
          <w:color w:val="000000"/>
          <w:sz w:val="32"/>
          <w:szCs w:val="32"/>
        </w:rPr>
        <w:t>单位授权的物业管理单位</w:t>
      </w:r>
      <w:r>
        <w:rPr>
          <w:rFonts w:hint="eastAsia" w:ascii="仿宋_GB2312" w:eastAsia="仿宋_GB2312"/>
          <w:color w:val="000000"/>
          <w:sz w:val="32"/>
          <w:szCs w:val="32"/>
        </w:rPr>
        <w:t>）。</w:t>
      </w:r>
      <w:r>
        <w:rPr>
          <w:rFonts w:hint="eastAsia" w:ascii="仿宋_GB2312" w:eastAsia="仿宋_GB2312"/>
          <w:sz w:val="32"/>
          <w:szCs w:val="32"/>
        </w:rPr>
        <w:t>申报单位可</w:t>
      </w:r>
      <w:r>
        <w:rPr>
          <w:rFonts w:ascii="仿宋_GB2312" w:eastAsia="仿宋_GB2312"/>
          <w:sz w:val="32"/>
          <w:szCs w:val="32"/>
        </w:rPr>
        <w:t>于每年5</w:t>
      </w:r>
      <w:r>
        <w:rPr>
          <w:rFonts w:hint="eastAsia" w:ascii="仿宋_GB2312" w:eastAsia="仿宋_GB2312"/>
          <w:sz w:val="32"/>
          <w:szCs w:val="32"/>
        </w:rPr>
        <w:t>月</w:t>
      </w:r>
      <w:r>
        <w:rPr>
          <w:rFonts w:ascii="仿宋_GB2312" w:eastAsia="仿宋_GB2312"/>
          <w:sz w:val="32"/>
          <w:szCs w:val="32"/>
        </w:rPr>
        <w:t>底前</w:t>
      </w:r>
      <w:r>
        <w:rPr>
          <w:rFonts w:hint="eastAsia" w:ascii="仿宋_GB2312" w:eastAsia="仿宋_GB2312"/>
          <w:sz w:val="32"/>
          <w:szCs w:val="32"/>
        </w:rPr>
        <w:t>登录北京市住房和城乡建设委员会网上办事大厅的“北京市绿色建筑奖励资金申报系统”，在线填写《北京市绿色建筑标识项目财政奖励资金申报书》《北京市绿色建筑财政资金奖励项目年度绿色运营管理报表》，上传绿色建筑标识证书和其它相关材料。</w:t>
      </w:r>
    </w:p>
    <w:p>
      <w:pPr>
        <w:widowControl/>
        <w:tabs>
          <w:tab w:val="left" w:pos="7513"/>
        </w:tabs>
        <w:adjustRightInd w:val="0"/>
        <w:snapToGrid w:val="0"/>
        <w:spacing w:line="560" w:lineRule="exact"/>
        <w:ind w:firstLine="640" w:firstLineChars="200"/>
        <w:rPr>
          <w:rFonts w:ascii="仿宋_GB2312" w:eastAsia="仿宋_GB2312"/>
          <w:sz w:val="32"/>
          <w:szCs w:val="32"/>
        </w:rPr>
      </w:pPr>
      <w:r>
        <w:rPr>
          <w:rFonts w:hint="eastAsia" w:ascii="黑体" w:hAnsi="黑体" w:eastAsia="黑体"/>
          <w:b w:val="0"/>
          <w:bCs w:val="0"/>
          <w:sz w:val="32"/>
          <w:szCs w:val="32"/>
          <w:lang w:eastAsia="zh-CN"/>
        </w:rPr>
        <w:t>（</w:t>
      </w:r>
      <w:r>
        <w:rPr>
          <w:rFonts w:hint="eastAsia" w:ascii="黑体" w:hAnsi="黑体" w:eastAsia="黑体"/>
          <w:b w:val="0"/>
          <w:bCs w:val="0"/>
          <w:sz w:val="32"/>
          <w:szCs w:val="32"/>
          <w:lang w:val="en-US" w:eastAsia="zh-CN"/>
        </w:rPr>
        <w:t>失效）</w:t>
      </w:r>
      <w:r>
        <w:rPr>
          <w:rFonts w:hint="eastAsia" w:ascii="黑体" w:hAnsi="黑体" w:eastAsia="黑体"/>
          <w:sz w:val="32"/>
          <w:szCs w:val="32"/>
        </w:rPr>
        <w:t>第十七条</w:t>
      </w:r>
      <w:r>
        <w:rPr>
          <w:rFonts w:hint="eastAsia" w:ascii="仿宋_GB2312" w:eastAsia="仿宋_GB2312"/>
          <w:sz w:val="32"/>
          <w:szCs w:val="32"/>
        </w:rPr>
        <w:t xml:space="preserve"> 申报期结束后，区住房城乡（市）建设委应对绿色</w:t>
      </w:r>
      <w:r>
        <w:rPr>
          <w:rFonts w:ascii="仿宋_GB2312" w:eastAsia="仿宋_GB2312"/>
          <w:sz w:val="32"/>
          <w:szCs w:val="32"/>
        </w:rPr>
        <w:t>建筑标识</w:t>
      </w:r>
      <w:r>
        <w:rPr>
          <w:rFonts w:hint="eastAsia" w:ascii="仿宋_GB2312" w:eastAsia="仿宋_GB2312"/>
          <w:sz w:val="32"/>
          <w:szCs w:val="32"/>
        </w:rPr>
        <w:t>奖励项目基</w:t>
      </w:r>
      <w:r>
        <w:rPr>
          <w:rFonts w:ascii="仿宋_GB2312" w:eastAsia="仿宋_GB2312"/>
          <w:sz w:val="32"/>
          <w:szCs w:val="32"/>
        </w:rPr>
        <w:t>本</w:t>
      </w:r>
      <w:r>
        <w:rPr>
          <w:rFonts w:hint="eastAsia" w:ascii="仿宋_GB2312" w:eastAsia="仿宋_GB2312"/>
          <w:sz w:val="32"/>
          <w:szCs w:val="32"/>
        </w:rPr>
        <w:t>情况进行核实，</w:t>
      </w:r>
      <w:r>
        <w:rPr>
          <w:rFonts w:ascii="仿宋_GB2312" w:eastAsia="仿宋_GB2312"/>
          <w:sz w:val="32"/>
          <w:szCs w:val="32"/>
        </w:rPr>
        <w:t>核实</w:t>
      </w:r>
      <w:r>
        <w:rPr>
          <w:rFonts w:hint="eastAsia" w:ascii="仿宋_GB2312" w:eastAsia="仿宋_GB2312"/>
          <w:sz w:val="32"/>
          <w:szCs w:val="32"/>
        </w:rPr>
        <w:t>无异议的，由区住房城乡（市）建设委通过平台将《北京市绿色建筑标识项目财政奖励资金申报书》及审核意见上传至市住房城乡建设委。</w:t>
      </w:r>
      <w:r>
        <w:rPr>
          <w:rFonts w:ascii="仿宋_GB2312" w:eastAsia="仿宋_GB2312"/>
          <w:sz w:val="32"/>
          <w:szCs w:val="32"/>
        </w:rPr>
        <w:t>市住房城乡建设委对</w:t>
      </w:r>
      <w:r>
        <w:rPr>
          <w:rFonts w:hint="eastAsia" w:ascii="仿宋_GB2312" w:eastAsia="仿宋_GB2312"/>
          <w:sz w:val="32"/>
          <w:szCs w:val="32"/>
        </w:rPr>
        <w:t>《北京市绿色建筑标识项目财政奖励资金申报书》</w:t>
      </w:r>
      <w:r>
        <w:rPr>
          <w:rFonts w:ascii="仿宋_GB2312" w:eastAsia="仿宋_GB2312"/>
          <w:sz w:val="32"/>
          <w:szCs w:val="32"/>
        </w:rPr>
        <w:t>、绿色建筑标识证书及相关材料进行审核</w:t>
      </w:r>
      <w:r>
        <w:rPr>
          <w:rFonts w:hint="eastAsia" w:ascii="仿宋_GB2312" w:eastAsia="仿宋_GB2312"/>
          <w:sz w:val="32"/>
          <w:szCs w:val="32"/>
        </w:rPr>
        <w:t>，会</w:t>
      </w:r>
      <w:r>
        <w:rPr>
          <w:rFonts w:ascii="仿宋_GB2312" w:eastAsia="仿宋_GB2312"/>
          <w:sz w:val="32"/>
          <w:szCs w:val="32"/>
        </w:rPr>
        <w:t>同</w:t>
      </w:r>
      <w:r>
        <w:rPr>
          <w:rFonts w:hint="eastAsia" w:ascii="仿宋_GB2312" w:eastAsia="仿宋_GB2312"/>
          <w:sz w:val="32"/>
          <w:szCs w:val="32"/>
        </w:rPr>
        <w:t>市</w:t>
      </w:r>
      <w:r>
        <w:rPr>
          <w:rFonts w:ascii="仿宋_GB2312" w:eastAsia="仿宋_GB2312"/>
          <w:sz w:val="32"/>
          <w:szCs w:val="32"/>
        </w:rPr>
        <w:t>、区</w:t>
      </w:r>
      <w:r>
        <w:rPr>
          <w:rFonts w:hint="eastAsia" w:ascii="仿宋_GB2312" w:eastAsia="仿宋_GB2312"/>
          <w:sz w:val="32"/>
          <w:szCs w:val="32"/>
        </w:rPr>
        <w:t>相关行</w:t>
      </w:r>
      <w:r>
        <w:rPr>
          <w:rFonts w:ascii="仿宋_GB2312" w:eastAsia="仿宋_GB2312"/>
          <w:sz w:val="32"/>
          <w:szCs w:val="32"/>
        </w:rPr>
        <w:t>政主管部门</w:t>
      </w:r>
      <w:r>
        <w:rPr>
          <w:rFonts w:hint="eastAsia" w:ascii="仿宋_GB2312" w:eastAsia="仿宋_GB2312"/>
          <w:sz w:val="32"/>
          <w:szCs w:val="32"/>
        </w:rPr>
        <w:t>组</w:t>
      </w:r>
      <w:r>
        <w:rPr>
          <w:rFonts w:ascii="仿宋_GB2312" w:eastAsia="仿宋_GB2312"/>
          <w:sz w:val="32"/>
          <w:szCs w:val="32"/>
        </w:rPr>
        <w:t>织专家现场勘察，确定奖励项目和金额。</w:t>
      </w:r>
    </w:p>
    <w:p>
      <w:pPr>
        <w:widowControl/>
        <w:tabs>
          <w:tab w:val="left" w:pos="7513"/>
        </w:tabs>
        <w:adjustRightInd w:val="0"/>
        <w:snapToGrid w:val="0"/>
        <w:spacing w:line="560" w:lineRule="exact"/>
        <w:ind w:firstLine="640" w:firstLineChars="200"/>
        <w:rPr>
          <w:rFonts w:ascii="仿宋_GB2312" w:eastAsia="仿宋_GB2312"/>
          <w:sz w:val="32"/>
          <w:szCs w:val="32"/>
        </w:rPr>
      </w:pPr>
      <w:r>
        <w:rPr>
          <w:rFonts w:ascii="仿宋_GB2312" w:eastAsia="仿宋_GB2312"/>
          <w:sz w:val="32"/>
          <w:szCs w:val="32"/>
        </w:rPr>
        <w:t>项目审核的主要内容包括：</w:t>
      </w:r>
    </w:p>
    <w:p>
      <w:pPr>
        <w:widowControl/>
        <w:tabs>
          <w:tab w:val="left" w:pos="7513"/>
        </w:tabs>
        <w:adjustRightInd w:val="0"/>
        <w:snapToGrid w:val="0"/>
        <w:spacing w:line="560" w:lineRule="exact"/>
        <w:ind w:firstLine="640" w:firstLineChars="200"/>
        <w:rPr>
          <w:rFonts w:ascii="仿宋_GB2312" w:eastAsia="仿宋_GB2312"/>
          <w:sz w:val="32"/>
          <w:szCs w:val="32"/>
        </w:rPr>
      </w:pPr>
      <w:r>
        <w:rPr>
          <w:rFonts w:ascii="仿宋_GB2312" w:eastAsia="仿宋_GB2312"/>
          <w:sz w:val="32"/>
          <w:szCs w:val="32"/>
        </w:rPr>
        <w:t>（一）财政奖励资金申报是否符合要求，手续是否齐全</w:t>
      </w:r>
      <w:r>
        <w:rPr>
          <w:rFonts w:hint="eastAsia" w:ascii="仿宋_GB2312" w:eastAsia="仿宋_GB2312"/>
          <w:sz w:val="32"/>
          <w:szCs w:val="32"/>
        </w:rPr>
        <w:t>；</w:t>
      </w:r>
    </w:p>
    <w:p>
      <w:pPr>
        <w:widowControl/>
        <w:tabs>
          <w:tab w:val="left" w:pos="7513"/>
        </w:tabs>
        <w:adjustRightInd w:val="0"/>
        <w:snapToGrid w:val="0"/>
        <w:spacing w:line="560" w:lineRule="exact"/>
        <w:ind w:firstLine="640" w:firstLineChars="200"/>
        <w:rPr>
          <w:rFonts w:ascii="仿宋_GB2312" w:eastAsia="仿宋_GB2312"/>
          <w:sz w:val="32"/>
          <w:szCs w:val="32"/>
        </w:rPr>
      </w:pPr>
      <w:r>
        <w:rPr>
          <w:rFonts w:ascii="仿宋_GB2312" w:eastAsia="仿宋_GB2312"/>
          <w:sz w:val="32"/>
          <w:szCs w:val="32"/>
        </w:rPr>
        <w:t>（二）核实项目的基本情况及数据。包括项目单位、标识证书、技术应用、能耗数据、运营效果、项目投资等</w:t>
      </w:r>
      <w:r>
        <w:rPr>
          <w:rFonts w:hint="eastAsia" w:ascii="仿宋_GB2312" w:eastAsia="仿宋_GB2312"/>
          <w:sz w:val="32"/>
          <w:szCs w:val="32"/>
        </w:rPr>
        <w:t>；</w:t>
      </w:r>
    </w:p>
    <w:p>
      <w:pPr>
        <w:widowControl/>
        <w:tabs>
          <w:tab w:val="left" w:pos="7513"/>
        </w:tabs>
        <w:adjustRightInd w:val="0"/>
        <w:snapToGrid w:val="0"/>
        <w:spacing w:line="560" w:lineRule="exact"/>
        <w:ind w:firstLine="640" w:firstLineChars="200"/>
        <w:rPr>
          <w:rFonts w:ascii="仿宋_GB2312" w:eastAsia="仿宋_GB2312"/>
          <w:sz w:val="32"/>
          <w:szCs w:val="32"/>
        </w:rPr>
      </w:pPr>
      <w:r>
        <w:rPr>
          <w:rFonts w:ascii="仿宋_GB2312" w:eastAsia="仿宋_GB2312"/>
          <w:sz w:val="32"/>
          <w:szCs w:val="32"/>
        </w:rPr>
        <w:t>（三）项目资金来源情况</w:t>
      </w:r>
      <w:r>
        <w:rPr>
          <w:rFonts w:hint="eastAsia" w:ascii="仿宋_GB2312" w:eastAsia="仿宋_GB2312"/>
          <w:sz w:val="32"/>
          <w:szCs w:val="32"/>
        </w:rPr>
        <w:t>；</w:t>
      </w:r>
    </w:p>
    <w:p>
      <w:pPr>
        <w:widowControl/>
        <w:tabs>
          <w:tab w:val="left" w:pos="7513"/>
        </w:tabs>
        <w:adjustRightInd w:val="0"/>
        <w:snapToGrid w:val="0"/>
        <w:spacing w:line="560" w:lineRule="exact"/>
        <w:ind w:firstLine="640" w:firstLineChars="200"/>
        <w:rPr>
          <w:rFonts w:ascii="仿宋_GB2312" w:eastAsia="仿宋_GB2312"/>
          <w:sz w:val="32"/>
          <w:szCs w:val="32"/>
        </w:rPr>
      </w:pPr>
      <w:r>
        <w:rPr>
          <w:rFonts w:ascii="仿宋_GB2312" w:eastAsia="仿宋_GB2312"/>
          <w:sz w:val="32"/>
          <w:szCs w:val="32"/>
        </w:rPr>
        <w:t>（四）是否享受其他政府补助等需说明的问题。</w:t>
      </w:r>
    </w:p>
    <w:p>
      <w:pPr>
        <w:widowControl/>
        <w:tabs>
          <w:tab w:val="left" w:pos="7513"/>
        </w:tabs>
        <w:adjustRightInd w:val="0"/>
        <w:snapToGrid w:val="0"/>
        <w:spacing w:line="560" w:lineRule="exact"/>
        <w:ind w:firstLine="640" w:firstLineChars="200"/>
        <w:rPr>
          <w:rFonts w:ascii="仿宋_GB2312" w:eastAsia="仿宋_GB2312"/>
          <w:sz w:val="32"/>
          <w:szCs w:val="32"/>
        </w:rPr>
      </w:pPr>
      <w:r>
        <w:rPr>
          <w:rFonts w:hint="eastAsia" w:ascii="黑体" w:hAnsi="黑体" w:eastAsia="黑体"/>
          <w:b w:val="0"/>
          <w:bCs w:val="0"/>
          <w:sz w:val="32"/>
          <w:szCs w:val="32"/>
          <w:lang w:eastAsia="zh-CN"/>
        </w:rPr>
        <w:t>（</w:t>
      </w:r>
      <w:r>
        <w:rPr>
          <w:rFonts w:hint="eastAsia" w:ascii="黑体" w:hAnsi="黑体" w:eastAsia="黑体"/>
          <w:b w:val="0"/>
          <w:bCs w:val="0"/>
          <w:sz w:val="32"/>
          <w:szCs w:val="32"/>
          <w:lang w:val="en-US" w:eastAsia="zh-CN"/>
        </w:rPr>
        <w:t>失效）</w:t>
      </w:r>
      <w:r>
        <w:rPr>
          <w:rFonts w:hint="eastAsia" w:ascii="黑体" w:hAnsi="黑体" w:eastAsia="黑体"/>
          <w:sz w:val="32"/>
          <w:szCs w:val="32"/>
        </w:rPr>
        <w:t>第十八条</w:t>
      </w:r>
      <w:r>
        <w:rPr>
          <w:rFonts w:hint="eastAsia" w:ascii="仿宋_GB2312" w:eastAsia="仿宋_GB2312"/>
          <w:sz w:val="32"/>
          <w:szCs w:val="32"/>
        </w:rPr>
        <w:t xml:space="preserve"> 确</w:t>
      </w:r>
      <w:r>
        <w:rPr>
          <w:rFonts w:ascii="仿宋_GB2312" w:eastAsia="仿宋_GB2312"/>
          <w:sz w:val="32"/>
          <w:szCs w:val="32"/>
        </w:rPr>
        <w:t>定的奖励项目</w:t>
      </w:r>
      <w:r>
        <w:rPr>
          <w:rFonts w:hint="eastAsia" w:ascii="仿宋_GB2312" w:eastAsia="仿宋_GB2312"/>
          <w:sz w:val="32"/>
          <w:szCs w:val="32"/>
        </w:rPr>
        <w:t>和</w:t>
      </w:r>
      <w:r>
        <w:rPr>
          <w:rFonts w:ascii="仿宋_GB2312" w:eastAsia="仿宋_GB2312"/>
          <w:sz w:val="32"/>
          <w:szCs w:val="32"/>
        </w:rPr>
        <w:t>金额在市住房城乡建设委网站公示</w:t>
      </w:r>
      <w:r>
        <w:rPr>
          <w:rFonts w:hint="eastAsia" w:ascii="仿宋_GB2312" w:eastAsia="仿宋_GB2312"/>
          <w:sz w:val="32"/>
          <w:szCs w:val="32"/>
        </w:rPr>
        <w:t>。</w:t>
      </w:r>
      <w:r>
        <w:rPr>
          <w:rFonts w:ascii="仿宋_GB2312" w:eastAsia="仿宋_GB2312"/>
          <w:sz w:val="32"/>
          <w:szCs w:val="32"/>
        </w:rPr>
        <w:t>经公示无异议后，</w:t>
      </w:r>
      <w:r>
        <w:rPr>
          <w:rFonts w:hint="eastAsia" w:ascii="仿宋_GB2312" w:eastAsia="仿宋_GB2312"/>
          <w:sz w:val="32"/>
          <w:szCs w:val="32"/>
        </w:rPr>
        <w:t>区住房城乡（市）建设委会同区</w:t>
      </w:r>
      <w:r>
        <w:rPr>
          <w:rFonts w:ascii="仿宋_GB2312" w:eastAsia="仿宋_GB2312"/>
          <w:sz w:val="32"/>
          <w:szCs w:val="32"/>
        </w:rPr>
        <w:t>财政局</w:t>
      </w:r>
      <w:r>
        <w:rPr>
          <w:rFonts w:hint="eastAsia" w:ascii="仿宋_GB2312" w:eastAsia="仿宋_GB2312"/>
          <w:sz w:val="32"/>
          <w:szCs w:val="32"/>
        </w:rPr>
        <w:t>向市住房城乡建设委</w:t>
      </w:r>
      <w:r>
        <w:rPr>
          <w:rFonts w:ascii="仿宋_GB2312" w:eastAsia="仿宋_GB2312"/>
          <w:sz w:val="32"/>
          <w:szCs w:val="32"/>
        </w:rPr>
        <w:t>提出资金</w:t>
      </w:r>
      <w:r>
        <w:rPr>
          <w:rFonts w:hint="eastAsia" w:ascii="仿宋_GB2312" w:eastAsia="仿宋_GB2312"/>
          <w:sz w:val="32"/>
          <w:szCs w:val="32"/>
        </w:rPr>
        <w:t>拨</w:t>
      </w:r>
      <w:r>
        <w:rPr>
          <w:rFonts w:ascii="仿宋_GB2312" w:eastAsia="仿宋_GB2312"/>
          <w:sz w:val="32"/>
          <w:szCs w:val="32"/>
        </w:rPr>
        <w:t>付申请，</w:t>
      </w:r>
      <w:r>
        <w:rPr>
          <w:rFonts w:hint="eastAsia" w:ascii="仿宋_GB2312" w:eastAsia="仿宋_GB2312"/>
          <w:sz w:val="32"/>
          <w:szCs w:val="32"/>
        </w:rPr>
        <w:t>每年</w:t>
      </w:r>
      <w:r>
        <w:rPr>
          <w:rFonts w:ascii="仿宋_GB2312" w:eastAsia="仿宋_GB2312"/>
          <w:sz w:val="32"/>
          <w:szCs w:val="32"/>
        </w:rPr>
        <w:t>9</w:t>
      </w:r>
      <w:r>
        <w:rPr>
          <w:rFonts w:hint="eastAsia" w:ascii="仿宋_GB2312" w:eastAsia="仿宋_GB2312"/>
          <w:sz w:val="32"/>
          <w:szCs w:val="32"/>
        </w:rPr>
        <w:t>月底前市住房城乡建设委将各区奖励项目资金拨付申请汇总后提交至市财政局。</w:t>
      </w:r>
    </w:p>
    <w:p>
      <w:pPr>
        <w:widowControl/>
        <w:tabs>
          <w:tab w:val="left" w:pos="7513"/>
        </w:tabs>
        <w:adjustRightInd w:val="0"/>
        <w:snapToGrid w:val="0"/>
        <w:spacing w:line="560" w:lineRule="exact"/>
        <w:ind w:firstLine="640" w:firstLineChars="200"/>
        <w:rPr>
          <w:rFonts w:ascii="仿宋_GB2312" w:eastAsia="仿宋_GB2312"/>
          <w:sz w:val="32"/>
          <w:szCs w:val="32"/>
        </w:rPr>
      </w:pPr>
      <w:r>
        <w:rPr>
          <w:rFonts w:hint="eastAsia" w:ascii="黑体" w:hAnsi="黑体" w:eastAsia="黑体"/>
          <w:b w:val="0"/>
          <w:bCs w:val="0"/>
          <w:sz w:val="32"/>
          <w:szCs w:val="32"/>
          <w:lang w:eastAsia="zh-CN"/>
        </w:rPr>
        <w:t>（</w:t>
      </w:r>
      <w:r>
        <w:rPr>
          <w:rFonts w:hint="eastAsia" w:ascii="黑体" w:hAnsi="黑体" w:eastAsia="黑体"/>
          <w:b w:val="0"/>
          <w:bCs w:val="0"/>
          <w:sz w:val="32"/>
          <w:szCs w:val="32"/>
          <w:lang w:val="en-US" w:eastAsia="zh-CN"/>
        </w:rPr>
        <w:t>失效）</w:t>
      </w:r>
      <w:r>
        <w:rPr>
          <w:rFonts w:hint="eastAsia" w:ascii="黑体" w:hAnsi="黑体" w:eastAsia="黑体"/>
          <w:sz w:val="32"/>
          <w:szCs w:val="32"/>
        </w:rPr>
        <w:t>第十九条</w:t>
      </w:r>
      <w:r>
        <w:rPr>
          <w:rFonts w:hint="eastAsia" w:ascii="仿宋_GB2312" w:eastAsia="仿宋_GB2312"/>
          <w:sz w:val="32"/>
          <w:szCs w:val="32"/>
        </w:rPr>
        <w:t xml:space="preserve"> 获得绿色建筑奖励资金的项目单位应按照绿色</w:t>
      </w:r>
      <w:r>
        <w:rPr>
          <w:rFonts w:ascii="仿宋_GB2312" w:eastAsia="仿宋_GB2312"/>
          <w:sz w:val="32"/>
          <w:szCs w:val="32"/>
        </w:rPr>
        <w:t>建筑标准</w:t>
      </w:r>
      <w:r>
        <w:rPr>
          <w:rFonts w:hint="eastAsia" w:ascii="仿宋_GB2312" w:eastAsia="仿宋_GB2312"/>
          <w:sz w:val="32"/>
          <w:szCs w:val="32"/>
        </w:rPr>
        <w:t>的有关要求保证绿色建筑标识项目的实际运行效果，加强奖励资金的使用管理。项目单位应在获得绿色建筑财政奖励资金后三年内每年按期登录市住房城乡建设委办事大厅的“北京市绿色建筑标识项目财政奖励资金申报系统”在线填报标识项目绿色建筑运营管理有关情况及奖励资金使用情况。</w:t>
      </w:r>
    </w:p>
    <w:p>
      <w:pPr>
        <w:widowControl/>
        <w:tabs>
          <w:tab w:val="left" w:pos="7513"/>
        </w:tabs>
        <w:adjustRightInd w:val="0"/>
        <w:snapToGrid w:val="0"/>
        <w:spacing w:line="560" w:lineRule="exact"/>
        <w:ind w:firstLine="562"/>
        <w:rPr>
          <w:rFonts w:ascii="仿宋" w:hAnsi="仿宋" w:eastAsia="仿宋"/>
          <w:color w:val="000000"/>
          <w:sz w:val="32"/>
          <w:szCs w:val="32"/>
        </w:rPr>
      </w:pPr>
    </w:p>
    <w:p>
      <w:pPr>
        <w:adjustRightInd w:val="0"/>
        <w:snapToGrid w:val="0"/>
        <w:spacing w:line="560" w:lineRule="exact"/>
        <w:jc w:val="center"/>
        <w:rPr>
          <w:rFonts w:hint="eastAsia" w:ascii="黑体" w:eastAsia="黑体"/>
          <w:sz w:val="32"/>
          <w:szCs w:val="32"/>
        </w:rPr>
      </w:pPr>
      <w:r>
        <w:rPr>
          <w:rFonts w:hint="eastAsia" w:ascii="黑体" w:eastAsia="黑体"/>
          <w:sz w:val="32"/>
          <w:szCs w:val="32"/>
        </w:rPr>
        <w:t>第五章 绿色生态示范区奖励项目申报和管理</w:t>
      </w:r>
    </w:p>
    <w:p>
      <w:pPr>
        <w:adjustRightInd w:val="0"/>
        <w:snapToGrid w:val="0"/>
        <w:spacing w:line="560" w:lineRule="exact"/>
        <w:jc w:val="center"/>
        <w:rPr>
          <w:rFonts w:hint="eastAsia" w:ascii="黑体" w:eastAsia="黑体"/>
          <w:sz w:val="32"/>
          <w:szCs w:val="32"/>
        </w:rPr>
      </w:pPr>
    </w:p>
    <w:p>
      <w:pPr>
        <w:adjustRightInd w:val="0"/>
        <w:snapToGrid w:val="0"/>
        <w:spacing w:line="560" w:lineRule="exact"/>
        <w:jc w:val="center"/>
        <w:rPr>
          <w:rFonts w:hint="eastAsia" w:ascii="仿宋_GB2312" w:eastAsia="仿宋_GB2312"/>
          <w:sz w:val="32"/>
          <w:szCs w:val="32"/>
        </w:rPr>
      </w:pPr>
      <w:r>
        <w:rPr>
          <w:rFonts w:hint="eastAsia" w:ascii="黑体" w:eastAsia="黑体"/>
          <w:sz w:val="32"/>
          <w:szCs w:val="32"/>
        </w:rPr>
        <w:t xml:space="preserve">    </w:t>
      </w:r>
      <w:r>
        <w:rPr>
          <w:rFonts w:hint="eastAsia" w:ascii="黑体" w:hAnsi="黑体" w:eastAsia="黑体"/>
          <w:b w:val="0"/>
          <w:bCs w:val="0"/>
          <w:sz w:val="32"/>
          <w:szCs w:val="32"/>
          <w:lang w:eastAsia="zh-CN"/>
        </w:rPr>
        <w:t>（</w:t>
      </w:r>
      <w:r>
        <w:rPr>
          <w:rFonts w:hint="eastAsia" w:ascii="黑体" w:hAnsi="黑体" w:eastAsia="黑体"/>
          <w:b w:val="0"/>
          <w:bCs w:val="0"/>
          <w:sz w:val="32"/>
          <w:szCs w:val="32"/>
          <w:lang w:val="en-US" w:eastAsia="zh-CN"/>
        </w:rPr>
        <w:t>失效）</w:t>
      </w:r>
      <w:r>
        <w:rPr>
          <w:rFonts w:hint="eastAsia" w:ascii="黑体" w:hAnsi="黑体" w:eastAsia="黑体"/>
          <w:sz w:val="32"/>
          <w:szCs w:val="32"/>
        </w:rPr>
        <w:t>第二十条</w:t>
      </w:r>
      <w:r>
        <w:rPr>
          <w:rFonts w:hint="eastAsia" w:ascii="仿宋_GB2312" w:eastAsia="仿宋_GB2312"/>
          <w:sz w:val="32"/>
          <w:szCs w:val="32"/>
        </w:rPr>
        <w:t xml:space="preserve"> 北京市绿色生态示范区评选原则上每年评审一次。申报北京市绿色生态示范区（功能区类），规划范围原则上应在1平方公里以上，非城市新建区可适当放宽，申报时应开工30%以上。北京市绿色生态示范区（居住区类）建设规模原则上应在5万平方米以上，申报部分应已全部竣工并入住。北京市绿色生态示范区（街乡更新类），申报范围原则上以社区或村镇为</w:t>
      </w:r>
    </w:p>
    <w:p>
      <w:pPr>
        <w:adjustRightInd w:val="0"/>
        <w:snapToGrid w:val="0"/>
        <w:spacing w:line="560" w:lineRule="exact"/>
        <w:rPr>
          <w:rFonts w:ascii="仿宋_GB2312" w:eastAsia="仿宋_GB2312"/>
          <w:sz w:val="32"/>
          <w:szCs w:val="32"/>
        </w:rPr>
      </w:pPr>
      <w:r>
        <w:rPr>
          <w:rFonts w:hint="eastAsia" w:ascii="仿宋_GB2312" w:eastAsia="仿宋_GB2312"/>
          <w:sz w:val="32"/>
          <w:szCs w:val="32"/>
        </w:rPr>
        <w:t>单位。</w:t>
      </w:r>
    </w:p>
    <w:p>
      <w:pPr>
        <w:widowControl/>
        <w:tabs>
          <w:tab w:val="left" w:pos="7513"/>
        </w:tabs>
        <w:adjustRightInd w:val="0"/>
        <w:snapToGrid w:val="0"/>
        <w:spacing w:line="560" w:lineRule="exact"/>
        <w:ind w:firstLine="643"/>
        <w:rPr>
          <w:rFonts w:ascii="仿宋_GB2312" w:eastAsia="仿宋_GB2312"/>
          <w:sz w:val="32"/>
          <w:szCs w:val="32"/>
        </w:rPr>
      </w:pPr>
      <w:r>
        <w:rPr>
          <w:rFonts w:hint="eastAsia" w:ascii="黑体" w:hAnsi="黑体" w:eastAsia="黑体"/>
          <w:b w:val="0"/>
          <w:bCs w:val="0"/>
          <w:sz w:val="32"/>
          <w:szCs w:val="32"/>
          <w:lang w:eastAsia="zh-CN"/>
        </w:rPr>
        <w:t>（</w:t>
      </w:r>
      <w:r>
        <w:rPr>
          <w:rFonts w:hint="eastAsia" w:ascii="黑体" w:hAnsi="黑体" w:eastAsia="黑体"/>
          <w:b w:val="0"/>
          <w:bCs w:val="0"/>
          <w:sz w:val="32"/>
          <w:szCs w:val="32"/>
          <w:lang w:val="en-US" w:eastAsia="zh-CN"/>
        </w:rPr>
        <w:t>失效）</w:t>
      </w:r>
      <w:r>
        <w:rPr>
          <w:rFonts w:hint="eastAsia" w:ascii="黑体" w:hAnsi="黑体" w:eastAsia="黑体"/>
          <w:sz w:val="32"/>
          <w:szCs w:val="32"/>
        </w:rPr>
        <w:t>第二十一条</w:t>
      </w:r>
      <w:r>
        <w:rPr>
          <w:rFonts w:hint="eastAsia" w:ascii="仿宋_GB2312" w:eastAsia="仿宋_GB2312"/>
          <w:sz w:val="32"/>
          <w:szCs w:val="32"/>
        </w:rPr>
        <w:t xml:space="preserve"> 申报北京市绿色生态示范区（功能区类），应将绿色生态规划内容纳入控制性详细规划编制，并建立指标体系，园区的开工规模达到30%后，</w:t>
      </w:r>
      <w:r>
        <w:rPr>
          <w:rFonts w:ascii="仿宋_GB2312" w:eastAsia="仿宋_GB2312"/>
          <w:sz w:val="32"/>
          <w:szCs w:val="32"/>
        </w:rPr>
        <w:t>由</w:t>
      </w:r>
      <w:r>
        <w:rPr>
          <w:rFonts w:hint="eastAsia" w:ascii="仿宋_GB2312" w:eastAsia="仿宋_GB2312"/>
          <w:sz w:val="32"/>
          <w:szCs w:val="32"/>
        </w:rPr>
        <w:t>园区</w:t>
      </w:r>
      <w:r>
        <w:rPr>
          <w:rFonts w:ascii="仿宋_GB2312" w:eastAsia="仿宋_GB2312"/>
          <w:sz w:val="32"/>
          <w:szCs w:val="32"/>
        </w:rPr>
        <w:t>管委会或建设单位</w:t>
      </w:r>
      <w:r>
        <w:rPr>
          <w:rFonts w:hint="eastAsia" w:ascii="仿宋_GB2312" w:eastAsia="仿宋_GB2312"/>
          <w:sz w:val="32"/>
          <w:szCs w:val="32"/>
        </w:rPr>
        <w:t>提出申请；申报北京市绿色生态示范区（居住区类），应在竣工入住后提出申请；申报北京市绿色生态示范区（街乡更新类），应编制更新导则，并建立治理机制，由街镇乡管理部门提出申请。由市规划自然</w:t>
      </w:r>
      <w:r>
        <w:rPr>
          <w:rFonts w:ascii="仿宋_GB2312" w:eastAsia="仿宋_GB2312"/>
          <w:sz w:val="32"/>
          <w:szCs w:val="32"/>
        </w:rPr>
        <w:t>资源</w:t>
      </w:r>
      <w:r>
        <w:rPr>
          <w:rFonts w:hint="eastAsia" w:ascii="仿宋_GB2312" w:eastAsia="仿宋_GB2312"/>
          <w:sz w:val="32"/>
          <w:szCs w:val="32"/>
        </w:rPr>
        <w:t>委各区分局进行初步审核</w:t>
      </w:r>
      <w:r>
        <w:rPr>
          <w:rFonts w:ascii="仿宋_GB2312" w:eastAsia="仿宋_GB2312"/>
          <w:sz w:val="32"/>
          <w:szCs w:val="32"/>
        </w:rPr>
        <w:t>。</w:t>
      </w:r>
      <w:r>
        <w:rPr>
          <w:rFonts w:hint="eastAsia" w:ascii="仿宋_GB2312" w:eastAsia="仿宋_GB2312"/>
          <w:sz w:val="32"/>
          <w:szCs w:val="32"/>
        </w:rPr>
        <w:t>初审通过后，申报单位向市规划自然资源委报送绿色生态示范区申报书。市</w:t>
      </w:r>
      <w:r>
        <w:rPr>
          <w:rFonts w:ascii="仿宋_GB2312" w:eastAsia="仿宋_GB2312"/>
          <w:sz w:val="32"/>
          <w:szCs w:val="32"/>
        </w:rPr>
        <w:t>规划自然资源委按照资料初审、现场核查、</w:t>
      </w:r>
      <w:r>
        <w:rPr>
          <w:rFonts w:hint="eastAsia" w:ascii="仿宋_GB2312" w:eastAsia="仿宋_GB2312"/>
          <w:sz w:val="32"/>
          <w:szCs w:val="32"/>
        </w:rPr>
        <w:t>专家</w:t>
      </w:r>
      <w:r>
        <w:rPr>
          <w:rFonts w:ascii="仿宋_GB2312" w:eastAsia="仿宋_GB2312"/>
          <w:sz w:val="32"/>
          <w:szCs w:val="32"/>
        </w:rPr>
        <w:t>评审</w:t>
      </w:r>
      <w:r>
        <w:rPr>
          <w:rFonts w:hint="eastAsia" w:ascii="仿宋_GB2312" w:eastAsia="仿宋_GB2312"/>
          <w:sz w:val="32"/>
          <w:szCs w:val="32"/>
        </w:rPr>
        <w:t>等</w:t>
      </w:r>
      <w:r>
        <w:rPr>
          <w:rFonts w:ascii="仿宋_GB2312" w:eastAsia="仿宋_GB2312"/>
          <w:sz w:val="32"/>
          <w:szCs w:val="32"/>
        </w:rPr>
        <w:t>环节</w:t>
      </w:r>
      <w:r>
        <w:rPr>
          <w:rFonts w:hint="eastAsia" w:ascii="仿宋_GB2312" w:eastAsia="仿宋_GB2312"/>
          <w:sz w:val="32"/>
          <w:szCs w:val="32"/>
        </w:rPr>
        <w:t>，</w:t>
      </w:r>
      <w:r>
        <w:rPr>
          <w:rFonts w:ascii="仿宋_GB2312" w:eastAsia="仿宋_GB2312"/>
          <w:sz w:val="32"/>
          <w:szCs w:val="32"/>
        </w:rPr>
        <w:t>综合考虑示范区代表性与示范意义、规划编制合理性及可行</w:t>
      </w:r>
      <w:r>
        <w:rPr>
          <w:rFonts w:hint="eastAsia" w:ascii="仿宋_GB2312" w:eastAsia="仿宋_GB2312"/>
          <w:sz w:val="32"/>
          <w:szCs w:val="32"/>
        </w:rPr>
        <w:t>性、规划实施情况</w:t>
      </w:r>
      <w:r>
        <w:rPr>
          <w:rFonts w:ascii="仿宋_GB2312" w:eastAsia="仿宋_GB2312"/>
          <w:sz w:val="32"/>
          <w:szCs w:val="32"/>
        </w:rPr>
        <w:t>、</w:t>
      </w:r>
      <w:r>
        <w:rPr>
          <w:rFonts w:hint="eastAsia" w:ascii="仿宋_GB2312" w:eastAsia="仿宋_GB2312"/>
          <w:sz w:val="32"/>
          <w:szCs w:val="32"/>
        </w:rPr>
        <w:t>建设</w:t>
      </w:r>
      <w:r>
        <w:rPr>
          <w:rFonts w:ascii="仿宋_GB2312" w:eastAsia="仿宋_GB2312"/>
          <w:sz w:val="32"/>
          <w:szCs w:val="32"/>
        </w:rPr>
        <w:t>进度及成效、机制创新程度等因素，</w:t>
      </w:r>
      <w:r>
        <w:rPr>
          <w:rFonts w:hint="eastAsia" w:ascii="仿宋_GB2312" w:eastAsia="仿宋_GB2312"/>
          <w:sz w:val="32"/>
          <w:szCs w:val="32"/>
        </w:rPr>
        <w:t>择优</w:t>
      </w:r>
      <w:r>
        <w:rPr>
          <w:rFonts w:ascii="仿宋_GB2312" w:eastAsia="仿宋_GB2312"/>
          <w:sz w:val="32"/>
          <w:szCs w:val="32"/>
        </w:rPr>
        <w:t>确定</w:t>
      </w:r>
      <w:r>
        <w:rPr>
          <w:rFonts w:hint="eastAsia" w:ascii="仿宋_GB2312" w:eastAsia="仿宋_GB2312"/>
          <w:sz w:val="32"/>
          <w:szCs w:val="32"/>
        </w:rPr>
        <w:t>纳入</w:t>
      </w:r>
      <w:r>
        <w:rPr>
          <w:rFonts w:ascii="仿宋_GB2312" w:eastAsia="仿宋_GB2312"/>
          <w:sz w:val="32"/>
          <w:szCs w:val="32"/>
        </w:rPr>
        <w:t>示范区。</w:t>
      </w:r>
    </w:p>
    <w:p>
      <w:pPr>
        <w:adjustRightInd w:val="0"/>
        <w:snapToGrid w:val="0"/>
        <w:spacing w:line="480" w:lineRule="exact"/>
        <w:ind w:firstLine="640" w:firstLineChars="200"/>
        <w:rPr>
          <w:rFonts w:ascii="仿宋_GB2312" w:eastAsia="仿宋_GB2312"/>
          <w:b/>
          <w:color w:val="FF0000"/>
          <w:sz w:val="32"/>
          <w:szCs w:val="32"/>
        </w:rPr>
      </w:pPr>
      <w:r>
        <w:rPr>
          <w:rFonts w:hint="eastAsia" w:ascii="黑体" w:hAnsi="黑体" w:eastAsia="黑体"/>
          <w:b w:val="0"/>
          <w:bCs w:val="0"/>
          <w:sz w:val="32"/>
          <w:szCs w:val="32"/>
          <w:lang w:eastAsia="zh-CN"/>
        </w:rPr>
        <w:t>（</w:t>
      </w:r>
      <w:r>
        <w:rPr>
          <w:rFonts w:hint="eastAsia" w:ascii="黑体" w:hAnsi="黑体" w:eastAsia="黑体"/>
          <w:b w:val="0"/>
          <w:bCs w:val="0"/>
          <w:sz w:val="32"/>
          <w:szCs w:val="32"/>
          <w:lang w:val="en-US" w:eastAsia="zh-CN"/>
        </w:rPr>
        <w:t>失效）</w:t>
      </w:r>
      <w:r>
        <w:rPr>
          <w:rFonts w:hint="eastAsia" w:ascii="黑体" w:hAnsi="黑体" w:eastAsia="黑体"/>
          <w:sz w:val="32"/>
          <w:szCs w:val="32"/>
        </w:rPr>
        <w:t>第二十二条</w:t>
      </w:r>
      <w:r>
        <w:rPr>
          <w:rFonts w:hint="eastAsia" w:ascii="仿宋_GB2312" w:eastAsia="仿宋_GB2312"/>
          <w:sz w:val="32"/>
          <w:szCs w:val="32"/>
        </w:rPr>
        <w:t xml:space="preserve"> 对经评审满足条件的绿色生态示范区，在市规划自然</w:t>
      </w:r>
      <w:r>
        <w:rPr>
          <w:rFonts w:ascii="仿宋_GB2312" w:eastAsia="仿宋_GB2312"/>
          <w:sz w:val="32"/>
          <w:szCs w:val="32"/>
        </w:rPr>
        <w:t>资源</w:t>
      </w:r>
      <w:r>
        <w:rPr>
          <w:rFonts w:hint="eastAsia" w:ascii="仿宋_GB2312" w:eastAsia="仿宋_GB2312"/>
          <w:sz w:val="32"/>
          <w:szCs w:val="32"/>
        </w:rPr>
        <w:t>委网站</w:t>
      </w:r>
      <w:r>
        <w:rPr>
          <w:rFonts w:ascii="仿宋_GB2312" w:eastAsia="仿宋_GB2312"/>
          <w:sz w:val="32"/>
          <w:szCs w:val="32"/>
        </w:rPr>
        <w:t>进行公示</w:t>
      </w:r>
      <w:r>
        <w:rPr>
          <w:rFonts w:hint="eastAsia" w:ascii="仿宋_GB2312" w:eastAsia="仿宋_GB2312"/>
          <w:sz w:val="32"/>
          <w:szCs w:val="32"/>
        </w:rPr>
        <w:t>，公示</w:t>
      </w:r>
      <w:r>
        <w:rPr>
          <w:rFonts w:ascii="仿宋_GB2312" w:eastAsia="仿宋_GB2312"/>
          <w:sz w:val="32"/>
          <w:szCs w:val="32"/>
        </w:rPr>
        <w:t>无异议</w:t>
      </w:r>
      <w:r>
        <w:rPr>
          <w:rFonts w:hint="eastAsia" w:ascii="仿宋_GB2312" w:eastAsia="仿宋_GB2312"/>
          <w:sz w:val="32"/>
          <w:szCs w:val="32"/>
        </w:rPr>
        <w:t>的</w:t>
      </w:r>
      <w:r>
        <w:rPr>
          <w:rFonts w:ascii="仿宋_GB2312" w:eastAsia="仿宋_GB2312"/>
          <w:sz w:val="32"/>
          <w:szCs w:val="32"/>
        </w:rPr>
        <w:t>，</w:t>
      </w:r>
      <w:r>
        <w:rPr>
          <w:rFonts w:hint="eastAsia" w:ascii="仿宋_GB2312" w:eastAsia="仿宋_GB2312"/>
          <w:sz w:val="32"/>
          <w:szCs w:val="32"/>
        </w:rPr>
        <w:t>授予“北京市绿色生态示范区”称号，颁发</w:t>
      </w:r>
      <w:r>
        <w:rPr>
          <w:rFonts w:ascii="仿宋_GB2312" w:eastAsia="仿宋_GB2312"/>
          <w:sz w:val="32"/>
          <w:szCs w:val="32"/>
        </w:rPr>
        <w:t>证书及奖牌</w:t>
      </w:r>
      <w:r>
        <w:rPr>
          <w:rFonts w:hint="eastAsia" w:ascii="仿宋_GB2312" w:eastAsia="仿宋_GB2312"/>
          <w:sz w:val="32"/>
          <w:szCs w:val="32"/>
        </w:rPr>
        <w:t>（</w:t>
      </w:r>
      <w:r>
        <w:rPr>
          <w:rFonts w:ascii="仿宋_GB2312" w:eastAsia="仿宋_GB2312"/>
          <w:sz w:val="32"/>
          <w:szCs w:val="32"/>
        </w:rPr>
        <w:t>有效期</w:t>
      </w:r>
      <w:r>
        <w:rPr>
          <w:rFonts w:hint="eastAsia" w:ascii="仿宋_GB2312" w:eastAsia="仿宋_GB2312"/>
          <w:sz w:val="32"/>
          <w:szCs w:val="32"/>
        </w:rPr>
        <w:t>为3年），并给予奖励资金2</w:t>
      </w:r>
      <w:r>
        <w:rPr>
          <w:rFonts w:ascii="仿宋_GB2312" w:eastAsia="仿宋_GB2312"/>
          <w:sz w:val="32"/>
          <w:szCs w:val="32"/>
        </w:rPr>
        <w:t>00万元。</w:t>
      </w:r>
      <w:r>
        <w:rPr>
          <w:rFonts w:hint="eastAsia" w:ascii="仿宋_GB2312" w:eastAsia="仿宋_GB2312"/>
          <w:sz w:val="32"/>
          <w:szCs w:val="32"/>
        </w:rPr>
        <w:t>获评称号3年内，经市规划自然资源委复审，示范区开工建设或改造更新规模达到50%，且通过规划建设绩效评价后颁发证书及奖牌（永久有效），再给予奖励资金100万元。市规划自然资源委将奖励项目资金拨付申请汇总后提交至市财政局。</w:t>
      </w:r>
    </w:p>
    <w:p>
      <w:pPr>
        <w:widowControl/>
        <w:tabs>
          <w:tab w:val="left" w:pos="7513"/>
        </w:tabs>
        <w:adjustRightInd w:val="0"/>
        <w:snapToGrid w:val="0"/>
        <w:spacing w:line="480" w:lineRule="exact"/>
        <w:ind w:firstLine="562"/>
        <w:rPr>
          <w:rFonts w:ascii="仿宋_GB2312" w:eastAsia="仿宋_GB2312"/>
          <w:sz w:val="32"/>
          <w:szCs w:val="32"/>
        </w:rPr>
      </w:pPr>
    </w:p>
    <w:p>
      <w:pPr>
        <w:adjustRightInd w:val="0"/>
        <w:snapToGrid w:val="0"/>
        <w:spacing w:line="480" w:lineRule="exact"/>
        <w:jc w:val="center"/>
        <w:rPr>
          <w:rFonts w:hint="eastAsia" w:ascii="黑体" w:eastAsia="黑体"/>
          <w:sz w:val="32"/>
          <w:szCs w:val="32"/>
        </w:rPr>
      </w:pPr>
      <w:r>
        <w:rPr>
          <w:rFonts w:hint="eastAsia" w:ascii="黑体" w:eastAsia="黑体"/>
          <w:sz w:val="32"/>
          <w:szCs w:val="32"/>
        </w:rPr>
        <w:t>第六章 预算管理</w:t>
      </w:r>
    </w:p>
    <w:p>
      <w:pPr>
        <w:adjustRightInd w:val="0"/>
        <w:snapToGrid w:val="0"/>
        <w:spacing w:line="480" w:lineRule="exact"/>
        <w:jc w:val="center"/>
        <w:rPr>
          <w:rFonts w:ascii="仿宋_GB2312" w:eastAsia="仿宋_GB2312"/>
          <w:sz w:val="32"/>
          <w:szCs w:val="32"/>
        </w:rPr>
      </w:pPr>
    </w:p>
    <w:p>
      <w:pPr>
        <w:adjustRightInd w:val="0"/>
        <w:snapToGrid w:val="0"/>
        <w:spacing w:line="520" w:lineRule="exact"/>
        <w:ind w:firstLine="640" w:firstLineChars="200"/>
        <w:rPr>
          <w:rFonts w:ascii="仿宋_GB2312" w:eastAsia="仿宋_GB2312"/>
          <w:sz w:val="32"/>
          <w:szCs w:val="32"/>
        </w:rPr>
      </w:pPr>
      <w:r>
        <w:rPr>
          <w:rFonts w:hint="eastAsia" w:ascii="黑体" w:hAnsi="黑体" w:eastAsia="黑体"/>
          <w:b w:val="0"/>
          <w:bCs w:val="0"/>
          <w:sz w:val="32"/>
          <w:szCs w:val="32"/>
          <w:lang w:eastAsia="zh-CN"/>
        </w:rPr>
        <w:t>（</w:t>
      </w:r>
      <w:r>
        <w:rPr>
          <w:rFonts w:hint="eastAsia" w:ascii="黑体" w:hAnsi="黑体" w:eastAsia="黑体"/>
          <w:b w:val="0"/>
          <w:bCs w:val="0"/>
          <w:sz w:val="32"/>
          <w:szCs w:val="32"/>
          <w:lang w:val="en-US" w:eastAsia="zh-CN"/>
        </w:rPr>
        <w:t>失效）</w:t>
      </w:r>
      <w:r>
        <w:rPr>
          <w:rFonts w:hint="eastAsia" w:ascii="黑体" w:hAnsi="黑体" w:eastAsia="黑体"/>
          <w:sz w:val="32"/>
          <w:szCs w:val="32"/>
        </w:rPr>
        <w:t>第二十三</w:t>
      </w:r>
      <w:r>
        <w:rPr>
          <w:rFonts w:ascii="黑体" w:hAnsi="黑体" w:eastAsia="黑体"/>
          <w:sz w:val="32"/>
          <w:szCs w:val="32"/>
        </w:rPr>
        <w:t>条</w:t>
      </w:r>
      <w:r>
        <w:rPr>
          <w:rFonts w:hint="eastAsia" w:ascii="仿宋_GB2312" w:eastAsia="仿宋_GB2312"/>
          <w:sz w:val="32"/>
          <w:szCs w:val="32"/>
        </w:rPr>
        <w:t xml:space="preserve"> 市住房</w:t>
      </w:r>
      <w:r>
        <w:rPr>
          <w:rFonts w:ascii="仿宋_GB2312" w:eastAsia="仿宋_GB2312"/>
          <w:sz w:val="32"/>
          <w:szCs w:val="32"/>
        </w:rPr>
        <w:t>城乡</w:t>
      </w:r>
      <w:r>
        <w:rPr>
          <w:rFonts w:hint="eastAsia" w:ascii="仿宋_GB2312" w:eastAsia="仿宋_GB2312"/>
          <w:sz w:val="32"/>
          <w:szCs w:val="32"/>
        </w:rPr>
        <w:t>建设</w:t>
      </w:r>
      <w:r>
        <w:rPr>
          <w:rFonts w:ascii="仿宋_GB2312" w:eastAsia="仿宋_GB2312"/>
          <w:sz w:val="32"/>
          <w:szCs w:val="32"/>
        </w:rPr>
        <w:t>委、</w:t>
      </w:r>
      <w:r>
        <w:rPr>
          <w:rFonts w:hint="eastAsia" w:ascii="仿宋_GB2312" w:eastAsia="仿宋_GB2312"/>
          <w:sz w:val="32"/>
          <w:szCs w:val="32"/>
        </w:rPr>
        <w:t>市规划</w:t>
      </w:r>
      <w:r>
        <w:rPr>
          <w:rFonts w:ascii="仿宋_GB2312" w:eastAsia="仿宋_GB2312"/>
          <w:sz w:val="32"/>
          <w:szCs w:val="32"/>
        </w:rPr>
        <w:t>自</w:t>
      </w:r>
      <w:r>
        <w:rPr>
          <w:rFonts w:hint="eastAsia" w:ascii="仿宋_GB2312" w:eastAsia="仿宋_GB2312"/>
          <w:sz w:val="32"/>
          <w:szCs w:val="32"/>
        </w:rPr>
        <w:t>然</w:t>
      </w:r>
      <w:r>
        <w:rPr>
          <w:rFonts w:ascii="仿宋_GB2312" w:eastAsia="仿宋_GB2312"/>
          <w:sz w:val="32"/>
          <w:szCs w:val="32"/>
        </w:rPr>
        <w:t>资源委</w:t>
      </w:r>
      <w:r>
        <w:rPr>
          <w:rFonts w:hint="eastAsia" w:ascii="仿宋_GB2312" w:eastAsia="仿宋_GB2312"/>
          <w:sz w:val="32"/>
          <w:szCs w:val="32"/>
        </w:rPr>
        <w:t>于</w:t>
      </w:r>
      <w:r>
        <w:rPr>
          <w:rFonts w:ascii="仿宋_GB2312" w:eastAsia="仿宋_GB2312"/>
          <w:sz w:val="32"/>
          <w:szCs w:val="32"/>
        </w:rPr>
        <w:t>每年</w:t>
      </w:r>
      <w:r>
        <w:rPr>
          <w:rFonts w:hint="eastAsia" w:ascii="仿宋_GB2312" w:eastAsia="仿宋_GB2312"/>
          <w:sz w:val="32"/>
          <w:szCs w:val="32"/>
        </w:rPr>
        <w:t>9月底</w:t>
      </w:r>
      <w:r>
        <w:rPr>
          <w:rFonts w:ascii="仿宋_GB2312" w:eastAsia="仿宋_GB2312"/>
          <w:sz w:val="32"/>
          <w:szCs w:val="32"/>
        </w:rPr>
        <w:t>之前将装配式建筑、绿色建筑</w:t>
      </w:r>
      <w:r>
        <w:rPr>
          <w:rFonts w:hint="eastAsia" w:ascii="仿宋_GB2312" w:eastAsia="仿宋_GB2312"/>
          <w:sz w:val="32"/>
          <w:szCs w:val="32"/>
        </w:rPr>
        <w:t>和</w:t>
      </w:r>
      <w:r>
        <w:rPr>
          <w:rFonts w:ascii="仿宋_GB2312" w:eastAsia="仿宋_GB2312"/>
          <w:sz w:val="32"/>
          <w:szCs w:val="32"/>
        </w:rPr>
        <w:t>绿色</w:t>
      </w:r>
      <w:r>
        <w:rPr>
          <w:rFonts w:hint="eastAsia" w:ascii="仿宋_GB2312" w:eastAsia="仿宋_GB2312"/>
          <w:sz w:val="32"/>
          <w:szCs w:val="32"/>
        </w:rPr>
        <w:t>生态</w:t>
      </w:r>
      <w:r>
        <w:rPr>
          <w:rFonts w:ascii="仿宋_GB2312" w:eastAsia="仿宋_GB2312"/>
          <w:sz w:val="32"/>
          <w:szCs w:val="32"/>
        </w:rPr>
        <w:t>示范区奖励</w:t>
      </w:r>
      <w:r>
        <w:rPr>
          <w:rFonts w:hint="eastAsia" w:ascii="仿宋_GB2312" w:eastAsia="仿宋_GB2312"/>
          <w:sz w:val="32"/>
          <w:szCs w:val="32"/>
        </w:rPr>
        <w:t>资金</w:t>
      </w:r>
      <w:r>
        <w:rPr>
          <w:rFonts w:ascii="仿宋_GB2312" w:eastAsia="仿宋_GB2312"/>
          <w:sz w:val="32"/>
          <w:szCs w:val="32"/>
        </w:rPr>
        <w:t>需求报送至市</w:t>
      </w:r>
      <w:r>
        <w:rPr>
          <w:rFonts w:hint="eastAsia" w:ascii="仿宋_GB2312" w:eastAsia="仿宋_GB2312"/>
          <w:sz w:val="32"/>
          <w:szCs w:val="32"/>
        </w:rPr>
        <w:t>财政局</w:t>
      </w:r>
      <w:r>
        <w:rPr>
          <w:rFonts w:ascii="仿宋_GB2312" w:eastAsia="仿宋_GB2312"/>
          <w:sz w:val="32"/>
          <w:szCs w:val="32"/>
        </w:rPr>
        <w:t>。</w:t>
      </w:r>
    </w:p>
    <w:p>
      <w:pPr>
        <w:adjustRightInd w:val="0"/>
        <w:snapToGrid w:val="0"/>
        <w:spacing w:line="520" w:lineRule="exact"/>
        <w:ind w:firstLine="640" w:firstLineChars="200"/>
        <w:rPr>
          <w:rFonts w:ascii="仿宋_GB2312" w:eastAsia="仿宋_GB2312"/>
          <w:sz w:val="32"/>
          <w:szCs w:val="32"/>
        </w:rPr>
      </w:pPr>
      <w:r>
        <w:rPr>
          <w:rFonts w:hint="eastAsia" w:ascii="黑体" w:hAnsi="黑体" w:eastAsia="黑体"/>
          <w:b w:val="0"/>
          <w:bCs w:val="0"/>
          <w:sz w:val="32"/>
          <w:szCs w:val="32"/>
          <w:lang w:eastAsia="zh-CN"/>
        </w:rPr>
        <w:t>（</w:t>
      </w:r>
      <w:r>
        <w:rPr>
          <w:rFonts w:hint="eastAsia" w:ascii="黑体" w:hAnsi="黑体" w:eastAsia="黑体"/>
          <w:b w:val="0"/>
          <w:bCs w:val="0"/>
          <w:sz w:val="32"/>
          <w:szCs w:val="32"/>
          <w:lang w:val="en-US" w:eastAsia="zh-CN"/>
        </w:rPr>
        <w:t>失效）</w:t>
      </w:r>
      <w:r>
        <w:rPr>
          <w:rFonts w:hint="eastAsia" w:ascii="黑体" w:hAnsi="黑体" w:eastAsia="黑体"/>
          <w:sz w:val="32"/>
          <w:szCs w:val="32"/>
        </w:rPr>
        <w:t>第二十四</w:t>
      </w:r>
      <w:r>
        <w:rPr>
          <w:rFonts w:ascii="黑体" w:hAnsi="黑体" w:eastAsia="黑体"/>
          <w:sz w:val="32"/>
          <w:szCs w:val="32"/>
        </w:rPr>
        <w:t>条</w:t>
      </w:r>
      <w:r>
        <w:rPr>
          <w:rFonts w:hint="eastAsia" w:ascii="仿宋_GB2312" w:eastAsia="仿宋_GB2312"/>
          <w:sz w:val="32"/>
          <w:szCs w:val="32"/>
        </w:rPr>
        <w:t xml:space="preserve"> 市财政局</w:t>
      </w:r>
      <w:r>
        <w:rPr>
          <w:rFonts w:ascii="仿宋_GB2312" w:eastAsia="仿宋_GB2312"/>
          <w:sz w:val="32"/>
          <w:szCs w:val="32"/>
        </w:rPr>
        <w:t>按照预算</w:t>
      </w:r>
      <w:r>
        <w:rPr>
          <w:rFonts w:hint="eastAsia" w:ascii="仿宋_GB2312" w:eastAsia="仿宋_GB2312"/>
          <w:sz w:val="32"/>
          <w:szCs w:val="32"/>
        </w:rPr>
        <w:t>管理相关</w:t>
      </w:r>
      <w:r>
        <w:rPr>
          <w:rFonts w:ascii="仿宋_GB2312" w:eastAsia="仿宋_GB2312"/>
          <w:sz w:val="32"/>
          <w:szCs w:val="32"/>
        </w:rPr>
        <w:t>要求，做好资金保障工作。装配式</w:t>
      </w:r>
      <w:r>
        <w:rPr>
          <w:rFonts w:hint="eastAsia" w:ascii="仿宋_GB2312" w:eastAsia="仿宋_GB2312"/>
          <w:sz w:val="32"/>
          <w:szCs w:val="32"/>
        </w:rPr>
        <w:t>建筑</w:t>
      </w:r>
      <w:r>
        <w:rPr>
          <w:rFonts w:ascii="仿宋_GB2312" w:eastAsia="仿宋_GB2312"/>
          <w:sz w:val="32"/>
          <w:szCs w:val="32"/>
        </w:rPr>
        <w:t>、</w:t>
      </w:r>
      <w:r>
        <w:rPr>
          <w:rFonts w:hint="eastAsia" w:ascii="仿宋_GB2312" w:eastAsia="仿宋_GB2312"/>
          <w:sz w:val="32"/>
          <w:szCs w:val="32"/>
        </w:rPr>
        <w:t>绿色</w:t>
      </w:r>
      <w:r>
        <w:rPr>
          <w:rFonts w:ascii="仿宋_GB2312" w:eastAsia="仿宋_GB2312"/>
          <w:sz w:val="32"/>
          <w:szCs w:val="32"/>
        </w:rPr>
        <w:t>建筑</w:t>
      </w:r>
      <w:r>
        <w:rPr>
          <w:rFonts w:hint="eastAsia" w:ascii="仿宋_GB2312" w:eastAsia="仿宋_GB2312"/>
          <w:sz w:val="32"/>
          <w:szCs w:val="32"/>
        </w:rPr>
        <w:t>运行</w:t>
      </w:r>
      <w:r>
        <w:rPr>
          <w:rFonts w:ascii="仿宋_GB2312" w:eastAsia="仿宋_GB2312"/>
          <w:sz w:val="32"/>
          <w:szCs w:val="32"/>
        </w:rPr>
        <w:t>标识项目奖励资金</w:t>
      </w:r>
      <w:r>
        <w:rPr>
          <w:rFonts w:hint="eastAsia" w:ascii="仿宋_GB2312" w:eastAsia="仿宋_GB2312"/>
          <w:sz w:val="32"/>
          <w:szCs w:val="32"/>
        </w:rPr>
        <w:t>安排</w:t>
      </w:r>
      <w:r>
        <w:rPr>
          <w:rFonts w:ascii="仿宋_GB2312" w:eastAsia="仿宋_GB2312"/>
          <w:sz w:val="32"/>
          <w:szCs w:val="32"/>
        </w:rPr>
        <w:t>至区财政局</w:t>
      </w:r>
      <w:r>
        <w:rPr>
          <w:rFonts w:hint="eastAsia" w:ascii="仿宋_GB2312" w:eastAsia="仿宋_GB2312"/>
          <w:sz w:val="32"/>
          <w:szCs w:val="32"/>
        </w:rPr>
        <w:t>；绿色生态</w:t>
      </w:r>
      <w:r>
        <w:rPr>
          <w:rFonts w:ascii="仿宋_GB2312" w:eastAsia="仿宋_GB2312"/>
          <w:sz w:val="32"/>
          <w:szCs w:val="32"/>
        </w:rPr>
        <w:t>示范区</w:t>
      </w:r>
      <w:r>
        <w:rPr>
          <w:rFonts w:hint="eastAsia" w:ascii="仿宋_GB2312" w:eastAsia="仿宋_GB2312"/>
          <w:sz w:val="32"/>
          <w:szCs w:val="32"/>
        </w:rPr>
        <w:t>奖励</w:t>
      </w:r>
      <w:r>
        <w:rPr>
          <w:rFonts w:ascii="仿宋_GB2312" w:eastAsia="仿宋_GB2312"/>
          <w:sz w:val="32"/>
          <w:szCs w:val="32"/>
        </w:rPr>
        <w:t>资金安排至市规划自然资源委。</w:t>
      </w:r>
    </w:p>
    <w:p>
      <w:pPr>
        <w:adjustRightInd w:val="0"/>
        <w:snapToGrid w:val="0"/>
        <w:spacing w:line="520" w:lineRule="exact"/>
        <w:ind w:firstLine="640" w:firstLineChars="200"/>
        <w:rPr>
          <w:rFonts w:ascii="仿宋_GB2312" w:hAnsi="仿宋" w:eastAsia="仿宋_GB2312" w:cs="宋体"/>
          <w:color w:val="000000"/>
          <w:sz w:val="32"/>
          <w:szCs w:val="32"/>
        </w:rPr>
      </w:pPr>
      <w:r>
        <w:rPr>
          <w:rFonts w:hint="eastAsia" w:ascii="黑体" w:hAnsi="黑体" w:eastAsia="黑体"/>
          <w:b w:val="0"/>
          <w:bCs w:val="0"/>
          <w:sz w:val="32"/>
          <w:szCs w:val="32"/>
          <w:lang w:eastAsia="zh-CN"/>
        </w:rPr>
        <w:t>（</w:t>
      </w:r>
      <w:r>
        <w:rPr>
          <w:rFonts w:hint="eastAsia" w:ascii="黑体" w:hAnsi="黑体" w:eastAsia="黑体"/>
          <w:b w:val="0"/>
          <w:bCs w:val="0"/>
          <w:sz w:val="32"/>
          <w:szCs w:val="32"/>
          <w:lang w:val="en-US" w:eastAsia="zh-CN"/>
        </w:rPr>
        <w:t>失效）</w:t>
      </w:r>
      <w:r>
        <w:rPr>
          <w:rFonts w:hint="eastAsia" w:ascii="黑体" w:hAnsi="黑体" w:eastAsia="黑体"/>
          <w:color w:val="000000"/>
          <w:sz w:val="32"/>
          <w:szCs w:val="32"/>
        </w:rPr>
        <w:t>第二十五条</w:t>
      </w:r>
      <w:r>
        <w:rPr>
          <w:rFonts w:hint="eastAsia" w:ascii="仿宋_GB2312" w:eastAsia="仿宋_GB2312"/>
          <w:color w:val="000000"/>
          <w:sz w:val="32"/>
          <w:szCs w:val="32"/>
        </w:rPr>
        <w:t xml:space="preserve"> </w:t>
      </w:r>
      <w:r>
        <w:rPr>
          <w:rFonts w:ascii="仿宋_GB2312" w:hAnsi="仿宋" w:eastAsia="仿宋_GB2312" w:cs="宋体"/>
          <w:color w:val="000000"/>
          <w:sz w:val="32"/>
          <w:szCs w:val="32"/>
        </w:rPr>
        <w:t>市</w:t>
      </w:r>
      <w:r>
        <w:rPr>
          <w:rFonts w:hint="eastAsia" w:ascii="仿宋_GB2312" w:hAnsi="仿宋" w:eastAsia="仿宋_GB2312" w:cs="宋体"/>
          <w:color w:val="000000"/>
          <w:sz w:val="32"/>
          <w:szCs w:val="32"/>
        </w:rPr>
        <w:t>住房</w:t>
      </w:r>
      <w:r>
        <w:rPr>
          <w:rFonts w:ascii="仿宋_GB2312" w:hAnsi="仿宋" w:eastAsia="仿宋_GB2312" w:cs="宋体"/>
          <w:color w:val="000000"/>
          <w:sz w:val="32"/>
          <w:szCs w:val="32"/>
        </w:rPr>
        <w:t>城乡建设委、市规划自然资源委</w:t>
      </w:r>
      <w:r>
        <w:rPr>
          <w:rFonts w:hint="eastAsia" w:ascii="仿宋_GB2312" w:hAnsi="仿宋" w:eastAsia="仿宋_GB2312" w:cs="宋体"/>
          <w:color w:val="000000"/>
          <w:sz w:val="32"/>
          <w:szCs w:val="32"/>
        </w:rPr>
        <w:t>、市</w:t>
      </w:r>
      <w:r>
        <w:rPr>
          <w:rFonts w:ascii="仿宋_GB2312" w:hAnsi="仿宋" w:eastAsia="仿宋_GB2312" w:cs="宋体"/>
          <w:color w:val="000000"/>
          <w:sz w:val="32"/>
          <w:szCs w:val="32"/>
        </w:rPr>
        <w:t>财政局</w:t>
      </w:r>
      <w:r>
        <w:rPr>
          <w:rFonts w:hint="eastAsia" w:ascii="仿宋_GB2312" w:hAnsi="仿宋" w:eastAsia="仿宋_GB2312" w:cs="宋体"/>
          <w:color w:val="000000"/>
          <w:sz w:val="32"/>
          <w:szCs w:val="32"/>
        </w:rPr>
        <w:t>按照</w:t>
      </w:r>
      <w:r>
        <w:rPr>
          <w:rFonts w:ascii="仿宋_GB2312" w:hAnsi="仿宋" w:eastAsia="仿宋_GB2312" w:cs="宋体"/>
          <w:color w:val="000000"/>
          <w:sz w:val="32"/>
          <w:szCs w:val="32"/>
        </w:rPr>
        <w:t>部门预算</w:t>
      </w:r>
      <w:r>
        <w:rPr>
          <w:rFonts w:hint="eastAsia" w:ascii="仿宋_GB2312" w:hAnsi="仿宋" w:eastAsia="仿宋_GB2312" w:cs="宋体"/>
          <w:color w:val="000000"/>
          <w:sz w:val="32"/>
          <w:szCs w:val="32"/>
        </w:rPr>
        <w:t>管理</w:t>
      </w:r>
      <w:r>
        <w:rPr>
          <w:rFonts w:ascii="仿宋_GB2312" w:hAnsi="仿宋" w:eastAsia="仿宋_GB2312" w:cs="宋体"/>
          <w:color w:val="000000"/>
          <w:sz w:val="32"/>
          <w:szCs w:val="32"/>
        </w:rPr>
        <w:t>相关要求，</w:t>
      </w:r>
      <w:r>
        <w:rPr>
          <w:rFonts w:hint="eastAsia" w:ascii="仿宋_GB2312" w:hAnsi="仿宋" w:eastAsia="仿宋_GB2312" w:cs="宋体"/>
          <w:color w:val="000000"/>
          <w:sz w:val="32"/>
          <w:szCs w:val="32"/>
        </w:rPr>
        <w:t>组织、</w:t>
      </w:r>
      <w:r>
        <w:rPr>
          <w:rFonts w:ascii="仿宋_GB2312" w:hAnsi="仿宋" w:eastAsia="仿宋_GB2312" w:cs="宋体"/>
          <w:color w:val="000000"/>
          <w:sz w:val="32"/>
          <w:szCs w:val="32"/>
        </w:rPr>
        <w:t>指导各区</w:t>
      </w:r>
      <w:r>
        <w:rPr>
          <w:rFonts w:hint="eastAsia" w:ascii="仿宋_GB2312" w:hAnsi="仿宋" w:eastAsia="仿宋_GB2312" w:cs="宋体"/>
          <w:color w:val="000000"/>
          <w:sz w:val="32"/>
          <w:szCs w:val="32"/>
        </w:rPr>
        <w:t>开展绩效</w:t>
      </w:r>
      <w:r>
        <w:rPr>
          <w:rFonts w:ascii="仿宋_GB2312" w:hAnsi="仿宋" w:eastAsia="仿宋_GB2312" w:cs="宋体"/>
          <w:color w:val="000000"/>
          <w:sz w:val="32"/>
          <w:szCs w:val="32"/>
        </w:rPr>
        <w:t>评价工作，</w:t>
      </w:r>
      <w:r>
        <w:rPr>
          <w:rFonts w:hint="eastAsia" w:ascii="仿宋_GB2312" w:hAnsi="Calibri" w:eastAsia="仿宋_GB2312" w:cs="楷体"/>
          <w:color w:val="000000"/>
          <w:kern w:val="0"/>
          <w:sz w:val="32"/>
          <w:szCs w:val="30"/>
          <w:lang w:val="zh-CN"/>
        </w:rPr>
        <w:t>强化绩效评价结果运用，奖励资金</w:t>
      </w:r>
      <w:r>
        <w:rPr>
          <w:rFonts w:hint="eastAsia" w:ascii="仿宋_GB2312" w:hAnsi="仿宋" w:eastAsia="仿宋_GB2312" w:cs="宋体"/>
          <w:color w:val="000000"/>
          <w:sz w:val="32"/>
          <w:szCs w:val="32"/>
        </w:rPr>
        <w:t>评价</w:t>
      </w:r>
      <w:r>
        <w:rPr>
          <w:rFonts w:ascii="仿宋_GB2312" w:hAnsi="仿宋" w:eastAsia="仿宋_GB2312" w:cs="宋体"/>
          <w:color w:val="000000"/>
          <w:sz w:val="32"/>
          <w:szCs w:val="32"/>
        </w:rPr>
        <w:t>结果</w:t>
      </w:r>
      <w:r>
        <w:rPr>
          <w:rFonts w:hint="eastAsia" w:ascii="仿宋_GB2312" w:hAnsi="仿宋" w:eastAsia="仿宋_GB2312" w:cs="宋体"/>
          <w:color w:val="000000"/>
          <w:sz w:val="32"/>
          <w:szCs w:val="32"/>
        </w:rPr>
        <w:t>适时</w:t>
      </w:r>
      <w:r>
        <w:rPr>
          <w:rFonts w:ascii="仿宋_GB2312" w:hAnsi="仿宋" w:eastAsia="仿宋_GB2312" w:cs="宋体"/>
          <w:color w:val="000000"/>
          <w:sz w:val="32"/>
          <w:szCs w:val="32"/>
        </w:rPr>
        <w:t>进行公开</w:t>
      </w:r>
      <w:r>
        <w:rPr>
          <w:rFonts w:hint="eastAsia" w:ascii="仿宋_GB2312" w:hAnsi="仿宋" w:eastAsia="仿宋_GB2312" w:cs="宋体"/>
          <w:color w:val="000000"/>
          <w:sz w:val="32"/>
          <w:szCs w:val="32"/>
        </w:rPr>
        <w:t>。</w:t>
      </w:r>
    </w:p>
    <w:p>
      <w:pPr>
        <w:adjustRightInd w:val="0"/>
        <w:snapToGrid w:val="0"/>
        <w:spacing w:line="460" w:lineRule="exact"/>
        <w:ind w:firstLine="640" w:firstLineChars="200"/>
        <w:jc w:val="left"/>
        <w:rPr>
          <w:rFonts w:ascii="仿宋_GB2312" w:eastAsia="仿宋_GB2312"/>
          <w:sz w:val="32"/>
          <w:szCs w:val="32"/>
        </w:rPr>
      </w:pPr>
    </w:p>
    <w:p>
      <w:pPr>
        <w:adjustRightInd w:val="0"/>
        <w:snapToGrid w:val="0"/>
        <w:spacing w:line="460" w:lineRule="exact"/>
        <w:jc w:val="center"/>
        <w:rPr>
          <w:rFonts w:hint="eastAsia" w:ascii="黑体" w:eastAsia="黑体"/>
          <w:sz w:val="32"/>
          <w:szCs w:val="32"/>
        </w:rPr>
      </w:pPr>
      <w:r>
        <w:rPr>
          <w:rFonts w:hint="eastAsia" w:ascii="黑体" w:eastAsia="黑体"/>
          <w:sz w:val="32"/>
          <w:szCs w:val="32"/>
        </w:rPr>
        <w:t>第七章 监督管理</w:t>
      </w:r>
    </w:p>
    <w:p>
      <w:pPr>
        <w:adjustRightInd w:val="0"/>
        <w:snapToGrid w:val="0"/>
        <w:spacing w:line="460" w:lineRule="exact"/>
        <w:jc w:val="center"/>
        <w:rPr>
          <w:rFonts w:ascii="仿宋_GB2312" w:eastAsia="仿宋_GB2312"/>
          <w:sz w:val="32"/>
          <w:szCs w:val="32"/>
        </w:rPr>
      </w:pPr>
    </w:p>
    <w:p>
      <w:pPr>
        <w:adjustRightInd w:val="0"/>
        <w:snapToGrid w:val="0"/>
        <w:spacing w:line="520" w:lineRule="exact"/>
        <w:ind w:firstLine="640" w:firstLineChars="200"/>
        <w:rPr>
          <w:rFonts w:ascii="仿宋_GB2312" w:eastAsia="仿宋_GB2312"/>
          <w:sz w:val="32"/>
          <w:szCs w:val="32"/>
        </w:rPr>
      </w:pPr>
      <w:r>
        <w:rPr>
          <w:rFonts w:hint="eastAsia" w:ascii="黑体" w:hAnsi="黑体" w:eastAsia="黑体"/>
          <w:b w:val="0"/>
          <w:bCs w:val="0"/>
          <w:sz w:val="32"/>
          <w:szCs w:val="32"/>
          <w:lang w:eastAsia="zh-CN"/>
        </w:rPr>
        <w:t>（</w:t>
      </w:r>
      <w:r>
        <w:rPr>
          <w:rFonts w:hint="eastAsia" w:ascii="黑体" w:hAnsi="黑体" w:eastAsia="黑体"/>
          <w:b w:val="0"/>
          <w:bCs w:val="0"/>
          <w:sz w:val="32"/>
          <w:szCs w:val="32"/>
          <w:lang w:val="en-US" w:eastAsia="zh-CN"/>
        </w:rPr>
        <w:t>失效）</w:t>
      </w:r>
      <w:r>
        <w:rPr>
          <w:rFonts w:hint="eastAsia" w:ascii="黑体" w:hAnsi="黑体" w:eastAsia="黑体"/>
          <w:sz w:val="32"/>
          <w:szCs w:val="32"/>
        </w:rPr>
        <w:t>第二十六条</w:t>
      </w:r>
      <w:r>
        <w:rPr>
          <w:rFonts w:hint="eastAsia" w:ascii="仿宋_GB2312" w:eastAsia="仿宋_GB2312"/>
          <w:sz w:val="32"/>
          <w:szCs w:val="32"/>
        </w:rPr>
        <w:t xml:space="preserve"> 各行</w:t>
      </w:r>
      <w:r>
        <w:rPr>
          <w:rFonts w:ascii="仿宋_GB2312" w:eastAsia="仿宋_GB2312"/>
          <w:sz w:val="32"/>
          <w:szCs w:val="32"/>
        </w:rPr>
        <w:t>政管理部门依职能</w:t>
      </w:r>
      <w:r>
        <w:rPr>
          <w:rFonts w:hint="eastAsia" w:ascii="仿宋_GB2312" w:eastAsia="仿宋_GB2312"/>
          <w:sz w:val="32"/>
          <w:szCs w:val="32"/>
        </w:rPr>
        <w:t>加强对奖励资金的使用</w:t>
      </w:r>
      <w:r>
        <w:rPr>
          <w:rFonts w:ascii="仿宋_GB2312" w:eastAsia="仿宋_GB2312"/>
          <w:sz w:val="32"/>
          <w:szCs w:val="32"/>
        </w:rPr>
        <w:t>和管理</w:t>
      </w:r>
      <w:r>
        <w:rPr>
          <w:rFonts w:hint="eastAsia" w:ascii="仿宋_GB2312" w:eastAsia="仿宋_GB2312"/>
          <w:sz w:val="32"/>
          <w:szCs w:val="32"/>
        </w:rPr>
        <w:t>，申报</w:t>
      </w:r>
      <w:r>
        <w:rPr>
          <w:rFonts w:ascii="仿宋_GB2312" w:eastAsia="仿宋_GB2312"/>
          <w:sz w:val="32"/>
          <w:szCs w:val="32"/>
        </w:rPr>
        <w:t>单位</w:t>
      </w:r>
      <w:r>
        <w:rPr>
          <w:rFonts w:hint="eastAsia" w:ascii="仿宋_GB2312" w:eastAsia="仿宋_GB2312"/>
          <w:sz w:val="32"/>
          <w:szCs w:val="32"/>
        </w:rPr>
        <w:t>出现以下情况之一的，应当追缴扣回奖励资金，并取消相应资格。</w:t>
      </w:r>
    </w:p>
    <w:p>
      <w:pPr>
        <w:adjustRightInd w:val="0"/>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t>（一）提供虚假</w:t>
      </w:r>
      <w:r>
        <w:rPr>
          <w:rFonts w:ascii="仿宋_GB2312" w:eastAsia="仿宋_GB2312"/>
          <w:sz w:val="32"/>
          <w:szCs w:val="32"/>
        </w:rPr>
        <w:t>材料，</w:t>
      </w:r>
      <w:r>
        <w:rPr>
          <w:rFonts w:hint="eastAsia" w:ascii="仿宋_GB2312" w:eastAsia="仿宋_GB2312"/>
          <w:sz w:val="32"/>
          <w:szCs w:val="32"/>
        </w:rPr>
        <w:t>故意</w:t>
      </w:r>
      <w:r>
        <w:rPr>
          <w:rFonts w:ascii="仿宋_GB2312" w:eastAsia="仿宋_GB2312"/>
          <w:sz w:val="32"/>
          <w:szCs w:val="32"/>
        </w:rPr>
        <w:t>套取财政</w:t>
      </w:r>
      <w:r>
        <w:rPr>
          <w:rFonts w:hint="eastAsia" w:ascii="仿宋_GB2312" w:eastAsia="仿宋_GB2312"/>
          <w:sz w:val="32"/>
          <w:szCs w:val="32"/>
        </w:rPr>
        <w:t>奖励</w:t>
      </w:r>
      <w:r>
        <w:rPr>
          <w:rFonts w:ascii="仿宋_GB2312" w:eastAsia="仿宋_GB2312"/>
          <w:sz w:val="32"/>
          <w:szCs w:val="32"/>
        </w:rPr>
        <w:t>资金；</w:t>
      </w:r>
    </w:p>
    <w:p>
      <w:pPr>
        <w:adjustRightInd w:val="0"/>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t>（二）同一项目多头或重复申请市级财政奖励资金，未及时告知或退返；</w:t>
      </w:r>
    </w:p>
    <w:p>
      <w:pPr>
        <w:adjustRightInd w:val="0"/>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t>（三）拒绝接受监督检查，拒绝报送基本能耗数据和建筑运行信息，被举报问题经查实等其他情况；</w:t>
      </w:r>
    </w:p>
    <w:p>
      <w:pPr>
        <w:adjustRightInd w:val="0"/>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t>（四）</w:t>
      </w:r>
      <w:r>
        <w:rPr>
          <w:rFonts w:ascii="仿宋_GB2312" w:eastAsia="仿宋_GB2312"/>
          <w:sz w:val="32"/>
          <w:szCs w:val="32"/>
        </w:rPr>
        <w:t>侵</w:t>
      </w:r>
      <w:r>
        <w:rPr>
          <w:rFonts w:hint="eastAsia" w:ascii="仿宋_GB2312" w:eastAsia="仿宋_GB2312"/>
          <w:sz w:val="32"/>
          <w:szCs w:val="32"/>
        </w:rPr>
        <w:t>占或</w:t>
      </w:r>
      <w:r>
        <w:rPr>
          <w:rFonts w:ascii="仿宋_GB2312" w:eastAsia="仿宋_GB2312"/>
          <w:sz w:val="32"/>
          <w:szCs w:val="32"/>
        </w:rPr>
        <w:t>挪用</w:t>
      </w:r>
      <w:r>
        <w:rPr>
          <w:rFonts w:hint="eastAsia" w:ascii="仿宋_GB2312" w:eastAsia="仿宋_GB2312"/>
          <w:sz w:val="32"/>
          <w:szCs w:val="32"/>
        </w:rPr>
        <w:t>奖励</w:t>
      </w:r>
      <w:r>
        <w:rPr>
          <w:rFonts w:ascii="仿宋_GB2312" w:eastAsia="仿宋_GB2312"/>
          <w:sz w:val="32"/>
          <w:szCs w:val="32"/>
        </w:rPr>
        <w:t>资金</w:t>
      </w:r>
      <w:r>
        <w:rPr>
          <w:rFonts w:hint="eastAsia" w:ascii="仿宋_GB2312" w:eastAsia="仿宋_GB2312"/>
          <w:sz w:val="32"/>
          <w:szCs w:val="32"/>
        </w:rPr>
        <w:t>，造成严重</w:t>
      </w:r>
      <w:r>
        <w:rPr>
          <w:rFonts w:ascii="仿宋_GB2312" w:eastAsia="仿宋_GB2312"/>
          <w:sz w:val="32"/>
          <w:szCs w:val="32"/>
        </w:rPr>
        <w:t>影响；</w:t>
      </w:r>
    </w:p>
    <w:p>
      <w:pPr>
        <w:adjustRightInd w:val="0"/>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t>（五）不符合</w:t>
      </w:r>
      <w:r>
        <w:rPr>
          <w:rFonts w:ascii="仿宋_GB2312" w:eastAsia="仿宋_GB2312"/>
          <w:sz w:val="32"/>
          <w:szCs w:val="32"/>
        </w:rPr>
        <w:t>国家、</w:t>
      </w:r>
      <w:r>
        <w:rPr>
          <w:rFonts w:hint="eastAsia" w:ascii="仿宋_GB2312" w:eastAsia="仿宋_GB2312"/>
          <w:sz w:val="32"/>
          <w:szCs w:val="32"/>
        </w:rPr>
        <w:t>我市有关</w:t>
      </w:r>
      <w:r>
        <w:rPr>
          <w:rFonts w:ascii="仿宋_GB2312" w:eastAsia="仿宋_GB2312"/>
          <w:sz w:val="32"/>
          <w:szCs w:val="32"/>
        </w:rPr>
        <w:t>规定</w:t>
      </w:r>
      <w:r>
        <w:rPr>
          <w:rFonts w:hint="eastAsia" w:ascii="仿宋_GB2312" w:eastAsia="仿宋_GB2312"/>
          <w:sz w:val="32"/>
          <w:szCs w:val="32"/>
        </w:rPr>
        <w:t>的</w:t>
      </w:r>
      <w:r>
        <w:rPr>
          <w:rFonts w:ascii="仿宋_GB2312" w:eastAsia="仿宋_GB2312"/>
          <w:sz w:val="32"/>
          <w:szCs w:val="32"/>
        </w:rPr>
        <w:t>行为。</w:t>
      </w:r>
    </w:p>
    <w:p>
      <w:pPr>
        <w:adjustRightInd w:val="0"/>
        <w:snapToGrid w:val="0"/>
        <w:spacing w:line="520" w:lineRule="exact"/>
        <w:ind w:firstLine="640" w:firstLineChars="200"/>
        <w:rPr>
          <w:rFonts w:ascii="仿宋_GB2312" w:eastAsia="仿宋_GB2312"/>
          <w:sz w:val="32"/>
          <w:szCs w:val="32"/>
        </w:rPr>
      </w:pPr>
      <w:r>
        <w:rPr>
          <w:rFonts w:hint="eastAsia" w:ascii="黑体" w:hAnsi="黑体" w:eastAsia="黑体"/>
          <w:b w:val="0"/>
          <w:bCs w:val="0"/>
          <w:sz w:val="32"/>
          <w:szCs w:val="32"/>
          <w:lang w:eastAsia="zh-CN"/>
        </w:rPr>
        <w:t>（</w:t>
      </w:r>
      <w:r>
        <w:rPr>
          <w:rFonts w:hint="eastAsia" w:ascii="黑体" w:hAnsi="黑体" w:eastAsia="黑体"/>
          <w:b w:val="0"/>
          <w:bCs w:val="0"/>
          <w:sz w:val="32"/>
          <w:szCs w:val="32"/>
          <w:lang w:val="en-US" w:eastAsia="zh-CN"/>
        </w:rPr>
        <w:t>失效）</w:t>
      </w:r>
      <w:r>
        <w:rPr>
          <w:rFonts w:hint="eastAsia" w:ascii="黑体" w:hAnsi="黑体" w:eastAsia="黑体"/>
          <w:sz w:val="32"/>
          <w:szCs w:val="32"/>
        </w:rPr>
        <w:t>第二十七条</w:t>
      </w:r>
      <w:r>
        <w:rPr>
          <w:rFonts w:hint="eastAsia" w:ascii="仿宋_GB2312" w:eastAsia="仿宋_GB2312"/>
          <w:sz w:val="32"/>
          <w:szCs w:val="32"/>
        </w:rPr>
        <w:t xml:space="preserve"> 各</w:t>
      </w:r>
      <w:r>
        <w:rPr>
          <w:rFonts w:hint="eastAsia" w:ascii="仿宋_GB2312" w:eastAsia="仿宋_GB2312"/>
          <w:sz w:val="32"/>
        </w:rPr>
        <w:t>相关单位应当按照政府信息公开有关要求，依法公开奖励资金相关情况，广泛接受社会监督，自觉接受审计、监察等部门的监督检查。</w:t>
      </w:r>
    </w:p>
    <w:p>
      <w:pPr>
        <w:adjustRightInd w:val="0"/>
        <w:snapToGrid w:val="0"/>
        <w:spacing w:line="460" w:lineRule="exact"/>
        <w:ind w:firstLine="640" w:firstLineChars="200"/>
        <w:rPr>
          <w:rFonts w:ascii="仿宋_GB2312" w:hAnsi="仿宋" w:eastAsia="仿宋_GB2312" w:cs="宋体"/>
          <w:sz w:val="32"/>
          <w:szCs w:val="32"/>
        </w:rPr>
      </w:pPr>
      <w:r>
        <w:rPr>
          <w:rFonts w:hint="eastAsia" w:ascii="黑体" w:hAnsi="黑体" w:eastAsia="黑体"/>
          <w:b w:val="0"/>
          <w:bCs w:val="0"/>
          <w:sz w:val="32"/>
          <w:szCs w:val="32"/>
          <w:lang w:eastAsia="zh-CN"/>
        </w:rPr>
        <w:t>（</w:t>
      </w:r>
      <w:r>
        <w:rPr>
          <w:rFonts w:hint="eastAsia" w:ascii="黑体" w:hAnsi="黑体" w:eastAsia="黑体"/>
          <w:b w:val="0"/>
          <w:bCs w:val="0"/>
          <w:sz w:val="32"/>
          <w:szCs w:val="32"/>
          <w:lang w:val="en-US" w:eastAsia="zh-CN"/>
        </w:rPr>
        <w:t>失效）</w:t>
      </w:r>
      <w:r>
        <w:rPr>
          <w:rFonts w:hint="eastAsia" w:ascii="黑体" w:hAnsi="黑体" w:eastAsia="黑体"/>
          <w:sz w:val="32"/>
          <w:szCs w:val="32"/>
        </w:rPr>
        <w:t>第二十八条</w:t>
      </w:r>
      <w:r>
        <w:rPr>
          <w:rFonts w:hint="eastAsia" w:ascii="仿宋_GB2312" w:eastAsia="仿宋_GB2312"/>
          <w:sz w:val="32"/>
          <w:szCs w:val="32"/>
        </w:rPr>
        <w:t xml:space="preserve"> 任何</w:t>
      </w:r>
      <w:r>
        <w:rPr>
          <w:rFonts w:ascii="仿宋_GB2312" w:eastAsia="仿宋_GB2312"/>
          <w:sz w:val="32"/>
          <w:szCs w:val="32"/>
        </w:rPr>
        <w:t>单位不得以</w:t>
      </w:r>
      <w:r>
        <w:rPr>
          <w:rFonts w:hint="eastAsia" w:ascii="仿宋_GB2312" w:eastAsia="仿宋_GB2312"/>
          <w:sz w:val="32"/>
          <w:szCs w:val="32"/>
        </w:rPr>
        <w:t>任何</w:t>
      </w:r>
      <w:r>
        <w:rPr>
          <w:rFonts w:ascii="仿宋_GB2312" w:eastAsia="仿宋_GB2312"/>
          <w:sz w:val="32"/>
          <w:szCs w:val="32"/>
        </w:rPr>
        <w:t>理由、任何形式</w:t>
      </w:r>
      <w:r>
        <w:rPr>
          <w:rFonts w:hint="eastAsia" w:ascii="仿宋_GB2312" w:hAnsi="仿宋" w:eastAsia="仿宋_GB2312" w:cs="宋体"/>
          <w:sz w:val="32"/>
          <w:szCs w:val="32"/>
        </w:rPr>
        <w:t>虚报、冒领、截留、挪用、滞留奖励资金。对于</w:t>
      </w:r>
      <w:r>
        <w:rPr>
          <w:rFonts w:ascii="仿宋_GB2312" w:hAnsi="仿宋" w:eastAsia="仿宋_GB2312" w:cs="宋体"/>
          <w:sz w:val="32"/>
          <w:szCs w:val="32"/>
        </w:rPr>
        <w:t>发现的违法违规行为，</w:t>
      </w:r>
      <w:r>
        <w:rPr>
          <w:rFonts w:hint="eastAsia" w:ascii="仿宋_GB2312" w:hAnsi="仿宋" w:eastAsia="仿宋_GB2312" w:cs="宋体"/>
          <w:sz w:val="32"/>
          <w:szCs w:val="32"/>
        </w:rPr>
        <w:t>依照《财政违法行为处罚处分条例》（国务院令第427号）等有关规定</w:t>
      </w:r>
      <w:r>
        <w:rPr>
          <w:rFonts w:hint="eastAsia" w:ascii="仿宋_GB2312" w:eastAsia="仿宋_GB2312"/>
          <w:sz w:val="32"/>
          <w:szCs w:val="32"/>
        </w:rPr>
        <w:t>追究相应责任</w:t>
      </w:r>
      <w:r>
        <w:rPr>
          <w:rFonts w:hint="eastAsia" w:ascii="仿宋_GB2312" w:hAnsi="仿宋" w:eastAsia="仿宋_GB2312" w:cs="宋体"/>
          <w:sz w:val="32"/>
          <w:szCs w:val="32"/>
        </w:rPr>
        <w:t>。构成犯罪的，依法移交司法机关追究其刑事责任。</w:t>
      </w:r>
    </w:p>
    <w:p>
      <w:pPr>
        <w:adjustRightInd w:val="0"/>
        <w:snapToGrid w:val="0"/>
        <w:spacing w:line="460" w:lineRule="exact"/>
        <w:ind w:firstLine="640" w:firstLineChars="200"/>
        <w:rPr>
          <w:rFonts w:ascii="仿宋_GB2312" w:hAnsi="仿宋" w:eastAsia="仿宋_GB2312" w:cs="宋体"/>
          <w:sz w:val="32"/>
          <w:szCs w:val="32"/>
        </w:rPr>
      </w:pPr>
    </w:p>
    <w:p>
      <w:pPr>
        <w:adjustRightInd w:val="0"/>
        <w:snapToGrid w:val="0"/>
        <w:spacing w:line="460" w:lineRule="exact"/>
        <w:jc w:val="center"/>
        <w:rPr>
          <w:rFonts w:hint="eastAsia" w:ascii="黑体" w:eastAsia="黑体"/>
          <w:sz w:val="32"/>
          <w:szCs w:val="32"/>
        </w:rPr>
      </w:pPr>
      <w:r>
        <w:rPr>
          <w:rFonts w:hint="eastAsia" w:ascii="黑体" w:eastAsia="黑体"/>
          <w:sz w:val="32"/>
          <w:szCs w:val="32"/>
        </w:rPr>
        <w:t>第八章 附则</w:t>
      </w:r>
    </w:p>
    <w:p>
      <w:pPr>
        <w:adjustRightInd w:val="0"/>
        <w:snapToGrid w:val="0"/>
        <w:spacing w:line="460" w:lineRule="exact"/>
        <w:jc w:val="center"/>
        <w:rPr>
          <w:rFonts w:ascii="仿宋_GB2312" w:eastAsia="仿宋_GB2312"/>
          <w:sz w:val="32"/>
          <w:szCs w:val="32"/>
        </w:rPr>
      </w:pPr>
    </w:p>
    <w:p>
      <w:pPr>
        <w:adjustRightInd w:val="0"/>
        <w:snapToGrid w:val="0"/>
        <w:spacing w:line="520" w:lineRule="exact"/>
        <w:ind w:firstLine="640" w:firstLineChars="200"/>
        <w:rPr>
          <w:rFonts w:ascii="仿宋_GB2312" w:eastAsia="仿宋_GB2312"/>
          <w:sz w:val="32"/>
        </w:rPr>
      </w:pPr>
      <w:r>
        <w:rPr>
          <w:rFonts w:hint="eastAsia" w:ascii="黑体" w:hAnsi="黑体" w:eastAsia="黑体"/>
          <w:b w:val="0"/>
          <w:bCs w:val="0"/>
          <w:sz w:val="32"/>
          <w:szCs w:val="32"/>
          <w:lang w:eastAsia="zh-CN"/>
        </w:rPr>
        <w:t>（</w:t>
      </w:r>
      <w:r>
        <w:rPr>
          <w:rFonts w:hint="eastAsia" w:ascii="黑体" w:hAnsi="黑体" w:eastAsia="黑体"/>
          <w:b w:val="0"/>
          <w:bCs w:val="0"/>
          <w:sz w:val="32"/>
          <w:szCs w:val="32"/>
          <w:lang w:val="en-US" w:eastAsia="zh-CN"/>
        </w:rPr>
        <w:t>失效）</w:t>
      </w:r>
      <w:r>
        <w:rPr>
          <w:rFonts w:hint="eastAsia" w:ascii="黑体" w:hAnsi="黑体" w:eastAsia="黑体"/>
          <w:sz w:val="32"/>
          <w:szCs w:val="32"/>
        </w:rPr>
        <w:t>第二十九条</w:t>
      </w:r>
      <w:r>
        <w:rPr>
          <w:rFonts w:hint="eastAsia" w:ascii="仿宋_GB2312" w:eastAsia="仿宋_GB2312"/>
          <w:sz w:val="32"/>
          <w:szCs w:val="32"/>
        </w:rPr>
        <w:t xml:space="preserve"> </w:t>
      </w:r>
      <w:r>
        <w:rPr>
          <w:rFonts w:hint="eastAsia" w:ascii="仿宋_GB2312" w:eastAsia="仿宋_GB2312"/>
          <w:sz w:val="32"/>
        </w:rPr>
        <w:t>本办法由市住房城乡建设委、市规划自然资源委和市财政局负责解释。</w:t>
      </w:r>
    </w:p>
    <w:p>
      <w:pPr>
        <w:adjustRightInd w:val="0"/>
        <w:snapToGrid w:val="0"/>
        <w:spacing w:line="520" w:lineRule="exact"/>
        <w:ind w:firstLine="640" w:firstLineChars="200"/>
        <w:rPr>
          <w:rFonts w:ascii="仿宋_GB2312" w:eastAsia="仿宋_GB2312"/>
          <w:sz w:val="32"/>
        </w:rPr>
      </w:pPr>
      <w:r>
        <w:rPr>
          <w:rFonts w:hint="eastAsia" w:ascii="黑体" w:hAnsi="黑体" w:eastAsia="黑体"/>
          <w:b w:val="0"/>
          <w:bCs w:val="0"/>
          <w:sz w:val="32"/>
          <w:szCs w:val="32"/>
          <w:lang w:eastAsia="zh-CN"/>
        </w:rPr>
        <w:t>（</w:t>
      </w:r>
      <w:r>
        <w:rPr>
          <w:rFonts w:hint="eastAsia" w:ascii="黑体" w:hAnsi="黑体" w:eastAsia="黑体"/>
          <w:b w:val="0"/>
          <w:bCs w:val="0"/>
          <w:sz w:val="32"/>
          <w:szCs w:val="32"/>
          <w:lang w:val="en-US" w:eastAsia="zh-CN"/>
        </w:rPr>
        <w:t>失效）</w:t>
      </w:r>
      <w:r>
        <w:rPr>
          <w:rFonts w:hint="eastAsia" w:ascii="黑体" w:hAnsi="黑体" w:eastAsia="黑体"/>
          <w:sz w:val="32"/>
          <w:szCs w:val="32"/>
        </w:rPr>
        <w:t>第三十条</w:t>
      </w:r>
      <w:r>
        <w:rPr>
          <w:rFonts w:hint="eastAsia" w:ascii="仿宋_GB2312" w:eastAsia="仿宋_GB2312"/>
          <w:sz w:val="32"/>
          <w:szCs w:val="32"/>
        </w:rPr>
        <w:t xml:space="preserve"> </w:t>
      </w:r>
      <w:r>
        <w:rPr>
          <w:rFonts w:hint="eastAsia" w:ascii="仿宋_GB2312" w:eastAsia="仿宋_GB2312"/>
          <w:sz w:val="32"/>
        </w:rPr>
        <w:t>各区可结合本区实际，研究制定本区装配式建筑、绿色建筑和</w:t>
      </w:r>
      <w:r>
        <w:rPr>
          <w:rFonts w:ascii="仿宋_GB2312" w:eastAsia="仿宋_GB2312"/>
          <w:sz w:val="32"/>
        </w:rPr>
        <w:t>绿色</w:t>
      </w:r>
      <w:r>
        <w:rPr>
          <w:rFonts w:hint="eastAsia" w:ascii="仿宋_GB2312" w:eastAsia="仿宋_GB2312"/>
          <w:sz w:val="32"/>
        </w:rPr>
        <w:t>生</w:t>
      </w:r>
      <w:r>
        <w:rPr>
          <w:rFonts w:ascii="仿宋_GB2312" w:eastAsia="仿宋_GB2312"/>
          <w:sz w:val="32"/>
        </w:rPr>
        <w:t>态示范区</w:t>
      </w:r>
      <w:r>
        <w:rPr>
          <w:rFonts w:hint="eastAsia" w:ascii="仿宋_GB2312" w:eastAsia="仿宋_GB2312"/>
          <w:sz w:val="32"/>
        </w:rPr>
        <w:t>项目的奖励政策。</w:t>
      </w:r>
    </w:p>
    <w:p>
      <w:pPr>
        <w:spacing w:line="540" w:lineRule="exact"/>
        <w:ind w:firstLine="636" w:firstLineChars="199"/>
        <w:rPr>
          <w:rFonts w:hint="eastAsia" w:ascii="仿宋_GB2312" w:eastAsia="仿宋_GB2312"/>
          <w:b/>
          <w:sz w:val="32"/>
          <w:szCs w:val="32"/>
        </w:rPr>
      </w:pPr>
      <w:r>
        <w:rPr>
          <w:rFonts w:hint="eastAsia" w:ascii="黑体" w:hAnsi="黑体" w:eastAsia="黑体"/>
          <w:b w:val="0"/>
          <w:bCs w:val="0"/>
          <w:sz w:val="32"/>
          <w:szCs w:val="32"/>
          <w:lang w:eastAsia="zh-CN"/>
        </w:rPr>
        <w:t>（</w:t>
      </w:r>
      <w:r>
        <w:rPr>
          <w:rFonts w:hint="eastAsia" w:ascii="黑体" w:hAnsi="黑体" w:eastAsia="黑体"/>
          <w:b w:val="0"/>
          <w:bCs w:val="0"/>
          <w:sz w:val="32"/>
          <w:szCs w:val="32"/>
          <w:lang w:val="en-US" w:eastAsia="zh-CN"/>
        </w:rPr>
        <w:t>失效）</w:t>
      </w:r>
      <w:bookmarkStart w:id="1" w:name="_GoBack"/>
      <w:bookmarkEnd w:id="1"/>
      <w:r>
        <w:rPr>
          <w:rFonts w:hint="eastAsia" w:ascii="黑体" w:hAnsi="黑体" w:eastAsia="黑体"/>
          <w:sz w:val="32"/>
          <w:szCs w:val="32"/>
        </w:rPr>
        <w:t>第三十一条</w:t>
      </w:r>
      <w:r>
        <w:rPr>
          <w:rFonts w:hint="eastAsia" w:ascii="仿宋_GB2312" w:eastAsia="仿宋_GB2312"/>
          <w:sz w:val="32"/>
          <w:szCs w:val="32"/>
        </w:rPr>
        <w:t xml:space="preserve"> </w:t>
      </w:r>
      <w:r>
        <w:rPr>
          <w:rFonts w:hint="eastAsia" w:ascii="仿宋_GB2312" w:eastAsia="仿宋_GB2312"/>
          <w:sz w:val="32"/>
        </w:rPr>
        <w:t>本办法自印发之日起施行,有效期三年。原</w:t>
      </w:r>
      <w:r>
        <w:rPr>
          <w:rFonts w:ascii="仿宋_GB2312" w:eastAsia="仿宋_GB2312"/>
          <w:sz w:val="32"/>
        </w:rPr>
        <w:t>《</w:t>
      </w:r>
      <w:r>
        <w:rPr>
          <w:rFonts w:hint="eastAsia" w:ascii="仿宋_GB2312" w:eastAsia="仿宋_GB2312"/>
          <w:sz w:val="32"/>
        </w:rPr>
        <w:t>北京市发展绿色建筑推动绿色生态示范区建设奖励资金管理暂行办法》（</w:t>
      </w:r>
      <w:r>
        <w:rPr>
          <w:rFonts w:ascii="仿宋_GB2312" w:eastAsia="仿宋_GB2312"/>
          <w:sz w:val="32"/>
        </w:rPr>
        <w:t>京财经二</w:t>
      </w:r>
      <w:r>
        <w:rPr>
          <w:rFonts w:hint="eastAsia" w:ascii="仿宋_GB2312" w:eastAsia="仿宋_GB2312"/>
          <w:sz w:val="32"/>
        </w:rPr>
        <w:t>〔2014〕665号</w:t>
      </w:r>
      <w:r>
        <w:rPr>
          <w:rFonts w:ascii="仿宋_GB2312" w:eastAsia="仿宋_GB2312"/>
          <w:sz w:val="32"/>
        </w:rPr>
        <w:t>）</w:t>
      </w:r>
      <w:r>
        <w:rPr>
          <w:rFonts w:hint="eastAsia" w:ascii="仿宋_GB2312" w:eastAsia="仿宋_GB2312"/>
          <w:sz w:val="32"/>
        </w:rPr>
        <w:t>中的规定与本办法不一致的，以本办法为准。</w:t>
      </w:r>
    </w:p>
    <w:p>
      <w:pPr>
        <w:autoSpaceDE w:val="0"/>
        <w:autoSpaceDN w:val="0"/>
        <w:adjustRightInd w:val="0"/>
        <w:spacing w:line="540" w:lineRule="exact"/>
        <w:ind w:firstLine="800" w:firstLineChars="250"/>
        <w:rPr>
          <w:rFonts w:hint="eastAsia" w:ascii="仿宋_GB2312" w:hAnsi="Courier New" w:eastAsia="仿宋_GB2312"/>
          <w:color w:val="000000"/>
          <w:sz w:val="32"/>
          <w:szCs w:val="32"/>
        </w:rPr>
      </w:pPr>
    </w:p>
    <w:p>
      <w:pPr>
        <w:autoSpaceDE w:val="0"/>
        <w:autoSpaceDN w:val="0"/>
        <w:adjustRightInd w:val="0"/>
        <w:spacing w:line="540" w:lineRule="exact"/>
        <w:ind w:firstLine="800" w:firstLineChars="250"/>
        <w:rPr>
          <w:rFonts w:hint="eastAsia" w:ascii="仿宋_GB2312" w:hAnsi="Courier New" w:eastAsia="仿宋_GB2312"/>
          <w:color w:val="000000"/>
          <w:sz w:val="32"/>
          <w:szCs w:val="32"/>
        </w:rPr>
      </w:pPr>
    </w:p>
    <w:p>
      <w:pPr>
        <w:autoSpaceDE w:val="0"/>
        <w:autoSpaceDN w:val="0"/>
        <w:adjustRightInd w:val="0"/>
        <w:spacing w:line="540" w:lineRule="exact"/>
        <w:ind w:firstLine="800" w:firstLineChars="250"/>
        <w:rPr>
          <w:rFonts w:hint="eastAsia" w:ascii="仿宋_GB2312" w:hAnsi="Courier New" w:eastAsia="仿宋_GB2312"/>
          <w:color w:val="000000"/>
          <w:sz w:val="32"/>
          <w:szCs w:val="32"/>
        </w:rPr>
      </w:pPr>
    </w:p>
    <w:p>
      <w:pPr>
        <w:autoSpaceDE w:val="0"/>
        <w:autoSpaceDN w:val="0"/>
        <w:adjustRightInd w:val="0"/>
        <w:spacing w:line="540" w:lineRule="exact"/>
        <w:ind w:firstLine="800" w:firstLineChars="250"/>
        <w:rPr>
          <w:rFonts w:hint="eastAsia" w:ascii="仿宋_GB2312" w:hAnsi="Courier New" w:eastAsia="仿宋_GB2312"/>
          <w:color w:val="000000"/>
          <w:sz w:val="32"/>
          <w:szCs w:val="32"/>
        </w:rPr>
      </w:pPr>
    </w:p>
    <w:p>
      <w:pPr>
        <w:autoSpaceDE w:val="0"/>
        <w:autoSpaceDN w:val="0"/>
        <w:adjustRightInd w:val="0"/>
        <w:spacing w:line="480" w:lineRule="exact"/>
        <w:ind w:firstLine="800" w:firstLineChars="250"/>
        <w:rPr>
          <w:rFonts w:hint="eastAsia" w:ascii="仿宋_GB2312" w:hAnsi="Courier New" w:eastAsia="仿宋_GB2312"/>
          <w:color w:val="000000"/>
          <w:sz w:val="32"/>
          <w:szCs w:val="32"/>
        </w:rPr>
      </w:pPr>
      <w:r>
        <w:rPr>
          <w:rFonts w:hint="eastAsia" w:ascii="仿宋_GB2312" w:hAnsi="Courier New" w:eastAsia="仿宋_GB2312"/>
          <w:color w:val="000000"/>
          <w:sz w:val="32"/>
          <w:szCs w:val="32"/>
        </w:rPr>
        <w:t>（此件公开发布）</w:t>
      </w:r>
    </w:p>
    <w:p>
      <w:pPr>
        <w:tabs>
          <w:tab w:val="left" w:pos="7920"/>
          <w:tab w:val="left" w:pos="8100"/>
          <w:tab w:val="left" w:pos="8280"/>
        </w:tabs>
        <w:spacing w:line="560" w:lineRule="exact"/>
        <w:ind w:firstLine="315" w:firstLineChars="150"/>
        <w:rPr>
          <w:rFonts w:hint="eastAsia" w:ascii="仿宋_GB2312" w:eastAsia="仿宋_GB2312"/>
          <w:w w:val="90"/>
          <w:sz w:val="32"/>
          <w:szCs w:val="32"/>
        </w:rPr>
      </w:pPr>
      <w:r>
        <w:rPr>
          <w:rFonts w:hint="eastAsia"/>
        </w:rPr>
        <w:pict>
          <v:line id="Line 538" o:spid="_x0000_s1029" o:spt="20" style="position:absolute;left:0pt;margin-left:5.3pt;margin-top:3.15pt;height:0pt;width:436.9pt;z-index:251660288;mso-width-relative:page;mso-height-relative:page;" coordsize="21600,21600">
            <v:path arrowok="t"/>
            <v:fill focussize="0,0"/>
            <v:stroke weight="1pt"/>
            <v:imagedata o:title=""/>
            <o:lock v:ext="edit"/>
          </v:line>
        </w:pict>
      </w:r>
      <w:r>
        <w:rPr>
          <w:rFonts w:hint="eastAsia"/>
        </w:rPr>
        <w:pict>
          <v:line id="Line 537" o:spid="_x0000_s1028" o:spt="20" style="position:absolute;left:0pt;margin-left:5.3pt;margin-top:29.05pt;height:0pt;width:441pt;z-index:251659264;mso-width-relative:page;mso-height-relative:page;" coordsize="21600,21600">
            <v:path arrowok="t"/>
            <v:fill focussize="0,0"/>
            <v:stroke weight="1pt"/>
            <v:imagedata o:title=""/>
            <o:lock v:ext="edit"/>
          </v:line>
        </w:pict>
      </w:r>
      <w:r>
        <w:rPr>
          <w:rFonts w:hint="eastAsia" w:ascii="仿宋_GB2312" w:eastAsia="仿宋_GB2312"/>
          <w:kern w:val="32"/>
          <w:sz w:val="28"/>
          <w:szCs w:val="28"/>
        </w:rPr>
        <w:t>北京市住房和城乡建设委员会办公室</w:t>
      </w:r>
      <w:r>
        <w:rPr>
          <w:rFonts w:hint="eastAsia" w:ascii="仿宋_GB2312" w:eastAsia="仿宋_GB2312"/>
          <w:sz w:val="28"/>
          <w:szCs w:val="28"/>
        </w:rPr>
        <w:t xml:space="preserve">        </w:t>
      </w:r>
      <w:r>
        <w:rPr>
          <w:rFonts w:hint="eastAsia" w:ascii="仿宋_GB2312" w:eastAsia="仿宋_GB2312"/>
          <w:kern w:val="32"/>
          <w:sz w:val="28"/>
          <w:szCs w:val="28"/>
        </w:rPr>
        <w:t>2020年4月17日印发</w:t>
      </w:r>
      <w:bookmarkEnd w:id="0"/>
    </w:p>
    <w:p/>
    <w:sectPr>
      <w:headerReference r:id="rId3" w:type="default"/>
      <w:footerReference r:id="rId4" w:type="default"/>
      <w:footerReference r:id="rId5" w:type="even"/>
      <w:pgSz w:w="11906" w:h="16838"/>
      <w:pgMar w:top="1701" w:right="1474" w:bottom="1701"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11 -</w:t>
    </w:r>
    <w:r>
      <w:rPr>
        <w:rFonts w:ascii="宋体" w:hAnsi="宋体"/>
        <w:sz w:val="28"/>
        <w:szCs w:val="2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10 -</w:t>
    </w:r>
    <w:r>
      <w:rPr>
        <w:rFonts w:ascii="宋体" w:hAnsi="宋体"/>
        <w:sz w:val="28"/>
        <w:szCs w:val="28"/>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5639B"/>
    <w:multiLevelType w:val="multilevel"/>
    <w:tmpl w:val="0005639B"/>
    <w:lvl w:ilvl="0" w:tentative="0">
      <w:start w:val="1"/>
      <w:numFmt w:val="japaneseCounting"/>
      <w:lvlText w:val="第%1章"/>
      <w:lvlJc w:val="left"/>
      <w:pPr>
        <w:ind w:left="1155" w:hanging="115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M1YmY4ODZjNzI3MmQ2NGFlNDQ5MjE1OWU2MzlmMTIifQ=="/>
  </w:docVars>
  <w:rsids>
    <w:rsidRoot w:val="00AB398D"/>
    <w:rsid w:val="00100B1A"/>
    <w:rsid w:val="004B3D6B"/>
    <w:rsid w:val="00AB398D"/>
    <w:rsid w:val="5BB66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iPriority w:val="0"/>
    <w:pPr>
      <w:tabs>
        <w:tab w:val="center" w:pos="4153"/>
        <w:tab w:val="right" w:pos="8306"/>
      </w:tabs>
      <w:snapToGrid w:val="0"/>
      <w:jc w:val="left"/>
    </w:pPr>
    <w:rPr>
      <w:sz w:val="18"/>
      <w:szCs w:val="18"/>
    </w:rPr>
  </w:style>
  <w:style w:type="paragraph" w:styleId="3">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autoRedefine/>
    <w:uiPriority w:val="0"/>
  </w:style>
  <w:style w:type="character" w:customStyle="1" w:styleId="7">
    <w:name w:val="页脚 Char"/>
    <w:basedOn w:val="5"/>
    <w:link w:val="2"/>
    <w:autoRedefine/>
    <w:qFormat/>
    <w:uiPriority w:val="0"/>
    <w:rPr>
      <w:rFonts w:ascii="Times New Roman" w:hAnsi="Times New Roman" w:eastAsia="宋体" w:cs="Times New Roman"/>
      <w:sz w:val="18"/>
      <w:szCs w:val="18"/>
    </w:rPr>
  </w:style>
  <w:style w:type="character" w:customStyle="1" w:styleId="8">
    <w:name w:val="页眉 Char"/>
    <w:basedOn w:val="5"/>
    <w:link w:val="3"/>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804</Words>
  <Characters>4586</Characters>
  <Lines>38</Lines>
  <Paragraphs>10</Paragraphs>
  <TotalTime>5</TotalTime>
  <ScaleCrop>false</ScaleCrop>
  <LinksUpToDate>false</LinksUpToDate>
  <CharactersWithSpaces>5380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2020-04-24T08:18:00Z</dcterms:created>
  <dc:creator>周博</dc:creator>
  <cp:lastModifiedBy>金梅</cp:lastModifiedBy>
  <dcterms:modified xsi:type="dcterms:W3CDTF">2024-02-22T06:16:23Z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54FD68DADE784582B9768B849AC63997_12</vt:lpwstr>
  </property>
</Properties>
</file>