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Times New Roman" w:hAnsi="Times New Roman" w:cs="Times New Roman"/>
          <w:sz w:val="44"/>
          <w:szCs w:val="44"/>
        </w:rPr>
      </w:pPr>
      <w:bookmarkStart w:id="0" w:name="_GoBack"/>
      <w:r>
        <w:rPr>
          <w:rFonts w:ascii="Times New Roman" w:hAnsi="Times New Roman" w:cs="Times New Roman"/>
          <w:sz w:val="44"/>
          <w:szCs w:val="44"/>
        </w:rPr>
        <w:t>国有土地上房屋征收与补偿条例</w:t>
      </w:r>
      <w:bookmarkEnd w:id="0"/>
    </w:p>
    <w:p>
      <w:pPr>
        <w:pStyle w:val="6"/>
        <w:ind w:firstLine="880" w:firstLineChars="200"/>
        <w:jc w:val="center"/>
        <w:rPr>
          <w:rFonts w:ascii="Times New Roman" w:hAnsi="Times New Roman" w:cs="Times New Roman"/>
          <w:sz w:val="44"/>
          <w:szCs w:val="44"/>
        </w:rPr>
      </w:pPr>
    </w:p>
    <w:p>
      <w:pPr>
        <w:pStyle w:val="6"/>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(2011年1月19日国务院第141次常务会议通过　2011年1月21日中华人民共和国国务院令第590号公布　自公布之日起施行)</w:t>
      </w:r>
    </w:p>
    <w:p>
      <w:pPr>
        <w:pStyle w:val="2"/>
        <w:bidi w:val="0"/>
      </w:pPr>
      <w:r>
        <w:t>第一章　总则</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为了规范国有土地上房屋征收与补偿活动，维护公共利益，保障被征收房屋所有权人的合法权益，制定本条例。</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为了公共利益的需要，征收国有土地上单位、个人的房屋，应当对被征收房屋所有权人(以下称被征收人)给予公平补偿。</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房屋征收与补偿应当遵循决策民主、程序正当、结果公开的原则。</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市、县级人民政府负责本行政区域的房屋征收与补偿工作。</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市、县级人民政府确定的房屋征收部门(以下称房屋征收部门)组织实施本行政区域的房屋征收与补偿工作。</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市、县级人民政府有关部门应当依照本条例的规定和本级人民政府规定的职责分工，互相配合，保障房屋征收与补偿工作的顺利进行。</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房屋征收部门可以委托房屋征收实施单位，承担房屋征收与补偿的具体工作。房屋征收实施单位不得以营利为目的。</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房屋征收部门对房屋征收实施单位在委托范围内实施的房屋征收与补偿行为负责监督，并对其行为后果承担法律责任。</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上级人民政府应当加强对下级人民政府房屋征收与补偿工作的监督。</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国务院住房城乡建设主管部门和省、自治区、直辖市人民政府住房城乡建设主管部门应当会同同级财政、国土资源、发展改革等有关部门，加强对房屋征收与补偿实施工作的指导。</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任何组织和个人对违反本条例规定的行为，都有权向有关人民政府、房屋征收部门和其他有关部门举报。接到举报的有关人民政府、房屋征收部门和其他有关部门对举报应当及时核实、处理。</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监察机关应当加强对参与房屋征收与补偿工作的政府和有关部门或者单位及其工作人员的监察。</w:t>
      </w:r>
    </w:p>
    <w:p>
      <w:pPr>
        <w:pStyle w:val="2"/>
        <w:bidi w:val="0"/>
      </w:pPr>
      <w:r>
        <w:t>第二章　征收决定</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为了保障国家安全、促进国民经济和社会发展等公共利益的需要，有下列情形之一，确需征收房屋的，由市、县级人民政府作出房屋征收决定：</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(一)国防和外交的需要；</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(二)由政府组织实施的能源、交通、水利等基础设施建设的需要；</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(三)由政府组织实施的科技、教育、文化、卫生、体育、环境和资源保护、防灾减灾、文物保护、社会福利、市政公用等公共事业的需要；</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(四)由政府组织实施的保障性安居工程建设的需要；</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(五)由政府依照城乡规划法有关规定组织实施的对危房集中、基础设施落后等地段进行旧城区改建的需要；</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(六)法律、行政法规规定的其他公共利益的需要。</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依照本条例第八条规定，确需征收房屋的各项建设活动，应当符合国民经济和社会发展规划、土地利用总体规划、城乡规划和专项规划。保障性安居工程建设、旧城区改建，应当纳入市、县级国民经济和社会发展年度计划。</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制定国民经济和社会发展规划、土地利用总体规划、城乡规划和专项规划，应当广泛征求社会公众意见，经过科学论证。</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房屋征收部门拟定征收补偿方案，报市、县级人民政府。</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市、县级人民政府应当组织有关部门对征收补偿方案进行论证并予以公布，征求公众意见。征求意见期限不得少于30日。</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市、县级人民政府应当将征求意见情况和根据公众意见修改的情况及时公布。</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因旧城区改建需要征收房屋，多数被征收人认为征收补偿方案不符合本条例规定的，市、县级人民政府应当组织由被征收人和公众代表参加的听证会，并根据听证会情况修改方案。</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市、县级人民政府作出房屋征收决定前，应当按照有关规定进行社会稳定风险评估；房屋征收决定涉及被征收人数量较多的，应当经政府常务会议讨论决定。</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作出房屋征收决定前，征收补偿费用应当足额到位、专户存储、专款专用。</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市、县级人民政府作出房屋征收决定后应当及时公告。公告应当载明征收补偿方案和行政复议、行政诉讼权利等事项。</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市、县级人民政府及房屋征收部门应当做好房屋征收与补偿的宣传、解释工作。</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房屋被依法征收的，国有土地使用权同时收回。</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被征收人对市、县级人民政府作出的房屋征收决定不服的，可以依法申请行政复议，也可以依法提起行政诉讼。</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房屋征收部门应当对房屋征收范围内房屋的权属、区位、用途、建筑面积等情况组织调查登记，被征收人应当予以配合。调查结果应当在房屋征收范围内向被征收人公布。</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房屋征收范围确定后，不得在房屋征收范围内实施新建、扩建、改建房屋和改变房屋用途等不当增加补偿费用的行为；违反规定实施的，不予补偿。</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房屋征收部门应当将前款所列事项书面通知有关部门暂停办理相关手续。暂停办理相关手续的书面通知应当载明暂停期限。暂停期限最长不得超过1年。</w:t>
      </w:r>
    </w:p>
    <w:p>
      <w:pPr>
        <w:pStyle w:val="2"/>
        <w:bidi w:val="0"/>
      </w:pPr>
      <w:r>
        <w:t>第三章　补偿</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作出房屋征收决定的市、县级人民政府对被征收人给予的补偿包括：</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(一)被征收房屋价值的补偿；</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(二)因征收房屋造成的搬迁、临时安置的补偿；</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(三)因征收房屋造成的停产停业损失的补偿。</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市、县级人民政府应当制定补助和奖励办法，对被征收人给予补助和奖励。</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征收个人住宅，被征收人符合住房保障条件的，作出房屋征收决定的市、县级人民政府应当优先给予住房保障。具体办法由省、自治区、直辖市制定。</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对被征收房屋价值的补偿，不得低于房屋征收决定公告之日被征收房屋类似房地产的市场价格。被征收房屋的价值，由具有相应资质的房地产价格评估机构按照房屋征收评估办法评估确定。</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对评估确定的被征收房屋价值有异议的，可以向房地产价格评估机构申请复核评估。对复核结果有异议的，可以向房地产价格评估专家委员会申请鉴定。</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房屋征收评估办法由国务院住房城乡建设主管部门制定，制定过程中，应当向社会公开征求意见。</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房地产价格评估机构由被征收人协商选定；协商不成的，通过多数决定、随机选定等方式确定，具体办法由省、自治区、直辖市制定。</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房地产价格评估机构应当独立、客观、公正地开展房屋征收评估工作，任何单位和个人不得干预。</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被征收人可以选择货币补偿，也可以选择房屋产权调换。</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被征收人选择房屋产权调换的，市、县级人民政府应当提供用于产权调换的房屋，并与被征收人计算、结清被征收房屋价值与用于产权调换房屋价值的差价。</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因旧城区改建征收个人住宅，被征收人选择在改建地段进行房屋产权调换的，作出房屋征收决定的市、县级人民政府应当提供改建地段或者就近地段的房屋。</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因征收房屋造成搬迁的，房屋征收部门应当向被征收人支付搬迁费；选择房屋产权调换的，产权调换房屋交付前，房屋征收部门应当向被征收人支付临时安置费或者提供周转用房。</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对因征收房屋造成停产停业损失的补偿，根据房屋被征收前的效益、停产停业期限等因素确定。具体办法由省、自治区、直辖市制定。</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市、县级人民政府及其有关部门应当依法加强对建设活动的监督管理，对违反城乡规划进行建设的，依法予以处理。</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县级人民政府作出房屋征收决定前，应当组织有关部门依法对征收范围内未经登记的建筑进行调查、认定和处理。对认定为合法建筑和未超过批准期限的临时建筑的，应当给予补偿；对认定为违法建筑和超过批准期限的临时建筑的，不予补偿。</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房屋征收部门与被征收人依照本条例的规定，就补偿方式、补偿金额和支付期限、用于产权调换房屋的地点和面积、搬迁费、临时安置费或者周转用房、停产停业损失、搬迁期限、过渡方式和过渡期限等事项，订立补偿协议。</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补偿协议订立后，一方当事人不履行补偿协议约定的义务的，另一方当事人可以依法提起诉讼。</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房屋征收部门与被征收人在征收补偿方案确定的签约期限内达不成补偿协议，或者被征收房屋所有权人不明确的，由房屋征收部门报请作出房屋征收决定的市、县级人民政府依照本条例的规定，按照征收补偿方案作出补偿决定，并在房屋征收范围内予以公告。</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补偿决定应当公平，包括本条例第二十五条第一款规定的有关补偿协议的事项。</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被征收人对补偿决定不服的，可以依法申请行政复议，也可以依法提起行政诉讼。</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实施房屋征收应当先补偿、后搬迁。</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作出房屋征收决定的市、县级人民政府对被征收人给予补偿后，被征收人应当在补偿协议约定或者补偿决定确定的搬迁期限内完成搬迁。</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任何单位和个人不得采取暴力、威胁或者违反规定中断供水、供热、供气、供电和道路通行等非法方式迫使被征收人搬迁。禁止建设单位参与搬迁活动。</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被征收人在法定期限内不申请行政复议或者不提起行政诉讼，在补偿决定规定的期限内又不搬迁的，由作出房屋征收决定的市、县级人民政府依法申请人民法院强制执行。</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强制执行申请书应当附具补偿金额和专户存储账号、产权调换房屋和周转用房的地点和面积等材料。</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房屋征收部门应当依法建立房屋征收补偿档案，并将分户补偿情况在房屋征收范围内向被征收人公布。</w:t>
      </w:r>
    </w:p>
    <w:p>
      <w:pPr>
        <w:pStyle w:val="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审计机关应当加强对征收补偿费用管理和使用情况的监督，并公布审计结果。</w:t>
      </w:r>
    </w:p>
    <w:p>
      <w:pPr>
        <w:pStyle w:val="2"/>
        <w:bidi w:val="0"/>
      </w:pPr>
      <w:r>
        <w:t>第四章　法律责任</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市、县级人民政府及房屋征收部门的工作人员在房屋征收与补偿工作中不履行本条例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采取暴力、威胁等方法阻碍依法进行的房屋征收与补偿工作，构成犯罪的，依法追究刑事责任；构成违反治安管理行为的，依法给予治安管理处罚。</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pPr>
        <w:pStyle w:val="6"/>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pPr>
        <w:pStyle w:val="2"/>
        <w:bidi w:val="0"/>
      </w:pPr>
      <w:r>
        <w:t>第五章　附则</w:t>
      </w:r>
    </w:p>
    <w:p>
      <w:pPr>
        <w:pStyle w:val="6"/>
        <w:widowControl/>
        <w:ind w:left="0"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本条例自公布之日起施行。2001年6月13日国务院公布的《城市房屋拆迁管理条例》同时废止。本条例施行前已依法取得房屋拆迁许可证的项目，继续沿用原有的规定办理，但政府不得责成有关部门强制拆迁。</w:t>
      </w:r>
    </w:p>
    <w:p/>
    <w:sectPr>
      <w:footerReference r:id="rId3" w:type="default"/>
      <w:pgSz w:w="11906" w:h="16838"/>
      <w:pgMar w:top="1440" w:right="1753" w:bottom="1440" w:left="175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nW5VKywEAAHIDAAAOAAAA&#10;AAAAAAEAIAAAADQBAABkcnMvZTJvRG9jLnhtbFBLBQYAAAAABgAGAFkBAABxBQAAAAA=&#10;">
              <v:fill on="f" focussize="0,0"/>
              <v:stroke on="f"/>
              <v:imagedata o:title=""/>
              <o:lock v:ext="edit" aspectratio="f"/>
              <v:textbox inset="0mm,0mm,0mm,0mm" style="mso-fit-shape-to-text:t;">
                <w:txbxContent>
                  <w:p>
                    <w:pPr>
                      <w:pStyle w:val="7"/>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CB042"/>
    <w:rsid w:val="16FEE10C"/>
    <w:rsid w:val="3B7B48C3"/>
    <w:rsid w:val="54BEE801"/>
    <w:rsid w:val="6B6F11E8"/>
    <w:rsid w:val="74FCB042"/>
    <w:rsid w:val="7DD7F72F"/>
    <w:rsid w:val="7FF90ADF"/>
    <w:rsid w:val="DDFB2BCE"/>
    <w:rsid w:val="EF7EEC68"/>
    <w:rsid w:val="F6FF2EB1"/>
    <w:rsid w:val="FBDAC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小标宋简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方正小标宋简体"/>
    </w:rPr>
  </w:style>
  <w:style w:type="paragraph" w:styleId="5">
    <w:name w:val="heading 4"/>
    <w:basedOn w:val="1"/>
    <w:next w:val="1"/>
    <w:link w:val="10"/>
    <w:semiHidden/>
    <w:unhideWhenUsed/>
    <w:qFormat/>
    <w:uiPriority w:val="0"/>
    <w:pPr>
      <w:keepNext/>
      <w:keepLines/>
      <w:spacing w:before="280" w:beforeLines="0" w:beforeAutospacing="0" w:after="290" w:afterLines="0" w:afterAutospacing="0" w:line="372" w:lineRule="auto"/>
      <w:outlineLvl w:val="3"/>
    </w:pPr>
    <w:rPr>
      <w:rFonts w:ascii="Arial" w:hAnsi="Arial" w:eastAsia="CESI仿宋-GB2312"/>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character" w:customStyle="1" w:styleId="10">
    <w:name w:val="标题 4 Char"/>
    <w:link w:val="5"/>
    <w:qFormat/>
    <w:uiPriority w:val="0"/>
    <w:rPr>
      <w:rFonts w:ascii="Arial" w:hAnsi="Arial" w:eastAsia="CESI仿宋-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2022-04-02T15:29:00Z</dcterms:created>
  <dc:creator>uos</dc:creator>
  <cp:lastModifiedBy>uos</cp:lastModifiedBy>
  <dcterms:modified xsi:type="dcterms:W3CDTF">2022-04-02T15:30:21Z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