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pStyle w:val="2"/>
        <w:rPr>
          <w:rFonts w:hint="eastAsia"/>
          <w:lang w:val="en-US" w:eastAsia="zh-CN"/>
        </w:rPr>
      </w:pPr>
    </w:p>
    <w:p>
      <w:pPr>
        <w:adjustRightInd w:val="0"/>
        <w:snapToGrid w:val="0"/>
        <w:jc w:val="center"/>
        <w:textAlignment w:val="center"/>
        <w:rPr>
          <w:rFonts w:ascii="方正小标宋简体" w:hAnsi="宋体" w:eastAsia="方正小标宋简体" w:cs="宋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auto"/>
          <w:sz w:val="44"/>
          <w:szCs w:val="44"/>
          <w:lang w:eastAsia="zh-CN"/>
        </w:rPr>
        <w:t>建立</w:t>
      </w:r>
      <w:r>
        <w:rPr>
          <w:rFonts w:hint="eastAsia" w:ascii="方正小标宋简体" w:hAnsi="宋体" w:eastAsia="方正小标宋简体" w:cs="宋体"/>
          <w:color w:val="auto"/>
          <w:sz w:val="44"/>
          <w:szCs w:val="44"/>
        </w:rPr>
        <w:t>城镇国有土地上依法建造住宅漏雨</w:t>
      </w:r>
    </w:p>
    <w:p>
      <w:pPr>
        <w:adjustRightInd w:val="0"/>
        <w:snapToGrid w:val="0"/>
        <w:jc w:val="center"/>
        <w:textAlignment w:val="center"/>
        <w:rPr>
          <w:rFonts w:ascii="方正小标宋简体" w:hAnsi="宋体" w:eastAsia="方正小标宋简体" w:cs="宋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auto"/>
          <w:sz w:val="44"/>
          <w:szCs w:val="44"/>
        </w:rPr>
        <w:t>维修</w:t>
      </w:r>
      <w:r>
        <w:rPr>
          <w:rFonts w:hint="eastAsia" w:ascii="方正小标宋简体" w:hAnsi="宋体" w:eastAsia="方正小标宋简体" w:cs="宋体"/>
          <w:color w:val="auto"/>
          <w:sz w:val="44"/>
          <w:szCs w:val="44"/>
          <w:lang w:eastAsia="zh-CN"/>
        </w:rPr>
        <w:t>快速响应机制指引</w:t>
      </w:r>
      <w:r>
        <w:rPr>
          <w:rFonts w:hint="eastAsia" w:ascii="方正小标宋简体" w:hAnsi="宋体" w:eastAsia="方正小标宋简体" w:cs="宋体"/>
          <w:color w:val="auto"/>
          <w:sz w:val="44"/>
          <w:szCs w:val="44"/>
        </w:rPr>
        <w:t>（试行）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为认真贯彻落实</w:t>
      </w:r>
      <w:r>
        <w:rPr>
          <w:rFonts w:hint="eastAsia" w:ascii="仿宋_GB2312" w:eastAsia="仿宋_GB2312"/>
          <w:color w:val="auto"/>
          <w:sz w:val="32"/>
          <w:szCs w:val="32"/>
        </w:rPr>
        <w:t>北京市2024年重要民生实事项目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中关于“坚持房屋漏雨维修快速响应机制”的要求，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结合我市城镇国有土地上依法建造住宅漏雨实际情况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，制定本指引。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left="720" w:leftChars="0" w:firstLine="0" w:firstLineChars="0"/>
        <w:rPr>
          <w:rFonts w:eastAsia="黑体"/>
          <w:snapToGrid w:val="0"/>
          <w:color w:val="auto"/>
          <w:sz w:val="32"/>
          <w:szCs w:val="32"/>
        </w:rPr>
      </w:pPr>
      <w:r>
        <w:rPr>
          <w:rFonts w:hint="eastAsia" w:hAnsi="黑体" w:eastAsia="黑体"/>
          <w:snapToGrid w:val="0"/>
          <w:color w:val="auto"/>
          <w:sz w:val="32"/>
          <w:szCs w:val="32"/>
        </w:rPr>
        <w:t>工作原则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建立城镇房屋漏雨维修快速响应机制，坚持属地为主、分级负责，不同产别、各自建立，责任到人、快速维修，防治结合、综合治理，确保响应快速的原则。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Ansi="黑体" w:eastAsia="黑体"/>
          <w:snapToGrid w:val="0"/>
          <w:color w:val="auto"/>
          <w:sz w:val="32"/>
          <w:szCs w:val="32"/>
        </w:rPr>
      </w:pPr>
      <w:r>
        <w:rPr>
          <w:rFonts w:hint="eastAsia" w:hAnsi="黑体" w:eastAsia="黑体"/>
          <w:snapToGrid w:val="0"/>
          <w:color w:val="auto"/>
          <w:sz w:val="32"/>
          <w:szCs w:val="32"/>
        </w:rPr>
        <w:t>二、</w:t>
      </w:r>
      <w:r>
        <w:rPr>
          <w:rFonts w:hint="eastAsia" w:hAnsi="黑体" w:eastAsia="黑体"/>
          <w:snapToGrid w:val="0"/>
          <w:color w:val="auto"/>
          <w:sz w:val="32"/>
          <w:szCs w:val="32"/>
          <w:lang w:eastAsia="zh-CN"/>
        </w:rPr>
        <w:t>建立快速响应</w:t>
      </w:r>
      <w:r>
        <w:rPr>
          <w:rFonts w:hint="eastAsia" w:hAnsi="黑体" w:eastAsia="黑体"/>
          <w:snapToGrid w:val="0"/>
          <w:color w:val="auto"/>
          <w:sz w:val="32"/>
          <w:szCs w:val="32"/>
        </w:rPr>
        <w:t>责任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质量保修期内的城镇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房屋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漏雨维修，由建设单位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建立快速响应机制；质量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保修期外的城镇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房屋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漏雨维修，按照不同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产别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管理方式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由建设单位、房屋所有权人、管理单位、物业服务人、使用人、专业运营单位等落实各方维修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快速响应机制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实施物业服务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的住宅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。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对于房屋漏雨问题，由物业服务人牵头建立住宅漏雨维修快速响应机制，物业服务人应配备抢险抢修队伍和储备抢险抢修物资。响应机制应做到“四明确两记录”，即明确建设单位、施工单位、物业服务人各自职责，明确应急维修单位，明确统一的漏雨报修电话，明确具体责任人员，并做好报修记录、处置记录。“四明确内容”应在小区明显位置进行公示，做到报修出小区，维修快处置，</w:t>
      </w:r>
      <w:r>
        <w:rPr>
          <w:rFonts w:hint="eastAsia" w:ascii="仿宋_GB2312" w:eastAsia="仿宋_GB2312" w:cs="宋体"/>
          <w:color w:val="auto"/>
          <w:kern w:val="0"/>
          <w:sz w:val="32"/>
          <w:szCs w:val="18"/>
          <w:lang w:eastAsia="zh-CN"/>
        </w:rPr>
        <w:t>并同步公示属地社区、街道及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各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区住建委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房管局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 w:cs="宋体"/>
          <w:color w:val="auto"/>
          <w:kern w:val="0"/>
          <w:sz w:val="32"/>
          <w:szCs w:val="18"/>
          <w:lang w:eastAsia="zh-CN"/>
        </w:rPr>
        <w:t>监督电话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漏雨问题属于建设单位保修范围的，建设单位接到报修后，应按照购房合同约定立即组织应急维修，履行报修义务。物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业服务人收到报修案件的应及时向建设单位反馈，建设单位维修不及时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的，各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区住建委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房管局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）督促建设单位对漏雨问题进行及时维修。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超出保修期属于物业服务合同维修范围的，物业服务人应按照物业服务合同约定，及时对漏雨部位进行维修。超出物业服务合同维修范围的，符合住宅专项维修资金使用范围和使用条件的，物业服务人应及时将房屋漏雨情况报送至属地居（村）民委员会、业委会（物管会），按照住宅专项维修资金相关政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eastAsia="zh-CN"/>
        </w:rPr>
        <w:t>策快速依法支取住宅专项维修资金进行维修。各区按照住宅专项维修资金相关政策快速响应，及时依法审批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eastAsia="zh-CN"/>
        </w:rPr>
        <w:t>备案）。物业服务合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同维修范围之外，属于业主专有部位的房屋漏雨维修，物业服务人可提供有偿服务供业主选择，收费标准应进行公示。</w:t>
      </w:r>
    </w:p>
    <w:p>
      <w:pPr>
        <w:pStyle w:val="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对于漏雨问题集中的小区，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各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区住建委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房管局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物业单位或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建设单位采取增设报修电话、制定维修计划、增加维修班组等措施，确保按时保质完成维修工作。</w:t>
      </w:r>
    </w:p>
    <w:p>
      <w:pPr>
        <w:pStyle w:val="13"/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</w:rPr>
        <w:t>（二）直管公房。</w:t>
      </w:r>
      <w:r>
        <w:rPr>
          <w:rFonts w:hint="eastAsia" w:hAnsi="仿宋" w:cs="仿宋"/>
          <w:color w:val="auto"/>
          <w:lang w:eastAsia="zh-CN"/>
        </w:rPr>
        <w:t>产权单位应建立维修快速响应机制，区分层级片区、管理人和联系方式，并主动进行公示，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保证房屋漏雨问题得到快速解决</w:t>
      </w:r>
      <w:r>
        <w:rPr>
          <w:rFonts w:hint="eastAsia" w:hAnsi="仿宋" w:cs="仿宋"/>
          <w:color w:val="auto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topLinePunct w:val="0"/>
        <w:bidi w:val="0"/>
        <w:spacing w:after="0" w:line="560" w:lineRule="exact"/>
        <w:ind w:left="0" w:leftChars="0" w:firstLine="640" w:firstLineChars="200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（三）央产单位。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对于部队和央产住宅漏雨问题，属地街道（乡镇）和社区要提醒央产单位及时解决漏雨问题，必要时请市、区服务中央单位和驻京部队工作职能部门向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所属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单位的上级部门反映。</w:t>
      </w:r>
    </w:p>
    <w:p>
      <w:pPr>
        <w:pStyle w:val="13"/>
        <w:ind w:firstLine="640" w:firstLineChars="200"/>
        <w:rPr>
          <w:rFonts w:hint="eastAsia" w:hAnsi="仿宋" w:eastAsia="仿宋_GB2312" w:cs="仿宋"/>
          <w:color w:val="auto"/>
          <w:lang w:val="en-US" w:eastAsia="zh-CN"/>
        </w:rPr>
      </w:pPr>
      <w:r>
        <w:rPr>
          <w:rFonts w:hint="eastAsia" w:ascii="楷体" w:hAnsi="楷体" w:eastAsia="楷体" w:cs="楷体"/>
          <w:color w:val="auto"/>
        </w:rPr>
        <w:t>（</w:t>
      </w:r>
      <w:r>
        <w:rPr>
          <w:rFonts w:hint="eastAsia" w:ascii="楷体" w:hAnsi="楷体" w:eastAsia="楷体" w:cs="楷体"/>
          <w:color w:val="auto"/>
          <w:lang w:eastAsia="zh-CN"/>
        </w:rPr>
        <w:t>四</w:t>
      </w:r>
      <w:r>
        <w:rPr>
          <w:rFonts w:hint="eastAsia" w:ascii="楷体" w:hAnsi="楷体" w:eastAsia="楷体" w:cs="楷体"/>
          <w:color w:val="auto"/>
        </w:rPr>
        <w:t>）企事业单位自行管理的</w:t>
      </w:r>
      <w:r>
        <w:rPr>
          <w:rFonts w:hint="eastAsia" w:ascii="楷体" w:hAnsi="楷体" w:eastAsia="楷体" w:cs="楷体"/>
          <w:color w:val="auto"/>
          <w:lang w:eastAsia="zh-CN"/>
        </w:rPr>
        <w:t>房屋</w:t>
      </w:r>
      <w:r>
        <w:rPr>
          <w:rFonts w:hint="eastAsia" w:ascii="楷体" w:hAnsi="楷体" w:eastAsia="楷体" w:cs="楷体"/>
          <w:color w:val="auto"/>
        </w:rPr>
        <w:t>，包括未实施物业管理的房改房。</w:t>
      </w:r>
      <w:r>
        <w:rPr>
          <w:rFonts w:hint="eastAsia" w:hAnsi="仿宋" w:cs="仿宋"/>
          <w:color w:val="auto"/>
          <w:lang w:eastAsia="zh-CN"/>
        </w:rPr>
        <w:t>产权人要建立</w:t>
      </w:r>
      <w:r>
        <w:rPr>
          <w:rFonts w:hint="eastAsia" w:hAnsi="仿宋" w:cs="仿宋"/>
          <w:color w:val="auto"/>
        </w:rPr>
        <w:t>房屋共用部位的漏雨维修</w:t>
      </w:r>
      <w:r>
        <w:rPr>
          <w:rFonts w:hint="eastAsia" w:hAnsi="仿宋" w:cs="仿宋"/>
          <w:color w:val="auto"/>
          <w:lang w:eastAsia="zh-CN"/>
        </w:rPr>
        <w:t>快速响应机制</w:t>
      </w:r>
      <w:r>
        <w:rPr>
          <w:rFonts w:hint="eastAsia" w:hAnsi="仿宋" w:cs="仿宋"/>
          <w:color w:val="auto"/>
        </w:rPr>
        <w:t>，</w:t>
      </w:r>
      <w:r>
        <w:rPr>
          <w:rFonts w:hint="eastAsia" w:hAnsi="仿宋" w:cs="仿宋"/>
          <w:color w:val="auto"/>
          <w:lang w:eastAsia="zh-CN"/>
        </w:rPr>
        <w:t>要公开管理单位维修单位、人员的联系电话，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保证房屋漏雨问题得到快速解决；</w:t>
      </w:r>
    </w:p>
    <w:p>
      <w:pPr>
        <w:adjustRightInd w:val="0"/>
        <w:snapToGrid w:val="0"/>
        <w:spacing w:line="560" w:lineRule="exact"/>
        <w:ind w:firstLine="480" w:firstLineChars="150"/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）（原）产权单位已灭失且无物业管理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的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住宅和无物业管理的回迁房。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街道（乡镇）负责建立房屋漏雨维修快速响应机制，协调社会企业提供有偿维修服务，协调产权单位履职。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）城镇私有平房。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城镇私有平房发生漏雨问题，由产权人或管理人自行维修。</w:t>
      </w:r>
    </w:p>
    <w:p>
      <w:pPr>
        <w:pStyle w:val="5"/>
        <w:ind w:firstLine="640" w:firstLineChars="200"/>
        <w:jc w:val="left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城镇“困难户、五保户”的房屋漏雨维修工作，由街道（乡镇）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协调解决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维修费用。</w:t>
      </w:r>
    </w:p>
    <w:p>
      <w:pPr>
        <w:pStyle w:val="14"/>
        <w:ind w:firstLine="640" w:firstLineChars="200"/>
        <w:rPr>
          <w:rFonts w:hAnsi="黑体" w:eastAsia="黑体"/>
          <w:snapToGrid w:val="0"/>
          <w:color w:val="auto"/>
          <w:sz w:val="32"/>
          <w:szCs w:val="32"/>
        </w:rPr>
      </w:pPr>
      <w:r>
        <w:rPr>
          <w:rFonts w:hint="eastAsia" w:hAnsi="黑体" w:eastAsia="黑体"/>
          <w:snapToGrid w:val="0"/>
          <w:color w:val="auto"/>
          <w:sz w:val="32"/>
          <w:szCs w:val="32"/>
        </w:rPr>
        <w:t>三、组织体系和部门职责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建立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市、区和街道（乡镇）三级组织体系。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市住房城乡建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设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委职责。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指导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和督促各区建立城镇房屋漏雨维修快速响应机制。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default" w:ascii="仿宋_GB2312" w:hAnsi="仿宋" w:eastAsia="仿宋_GB2312" w:cs="仿宋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lang w:eastAsia="zh-CN"/>
        </w:rPr>
        <w:t>一是指导各区建立城镇房屋漏雨维修快速响应机制。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default" w:ascii="仿宋_GB2312" w:hAnsi="仿宋" w:eastAsia="仿宋_GB2312" w:cs="仿宋"/>
          <w:color w:val="auto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二是对各区城镇房屋漏雨维修快速响应机制的建立情况进行检查。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default" w:ascii="仿宋_GB2312" w:hAnsi="仿宋" w:eastAsia="仿宋_GB2312" w:cs="仿宋"/>
          <w:color w:val="auto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三是对市民热线“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12345”反映的房屋漏雨问题各区办理情况进行检查。</w:t>
      </w:r>
    </w:p>
    <w:p>
      <w:pPr>
        <w:adjustRightInd w:val="0"/>
        <w:snapToGrid w:val="0"/>
        <w:spacing w:line="560" w:lineRule="exact"/>
        <w:ind w:firstLine="688" w:firstLineChars="215"/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各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区住建委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房管局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职责。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指导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和督促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街道（乡镇）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建立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城镇房屋漏雨维修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快速响应机制。</w:t>
      </w:r>
    </w:p>
    <w:p>
      <w:pPr>
        <w:adjustRightInd w:val="0"/>
        <w:snapToGrid w:val="0"/>
        <w:spacing w:line="560" w:lineRule="exact"/>
        <w:ind w:firstLine="688" w:firstLineChars="215"/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一是建立本区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城镇房屋漏雨维修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快速响应平台，探索公开维修企业队伍联系方式供相关单位选择，弥补房屋漏雨维修责任人、维修队伍人员不足问题，压实产权人、使用人、管理人的快速维修责任。</w:t>
      </w:r>
    </w:p>
    <w:p>
      <w:pPr>
        <w:adjustRightInd w:val="0"/>
        <w:snapToGrid w:val="0"/>
        <w:spacing w:line="560" w:lineRule="exact"/>
        <w:ind w:firstLine="688" w:firstLineChars="215"/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二是组织不同产别房屋建立快速响应机制。如在小区宣传栏公开房屋各方维修区域、公开维修队伍和维修人员电话；创新小区（院落）维修物资存储运输和人员的接报方式，能够快速到达维修点位开展维修工作。</w:t>
      </w:r>
    </w:p>
    <w:p>
      <w:pPr>
        <w:adjustRightInd w:val="0"/>
        <w:snapToGrid w:val="0"/>
        <w:spacing w:line="560" w:lineRule="exact"/>
        <w:ind w:firstLine="688" w:firstLineChars="215"/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三是要及时获取城市管理指挥中心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派发的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房屋漏雨工单，专人分析实时掌握市民热线反映房屋漏雨维修进展情况，及时督促维修责任人快速维修、热线销账；对于多次维修未果的，引导专业队伍攻坚克难，保证业主反映的房屋漏雨问题能够得到快速解决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（三）各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区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街道（乡镇）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职责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。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各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街道（乡镇）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应开展辖区内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房屋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漏雨维修工单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数据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收集分析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督促产权人、使用人、管理人建立房屋漏雨维修的快速响应机制。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一是报修不出小区，抓好报修、维修的责任单位宣传，督促相关单位公开报修维修电话，每个社区要同步公开监督电话，引导业主遇到房屋漏雨维修问题及时向责任单位、责任人报告，维修责任单位、责任人要按照快速响应机制，派出维修人员携带维修物资器材赶赴维修点位进行快速维修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二是建立维修单位和维修技术人员的黑白名单，并及时公开，同时报送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区住建委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房管局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），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杜绝不具备维修能力的企业、人员参与房屋漏雨维修工作。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三是做好接诉即办工作，主动调度房屋漏雨维修问题。根据往年市民热线“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12345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”工单分析，对重点区域雨前要做好应对工作的准备，雨中要加强巡查检查，雨后要督促各责任单位、责任人快速完成维修工作。</w:t>
      </w:r>
    </w:p>
    <w:p>
      <w:pPr>
        <w:adjustRightInd w:val="0"/>
        <w:snapToGrid w:val="0"/>
        <w:spacing w:line="560" w:lineRule="exact"/>
        <w:ind w:firstLine="640" w:firstLineChars="200"/>
        <w:rPr>
          <w:color w:val="auto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四是做好困难群众帮扶。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对维修责任人暂时无力维修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及时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协调社会企业提供有偿维修服务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，维修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费用按照工程造价定额确定，发生的费用由维修责任人承担，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街道乡镇要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督促维修责任人及时支付维修费用，完成追偿工作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。对于“五保户”、困难户，按照有关政策及时做好房屋漏雨维修工作。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auto"/>
          <w:sz w:val="32"/>
          <w:szCs w:val="32"/>
        </w:rPr>
        <w:t>四、工作要求</w:t>
      </w:r>
    </w:p>
    <w:p>
      <w:pPr>
        <w:adjustRightInd w:val="0"/>
        <w:snapToGrid w:val="0"/>
        <w:spacing w:line="560" w:lineRule="exact"/>
        <w:ind w:firstLine="480" w:firstLineChars="150"/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（一）构建党建引领社区治理框架下的房屋漏雨维修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快速响应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机制。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坚持党委领导、政府主导、居民自治、多方参与、协商共建、科技支撑的工作格局。建立健全社区党组织领导下业主主责，物业服务人、使用人、专业运营单位各负其责，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分头建立房屋漏雨维修快速响应机制。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（二）强化工作督导。</w:t>
      </w:r>
      <w:r>
        <w:rPr>
          <w:rFonts w:hint="eastAsia" w:ascii="仿宋_GB2312" w:hAnsi="仿宋" w:eastAsia="仿宋_GB2312" w:cs="仿宋"/>
          <w:sz w:val="32"/>
          <w:szCs w:val="32"/>
        </w:rPr>
        <w:t>街道（乡镇）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要对不同产别建立的房屋漏雨快速响应机制、公开责任人和维修电话、维修物资储备、业主反映房屋漏雨维修满意度的核查检查，特别是</w:t>
      </w:r>
      <w:r>
        <w:rPr>
          <w:rFonts w:hint="eastAsia" w:ascii="仿宋_GB2312" w:hAnsi="仿宋" w:eastAsia="仿宋_GB2312" w:cs="仿宋"/>
          <w:sz w:val="32"/>
          <w:szCs w:val="32"/>
        </w:rPr>
        <w:t>对诉求较多的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房屋</w:t>
      </w:r>
      <w:r>
        <w:rPr>
          <w:rFonts w:hint="eastAsia" w:ascii="仿宋_GB2312" w:hAnsi="仿宋" w:eastAsia="仿宋_GB2312" w:cs="仿宋"/>
          <w:sz w:val="32"/>
          <w:szCs w:val="32"/>
        </w:rPr>
        <w:t>所有权人或物业服务人维修不及时，拒不履行维修责任，导致业主向市民热线“</w:t>
      </w:r>
      <w:r>
        <w:rPr>
          <w:rFonts w:ascii="仿宋_GB2312" w:hAnsi="仿宋" w:eastAsia="仿宋_GB2312" w:cs="仿宋"/>
          <w:sz w:val="32"/>
          <w:szCs w:val="32"/>
        </w:rPr>
        <w:t>12345</w:t>
      </w:r>
      <w:r>
        <w:rPr>
          <w:rFonts w:hint="eastAsia" w:ascii="仿宋_GB2312" w:hAnsi="仿宋" w:eastAsia="仿宋_GB2312" w:cs="仿宋"/>
          <w:sz w:val="32"/>
          <w:szCs w:val="32"/>
        </w:rPr>
        <w:t>”反映问题较多的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单位进行约谈</w:t>
      </w:r>
      <w:r>
        <w:rPr>
          <w:rFonts w:hint="eastAsia" w:ascii="仿宋_GB2312" w:hAnsi="仿宋" w:eastAsia="仿宋_GB2312" w:cs="仿宋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同时，</w:t>
      </w:r>
      <w:r>
        <w:rPr>
          <w:rFonts w:hint="eastAsia" w:ascii="仿宋_GB2312" w:hAnsi="仿宋" w:eastAsia="仿宋_GB2312" w:cs="仿宋"/>
          <w:sz w:val="32"/>
          <w:szCs w:val="32"/>
        </w:rPr>
        <w:t>可以指定代为履行单位进行强制维修，所需费用由房屋所有权人承担。</w:t>
      </w:r>
    </w:p>
    <w:p>
      <w:pPr>
        <w:adjustRightInd w:val="0"/>
        <w:snapToGrid w:val="0"/>
        <w:spacing w:line="560" w:lineRule="exact"/>
        <w:ind w:firstLine="688" w:firstLineChars="215"/>
        <w:rPr>
          <w:rFonts w:hint="default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（三）加大宣传培训覆盖面。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各区定</w:t>
      </w:r>
      <w:r>
        <w:rPr>
          <w:rFonts w:hint="eastAsia" w:ascii="仿宋_GB2312" w:hAnsi="仿宋" w:eastAsia="仿宋_GB2312" w:cs="仿宋"/>
          <w:sz w:val="32"/>
          <w:szCs w:val="32"/>
        </w:rPr>
        <w:t>期组织街道（乡镇）对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房屋</w:t>
      </w:r>
      <w:r>
        <w:rPr>
          <w:rFonts w:hint="eastAsia" w:ascii="仿宋_GB2312" w:hAnsi="仿宋" w:eastAsia="仿宋_GB2312" w:cs="仿宋"/>
          <w:sz w:val="32"/>
          <w:szCs w:val="32"/>
        </w:rPr>
        <w:t>漏雨维修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快速响应工作</w:t>
      </w:r>
      <w:r>
        <w:rPr>
          <w:rFonts w:hint="eastAsia" w:ascii="仿宋_GB2312" w:hAnsi="仿宋" w:eastAsia="仿宋_GB2312" w:cs="仿宋"/>
          <w:sz w:val="32"/>
          <w:szCs w:val="32"/>
        </w:rPr>
        <w:t>进行宣传和培训；认真梳理属地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住宅</w:t>
      </w:r>
      <w:r>
        <w:rPr>
          <w:rFonts w:hint="eastAsia" w:ascii="仿宋_GB2312" w:hAnsi="仿宋" w:eastAsia="仿宋_GB2312" w:cs="仿宋"/>
          <w:sz w:val="32"/>
          <w:szCs w:val="32"/>
        </w:rPr>
        <w:t>漏雨维修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不及时的典型</w:t>
      </w:r>
      <w:r>
        <w:rPr>
          <w:rFonts w:hint="eastAsia" w:ascii="仿宋_GB2312" w:hAnsi="仿宋" w:eastAsia="仿宋_GB2312" w:cs="仿宋"/>
          <w:sz w:val="32"/>
          <w:szCs w:val="32"/>
        </w:rPr>
        <w:t>案例，强化正向引导，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督促</w:t>
      </w:r>
      <w:r>
        <w:rPr>
          <w:rFonts w:hint="eastAsia" w:ascii="仿宋_GB2312" w:hAnsi="仿宋" w:eastAsia="仿宋_GB2312" w:cs="仿宋"/>
          <w:sz w:val="32"/>
          <w:szCs w:val="32"/>
        </w:rPr>
        <w:t>落实责任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，保证业主反映的房屋漏雨问题能够得到快速解决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。</w:t>
      </w:r>
    </w:p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12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12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12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12"/>
        <w:rPr>
          <w:rFonts w:hint="eastAsia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tbl>
      <w:tblPr>
        <w:tblStyle w:val="8"/>
        <w:tblpPr w:leftFromText="180" w:rightFromText="180" w:vertAnchor="text" w:horzAnchor="page" w:tblpX="1265" w:tblpY="364"/>
        <w:tblOverlap w:val="never"/>
        <w:tblW w:w="97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1"/>
        <w:gridCol w:w="2685"/>
        <w:gridCol w:w="2475"/>
        <w:gridCol w:w="16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97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36"/>
                <w:szCs w:val="36"/>
                <w:u w:val="none"/>
                <w:lang w:eastAsia="zh-CN"/>
              </w:rPr>
              <w:t>工作联络员统计表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  位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联络员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jc w:val="both"/>
        <w:rPr>
          <w:rFonts w:hint="eastAsia"/>
          <w:color w:val="auto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474" w:bottom="1701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HvoMMX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FB2AD"/>
    <w:multiLevelType w:val="singleLevel"/>
    <w:tmpl w:val="BFFFB2AD"/>
    <w:lvl w:ilvl="0" w:tentative="0">
      <w:start w:val="1"/>
      <w:numFmt w:val="chineseCounting"/>
      <w:suff w:val="space"/>
      <w:lvlText w:val="%1、"/>
      <w:lvlJc w:val="left"/>
      <w:pPr>
        <w:ind w:left="72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ADFC3"/>
    <w:rsid w:val="16CF1B29"/>
    <w:rsid w:val="19DDAB62"/>
    <w:rsid w:val="1A8B4481"/>
    <w:rsid w:val="1BD745B9"/>
    <w:rsid w:val="1EFF5D94"/>
    <w:rsid w:val="33F00363"/>
    <w:rsid w:val="3BFFE529"/>
    <w:rsid w:val="3EAB0813"/>
    <w:rsid w:val="3F7B0D3B"/>
    <w:rsid w:val="4CFF5D23"/>
    <w:rsid w:val="4F3591C4"/>
    <w:rsid w:val="565D5C09"/>
    <w:rsid w:val="57FA1905"/>
    <w:rsid w:val="5BA138CC"/>
    <w:rsid w:val="5CFFB1D2"/>
    <w:rsid w:val="5F69CC27"/>
    <w:rsid w:val="5FF14FA4"/>
    <w:rsid w:val="5FFC8B78"/>
    <w:rsid w:val="62EFD8E0"/>
    <w:rsid w:val="66FFA9D6"/>
    <w:rsid w:val="6BB79DC2"/>
    <w:rsid w:val="6CA7006B"/>
    <w:rsid w:val="6CFE3349"/>
    <w:rsid w:val="6DAD7706"/>
    <w:rsid w:val="6FFF818F"/>
    <w:rsid w:val="6FFFA8BC"/>
    <w:rsid w:val="71BE447E"/>
    <w:rsid w:val="7677C69B"/>
    <w:rsid w:val="797D1B59"/>
    <w:rsid w:val="79FF91BB"/>
    <w:rsid w:val="7B8E590D"/>
    <w:rsid w:val="7BBFE5E0"/>
    <w:rsid w:val="7D6D56CA"/>
    <w:rsid w:val="7E3D11A6"/>
    <w:rsid w:val="7EFA7406"/>
    <w:rsid w:val="7F6D2E68"/>
    <w:rsid w:val="7F7B9507"/>
    <w:rsid w:val="7FCDC1CA"/>
    <w:rsid w:val="7FF55D54"/>
    <w:rsid w:val="7FF73F66"/>
    <w:rsid w:val="7FFDD5D6"/>
    <w:rsid w:val="7FFFD53A"/>
    <w:rsid w:val="899B1DED"/>
    <w:rsid w:val="9FBE200E"/>
    <w:rsid w:val="ACD94326"/>
    <w:rsid w:val="BBABD6D9"/>
    <w:rsid w:val="BBEA2E78"/>
    <w:rsid w:val="C3BEC2CC"/>
    <w:rsid w:val="CA7D429C"/>
    <w:rsid w:val="D2597E0A"/>
    <w:rsid w:val="D4FB891D"/>
    <w:rsid w:val="D76F649E"/>
    <w:rsid w:val="DEFE0184"/>
    <w:rsid w:val="DF6C33EE"/>
    <w:rsid w:val="DFFC5640"/>
    <w:rsid w:val="E6DF09F1"/>
    <w:rsid w:val="E6FFF2FD"/>
    <w:rsid w:val="ECDB98E5"/>
    <w:rsid w:val="EF3F9E56"/>
    <w:rsid w:val="EFBF0C03"/>
    <w:rsid w:val="F2FF0FEE"/>
    <w:rsid w:val="F35F78C6"/>
    <w:rsid w:val="F3DC5D3E"/>
    <w:rsid w:val="F73EE4ED"/>
    <w:rsid w:val="F76EC570"/>
    <w:rsid w:val="F7DD1740"/>
    <w:rsid w:val="FB6C941E"/>
    <w:rsid w:val="FD974532"/>
    <w:rsid w:val="FE3FEA99"/>
    <w:rsid w:val="FEFBA409"/>
    <w:rsid w:val="FF5D00BB"/>
    <w:rsid w:val="FFBF4187"/>
    <w:rsid w:val="FFDA5177"/>
    <w:rsid w:val="FFED2531"/>
    <w:rsid w:val="FFFF7EBD"/>
    <w:rsid w:val="FFFFBD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sz w:val="24"/>
      <w:szCs w:val="20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next w:val="5"/>
    <w:qFormat/>
    <w:uiPriority w:val="0"/>
    <w:pPr>
      <w:widowControl w:val="0"/>
      <w:spacing w:after="120"/>
      <w:ind w:left="420" w:leftChars="200" w:firstLine="42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paragraph" w:styleId="5">
    <w:name w:val="Body Text First Indent"/>
    <w:basedOn w:val="2"/>
    <w:next w:val="2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Strong"/>
    <w:basedOn w:val="9"/>
    <w:qFormat/>
    <w:uiPriority w:val="99"/>
    <w:rPr>
      <w:rFonts w:cs="Times New Roman"/>
      <w:b/>
    </w:rPr>
  </w:style>
  <w:style w:type="character" w:styleId="11">
    <w:name w:val="Emphasis"/>
    <w:basedOn w:val="9"/>
    <w:qFormat/>
    <w:uiPriority w:val="0"/>
    <w:rPr>
      <w:i/>
    </w:rPr>
  </w:style>
  <w:style w:type="paragraph" w:customStyle="1" w:styleId="12">
    <w:name w:val="索引 1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BodyText"/>
    <w:basedOn w:val="1"/>
    <w:next w:val="1"/>
    <w:qFormat/>
    <w:uiPriority w:val="0"/>
    <w:pPr>
      <w:widowControl/>
      <w:spacing w:line="560" w:lineRule="exact"/>
    </w:pPr>
    <w:rPr>
      <w:rFonts w:ascii="仿宋_GB2312" w:hAnsi="Times New Roman" w:eastAsia="仿宋_GB2312"/>
      <w:sz w:val="32"/>
      <w:szCs w:val="32"/>
    </w:rPr>
  </w:style>
  <w:style w:type="paragraph" w:customStyle="1" w:styleId="14">
    <w:name w:val="toc 11"/>
    <w:next w:val="1"/>
    <w:qFormat/>
    <w:uiPriority w:val="99"/>
    <w:pPr>
      <w:wordWrap w:val="0"/>
      <w:spacing w:line="560" w:lineRule="exact"/>
      <w:jc w:val="both"/>
    </w:pPr>
    <w:rPr>
      <w:rFonts w:ascii="Times New Roman" w:hAnsi="Times New Roman" w:eastAsia="宋体" w:cs="Times New Roman"/>
      <w:kern w:val="0"/>
      <w:sz w:val="21"/>
      <w:szCs w:val="22"/>
      <w:lang w:val="en-US" w:eastAsia="zh-CN" w:bidi="ar-SA"/>
    </w:rPr>
  </w:style>
  <w:style w:type="character" w:customStyle="1" w:styleId="15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2014-11-10T12:08:00Z</dcterms:created>
  <dc:creator>Administrator</dc:creator>
  <cp:lastModifiedBy>赵治成</cp:lastModifiedBy>
  <cp:lastPrinted>2024-04-24T23:07:00Z</cp:lastPrinted>
  <dcterms:modified xsi:type="dcterms:W3CDTF">2024-04-25T16:43:54Z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