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184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hint="eastAsia" w:ascii="Times New Roman" w:hAnsi="Times New Roman"/>
          <w:b/>
          <w:sz w:val="28"/>
          <w:szCs w:val="28"/>
        </w:rPr>
        <w:t>评审细则</w:t>
      </w:r>
      <w:bookmarkEnd w:id="2"/>
    </w:p>
    <w:p>
      <w:pPr>
        <w:suppressAutoHyphens/>
        <w:autoSpaceDN w:val="0"/>
        <w:spacing w:line="360" w:lineRule="auto"/>
        <w:textAlignment w:val="baseline"/>
        <w:outlineLvl w:val="2"/>
        <w:rPr>
          <w:rFonts w:ascii="宋体" w:hAnsi="宋体"/>
          <w:b/>
          <w:kern w:val="3"/>
          <w:sz w:val="24"/>
        </w:rPr>
      </w:pPr>
      <w:r>
        <w:rPr>
          <w:rFonts w:hint="eastAsia" w:ascii="宋体" w:hAnsi="宋体"/>
          <w:b/>
          <w:kern w:val="3"/>
          <w:sz w:val="24"/>
        </w:rPr>
        <w:t>1</w:t>
      </w:r>
      <w:r>
        <w:rPr>
          <w:rFonts w:ascii="宋体" w:hAnsi="宋体"/>
          <w:b/>
          <w:kern w:val="3"/>
          <w:sz w:val="24"/>
        </w:rPr>
        <w:t>.</w:t>
      </w:r>
      <w:r>
        <w:rPr>
          <w:rFonts w:hint="eastAsia" w:ascii="宋体" w:hAnsi="宋体"/>
          <w:b/>
          <w:kern w:val="3"/>
          <w:sz w:val="24"/>
        </w:rPr>
        <w:t>评标方法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本项目采用综合评分法，总分为100分。其中价格分占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0分、商务占</w:t>
      </w:r>
      <w:r>
        <w:rPr>
          <w:rFonts w:ascii="宋体" w:hAnsi="宋体" w:cs="宋体"/>
          <w:sz w:val="24"/>
        </w:rPr>
        <w:t>45</w:t>
      </w:r>
      <w:r>
        <w:rPr>
          <w:rFonts w:hint="eastAsia" w:ascii="宋体" w:hAnsi="宋体" w:cs="宋体"/>
          <w:sz w:val="24"/>
        </w:rPr>
        <w:t>分，技术部分占</w:t>
      </w:r>
      <w:r>
        <w:rPr>
          <w:rFonts w:ascii="宋体" w:hAnsi="宋体" w:cs="宋体"/>
          <w:sz w:val="24"/>
        </w:rPr>
        <w:t>35</w:t>
      </w:r>
      <w:r>
        <w:rPr>
          <w:rFonts w:hint="eastAsia" w:ascii="宋体" w:hAnsi="宋体" w:cs="宋体"/>
          <w:sz w:val="24"/>
        </w:rPr>
        <w:t>分。</w:t>
      </w:r>
    </w:p>
    <w:p>
      <w:pPr>
        <w:suppressAutoHyphens/>
        <w:autoSpaceDN w:val="0"/>
        <w:spacing w:line="360" w:lineRule="auto"/>
        <w:textAlignment w:val="baseline"/>
        <w:outlineLvl w:val="2"/>
        <w:rPr>
          <w:rFonts w:ascii="宋体" w:hAnsi="宋体"/>
          <w:b/>
          <w:kern w:val="3"/>
          <w:sz w:val="24"/>
        </w:rPr>
      </w:pPr>
      <w:r>
        <w:rPr>
          <w:rFonts w:hint="eastAsia" w:ascii="宋体" w:hAnsi="宋体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</w:t>
      </w:r>
      <w:r>
        <w:rPr>
          <w:rFonts w:hint="eastAsia" w:ascii="宋体" w:hAnsi="宋体"/>
          <w:b/>
          <w:kern w:val="3"/>
          <w:sz w:val="24"/>
        </w:rPr>
        <w:t>评标标准</w:t>
      </w:r>
    </w:p>
    <w:p>
      <w:pPr>
        <w:suppressAutoHyphens/>
        <w:autoSpaceDN w:val="0"/>
        <w:spacing w:line="360" w:lineRule="auto"/>
        <w:textAlignment w:val="baseline"/>
        <w:outlineLvl w:val="3"/>
        <w:rPr>
          <w:rFonts w:ascii="宋体" w:hAnsi="宋体"/>
          <w:b/>
          <w:kern w:val="3"/>
          <w:sz w:val="24"/>
        </w:rPr>
      </w:pPr>
      <w:bookmarkStart w:id="0" w:name="_Toc368297106"/>
      <w:bookmarkStart w:id="1" w:name="_Toc15053"/>
      <w:r>
        <w:rPr>
          <w:rFonts w:hint="eastAsia" w:ascii="宋体" w:hAnsi="宋体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.1</w:t>
      </w:r>
      <w:r>
        <w:rPr>
          <w:rFonts w:hint="eastAsia" w:ascii="宋体" w:hAnsi="宋体"/>
          <w:b/>
          <w:kern w:val="3"/>
          <w:sz w:val="24"/>
        </w:rPr>
        <w:t>、价格部分</w:t>
      </w:r>
      <w:r>
        <w:rPr>
          <w:rFonts w:ascii="宋体" w:hAnsi="宋体"/>
          <w:b/>
          <w:kern w:val="3"/>
          <w:sz w:val="24"/>
        </w:rPr>
        <w:t>2</w:t>
      </w:r>
      <w:r>
        <w:rPr>
          <w:rFonts w:hint="eastAsia" w:ascii="宋体" w:hAnsi="宋体"/>
          <w:b/>
          <w:kern w:val="3"/>
          <w:sz w:val="24"/>
        </w:rPr>
        <w:t>0分</w:t>
      </w:r>
      <w:bookmarkEnd w:id="0"/>
      <w:bookmarkEnd w:id="1"/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．价格分统一采用低价优先法计算，即满足比选文件要求且投标价格最低的有效投标报价（即除低于成本报价以外的所有报价）为评标基准价，其价格分为满分。有效投标报价必须不高于本采购项目的预算价，否则为无效报价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2．其他投标人的价格分统一按照以下公式计算：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价格分数=（评标基准价/最终报价）×20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备注：最终价格最低的投标报价为评标基准价；</w:t>
      </w:r>
    </w:p>
    <w:p>
      <w:pPr>
        <w:suppressAutoHyphens/>
        <w:autoSpaceDN w:val="0"/>
        <w:spacing w:line="360" w:lineRule="auto"/>
        <w:textAlignment w:val="baseline"/>
        <w:outlineLvl w:val="3"/>
        <w:rPr>
          <w:rFonts w:ascii="宋体" w:hAnsi="宋体"/>
          <w:b/>
          <w:kern w:val="3"/>
          <w:sz w:val="24"/>
        </w:rPr>
      </w:pPr>
      <w:r>
        <w:rPr>
          <w:rFonts w:hint="eastAsia" w:ascii="宋体" w:hAnsi="宋体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.2</w:t>
      </w:r>
      <w:r>
        <w:rPr>
          <w:rFonts w:hint="eastAsia" w:ascii="宋体" w:hAnsi="宋体"/>
          <w:b/>
          <w:kern w:val="3"/>
          <w:sz w:val="24"/>
        </w:rPr>
        <w:t>、商务部分4</w:t>
      </w:r>
      <w:r>
        <w:rPr>
          <w:rFonts w:ascii="宋体" w:hAnsi="宋体"/>
          <w:b/>
          <w:kern w:val="3"/>
          <w:sz w:val="24"/>
        </w:rPr>
        <w:t>5</w:t>
      </w:r>
      <w:r>
        <w:rPr>
          <w:rFonts w:hint="eastAsia" w:ascii="宋体" w:hAnsi="宋体"/>
          <w:b/>
          <w:kern w:val="3"/>
          <w:sz w:val="24"/>
        </w:rPr>
        <w:t>分</w:t>
      </w:r>
    </w:p>
    <w:tbl>
      <w:tblPr>
        <w:tblStyle w:val="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179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/>
                <w:kern w:val="10"/>
                <w:sz w:val="24"/>
              </w:rPr>
              <w:t>序号</w:t>
            </w:r>
          </w:p>
        </w:tc>
        <w:tc>
          <w:tcPr>
            <w:tcW w:w="2179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/>
                <w:kern w:val="10"/>
                <w:sz w:val="24"/>
              </w:rPr>
              <w:t>评分项目</w:t>
            </w:r>
          </w:p>
        </w:tc>
        <w:tc>
          <w:tcPr>
            <w:tcW w:w="595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hint="eastAsia" w:ascii="宋体"/>
                <w:kern w:val="10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</w:p>
        </w:tc>
        <w:tc>
          <w:tcPr>
            <w:tcW w:w="2179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</w:p>
        </w:tc>
        <w:tc>
          <w:tcPr>
            <w:tcW w:w="595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hint="eastAsia" w:ascii="宋体"/>
                <w:kern w:val="10"/>
                <w:sz w:val="24"/>
              </w:rPr>
              <w:t>1</w:t>
            </w:r>
          </w:p>
        </w:tc>
        <w:tc>
          <w:tcPr>
            <w:tcW w:w="2179" w:type="dxa"/>
          </w:tcPr>
          <w:p>
            <w:pPr>
              <w:jc w:val="center"/>
            </w:pPr>
            <w:r>
              <w:rPr>
                <w:rFonts w:hint="eastAsia"/>
              </w:rPr>
              <w:t>参选文件完整性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5分）</w:t>
            </w:r>
          </w:p>
        </w:tc>
        <w:tc>
          <w:tcPr>
            <w:tcW w:w="5954" w:type="dxa"/>
          </w:tcPr>
          <w:p>
            <w:r>
              <w:rPr>
                <w:rFonts w:hint="eastAsia"/>
              </w:rPr>
              <w:t>参选文件完全按照邀请函要求编制，内容完整，条理清晰，得</w:t>
            </w:r>
            <w:r>
              <w:t>5分，其他得0分。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/>
                <w:kern w:val="10"/>
                <w:sz w:val="24"/>
              </w:rPr>
              <w:t>2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企业综合实力</w:t>
            </w:r>
          </w:p>
          <w:p>
            <w:pPr>
              <w:spacing w:line="316" w:lineRule="exact"/>
              <w:jc w:val="center"/>
              <w:rPr>
                <w:rFonts w:ascii="宋体"/>
                <w:kern w:val="10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20分</w:t>
            </w:r>
            <w:r>
              <w:rPr>
                <w:rFonts w:hint="eastAsia" w:ascii="宋体"/>
                <w:szCs w:val="21"/>
              </w:rPr>
              <w:t>）</w:t>
            </w:r>
          </w:p>
        </w:tc>
        <w:tc>
          <w:tcPr>
            <w:tcW w:w="5954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对参选人的企业资质和检测能力等进行排序评价：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综合实力最佳，得</w:t>
            </w:r>
            <w:r>
              <w:rPr>
                <w:rFonts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</w:rPr>
              <w:t>分；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综合实力良好，得</w:t>
            </w:r>
            <w:r>
              <w:rPr>
                <w:rFonts w:ascii="宋体"/>
                <w:szCs w:val="21"/>
              </w:rPr>
              <w:t>15</w:t>
            </w:r>
            <w:r>
              <w:rPr>
                <w:rFonts w:hint="eastAsia" w:ascii="宋体"/>
                <w:szCs w:val="21"/>
              </w:rPr>
              <w:t>分；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综合实力一般，得</w:t>
            </w: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分；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综合实力较差，得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hint="eastAsia" w:ascii="宋体"/>
                <w:szCs w:val="21"/>
              </w:rPr>
              <w:t>分；</w:t>
            </w:r>
          </w:p>
          <w:p>
            <w:pPr>
              <w:jc w:val="left"/>
              <w:rPr>
                <w:rFonts w:ascii="宋体"/>
                <w:bCs/>
                <w:iCs/>
                <w:szCs w:val="21"/>
              </w:rPr>
            </w:pPr>
            <w:r>
              <w:rPr>
                <w:rFonts w:hint="eastAsia" w:ascii="宋体"/>
                <w:szCs w:val="21"/>
              </w:rPr>
              <w:t>综合实力无法承担本项目，得0分。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981" w:type="dxa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hint="eastAsia" w:ascii="宋体"/>
                <w:kern w:val="10"/>
                <w:sz w:val="24"/>
              </w:rPr>
              <w:t>3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项目负责人</w:t>
            </w:r>
          </w:p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分）</w:t>
            </w:r>
          </w:p>
        </w:tc>
        <w:tc>
          <w:tcPr>
            <w:tcW w:w="5954" w:type="dxa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outlineLvl w:val="1"/>
              <w:rPr>
                <w:rFonts w:ascii="宋体"/>
              </w:rPr>
            </w:pPr>
            <w:r>
              <w:rPr>
                <w:rFonts w:hint="eastAsia" w:ascii="宋体"/>
                <w:bCs/>
              </w:rPr>
              <w:t>拟派项目负责人具有高级职称的得</w:t>
            </w:r>
            <w:r>
              <w:rPr>
                <w:rFonts w:ascii="宋体"/>
                <w:bCs/>
              </w:rPr>
              <w:t>10</w:t>
            </w:r>
            <w:r>
              <w:rPr>
                <w:rFonts w:hint="eastAsia" w:ascii="宋体"/>
                <w:bCs/>
              </w:rPr>
              <w:t>分；拟派项目负责人具有中级职称的得</w:t>
            </w:r>
            <w:r>
              <w:rPr>
                <w:rFonts w:ascii="宋体"/>
                <w:bCs/>
              </w:rPr>
              <w:t>5</w:t>
            </w:r>
            <w:r>
              <w:rPr>
                <w:rFonts w:hint="eastAsia" w:ascii="宋体"/>
                <w:bCs/>
              </w:rPr>
              <w:t>分；其它不得分（需提供相关证明材料（职称证书复印件））。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hint="eastAsia" w:ascii="宋体"/>
                <w:kern w:val="10"/>
                <w:sz w:val="24"/>
              </w:rPr>
              <w:t>4</w:t>
            </w:r>
          </w:p>
        </w:tc>
        <w:tc>
          <w:tcPr>
            <w:tcW w:w="2179" w:type="dxa"/>
            <w:vAlign w:val="center"/>
          </w:tcPr>
          <w:p>
            <w:pPr>
              <w:contextualSpacing/>
              <w:jc w:val="center"/>
              <w:rPr>
                <w:rFonts w:ascii="宋体"/>
                <w:kern w:val="10"/>
                <w:szCs w:val="21"/>
              </w:rPr>
            </w:pPr>
            <w:r>
              <w:rPr>
                <w:rFonts w:hint="eastAsia" w:ascii="宋体"/>
                <w:kern w:val="10"/>
                <w:szCs w:val="21"/>
              </w:rPr>
              <w:t>检测人员</w:t>
            </w:r>
          </w:p>
          <w:p>
            <w:pPr>
              <w:contextualSpacing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kern w:val="10"/>
                <w:szCs w:val="21"/>
              </w:rPr>
              <w:t>（</w:t>
            </w:r>
            <w:r>
              <w:rPr>
                <w:rFonts w:ascii="宋体"/>
                <w:kern w:val="10"/>
                <w:szCs w:val="21"/>
              </w:rPr>
              <w:t>10</w:t>
            </w:r>
            <w:r>
              <w:rPr>
                <w:rFonts w:hint="eastAsia" w:ascii="宋体"/>
                <w:kern w:val="10"/>
                <w:szCs w:val="21"/>
              </w:rPr>
              <w:t>分）</w:t>
            </w:r>
          </w:p>
        </w:tc>
        <w:tc>
          <w:tcPr>
            <w:tcW w:w="5954" w:type="dxa"/>
            <w:vAlign w:val="center"/>
          </w:tcPr>
          <w:p>
            <w:pPr>
              <w:contextualSpacing/>
              <w:rPr>
                <w:rFonts w:ascii="宋体"/>
                <w:kern w:val="10"/>
                <w:szCs w:val="21"/>
              </w:rPr>
            </w:pPr>
            <w:r>
              <w:rPr>
                <w:rFonts w:hint="eastAsia" w:ascii="宋体"/>
                <w:szCs w:val="21"/>
              </w:rPr>
              <w:t>拟派检测人员1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hint="eastAsia" w:ascii="宋体"/>
                <w:szCs w:val="21"/>
              </w:rPr>
              <w:t>人以上且具有高级职称的得</w:t>
            </w: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分；拟派检测人员</w:t>
            </w:r>
            <w:r>
              <w:rPr>
                <w:rFonts w:ascii="宋体"/>
                <w:szCs w:val="21"/>
              </w:rPr>
              <w:t>9</w:t>
            </w:r>
            <w:r>
              <w:rPr>
                <w:rFonts w:hint="eastAsia" w:ascii="宋体"/>
                <w:szCs w:val="21"/>
              </w:rPr>
              <w:t>人至5人且具有高级职称的得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分；拟派检测人员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hint="eastAsia" w:ascii="宋体"/>
                <w:szCs w:val="21"/>
              </w:rPr>
              <w:t>人以下且具有高级职称的得5分；其他不得分</w:t>
            </w:r>
            <w:r>
              <w:rPr>
                <w:rFonts w:ascii="宋体"/>
                <w:kern w:val="10"/>
                <w:szCs w:val="21"/>
              </w:rPr>
              <w:t xml:space="preserve"> </w:t>
            </w:r>
            <w:r>
              <w:rPr>
                <w:rFonts w:hint="eastAsia" w:ascii="宋体"/>
                <w:kern w:val="10"/>
                <w:szCs w:val="21"/>
              </w:rPr>
              <w:t>（需提供相关证明材料（职称证书复印件））。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14" w:type="dxa"/>
            <w:gridSpan w:val="3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hint="eastAsia" w:ascii="宋体"/>
                <w:kern w:val="10"/>
                <w:sz w:val="24"/>
              </w:rPr>
              <w:t>合计（</w:t>
            </w:r>
            <w:r>
              <w:rPr>
                <w:rFonts w:ascii="宋体"/>
                <w:kern w:val="10"/>
                <w:sz w:val="24"/>
              </w:rPr>
              <w:t>45</w:t>
            </w:r>
            <w:r>
              <w:rPr>
                <w:rFonts w:hint="eastAsia" w:ascii="宋体"/>
                <w:kern w:val="10"/>
                <w:sz w:val="24"/>
              </w:rPr>
              <w:t>分）</w:t>
            </w:r>
          </w:p>
        </w:tc>
      </w:tr>
    </w:tbl>
    <w:p>
      <w:pPr>
        <w:widowControl/>
        <w:tabs>
          <w:tab w:val="left" w:pos="720"/>
        </w:tabs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720"/>
        </w:tabs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uppressAutoHyphens/>
        <w:autoSpaceDN w:val="0"/>
        <w:spacing w:line="360" w:lineRule="auto"/>
        <w:textAlignment w:val="baseline"/>
        <w:outlineLvl w:val="3"/>
        <w:rPr>
          <w:rFonts w:ascii="宋体" w:hAnsi="宋体"/>
          <w:b/>
          <w:kern w:val="3"/>
          <w:sz w:val="24"/>
        </w:rPr>
      </w:pPr>
      <w:r>
        <w:rPr>
          <w:rFonts w:hint="eastAsia" w:ascii="宋体" w:hAnsi="宋体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.3</w:t>
      </w:r>
      <w:r>
        <w:rPr>
          <w:rFonts w:hint="eastAsia" w:ascii="宋体" w:hAnsi="宋体"/>
          <w:b/>
          <w:kern w:val="3"/>
          <w:sz w:val="24"/>
        </w:rPr>
        <w:t>、技术部分</w:t>
      </w:r>
      <w:r>
        <w:rPr>
          <w:rFonts w:ascii="宋体" w:hAnsi="宋体"/>
          <w:b/>
          <w:kern w:val="3"/>
          <w:sz w:val="24"/>
        </w:rPr>
        <w:t>35</w:t>
      </w:r>
      <w:r>
        <w:rPr>
          <w:rFonts w:hint="eastAsia" w:ascii="宋体" w:hAnsi="宋体"/>
          <w:b/>
          <w:kern w:val="3"/>
          <w:sz w:val="24"/>
        </w:rPr>
        <w:t>分</w:t>
      </w:r>
    </w:p>
    <w:tbl>
      <w:tblPr>
        <w:tblStyle w:val="7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14"/>
        <w:gridCol w:w="31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Cs w:val="21"/>
              </w:rPr>
            </w:pPr>
            <w:r>
              <w:rPr>
                <w:rFonts w:ascii="宋体"/>
                <w:kern w:val="10"/>
                <w:szCs w:val="21"/>
              </w:rPr>
              <w:t>序号</w:t>
            </w:r>
          </w:p>
        </w:tc>
        <w:tc>
          <w:tcPr>
            <w:tcW w:w="2314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Cs w:val="21"/>
              </w:rPr>
            </w:pPr>
            <w:r>
              <w:rPr>
                <w:rFonts w:ascii="宋体"/>
                <w:kern w:val="10"/>
                <w:szCs w:val="21"/>
              </w:rPr>
              <w:t>评分项目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kern w:val="10"/>
                <w:szCs w:val="21"/>
              </w:rPr>
            </w:pPr>
            <w:r>
              <w:rPr>
                <w:rFonts w:hint="eastAsia" w:ascii="宋体"/>
                <w:kern w:val="10"/>
                <w:szCs w:val="21"/>
              </w:rPr>
              <w:t>评分标准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kern w:val="10"/>
                <w:szCs w:val="21"/>
              </w:rPr>
            </w:pPr>
            <w:r>
              <w:rPr>
                <w:rFonts w:hint="eastAsia" w:ascii="宋体"/>
                <w:kern w:val="1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ascii="宋体"/>
                <w:kern w:val="10"/>
                <w:szCs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kern w:val="1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314" w:type="dxa"/>
            <w:vMerge w:val="restart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方案编制依据（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完全符合标准、规范要求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≤分值≤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未违反强制性条文、基本符合标准、规范要求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≤分值&lt;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违反强制性条文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0≤分值&lt;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314" w:type="dxa"/>
            <w:vMerge w:val="restart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检测方案（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5分）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</w:t>
            </w:r>
            <w:r>
              <w:rPr>
                <w:rFonts w:ascii="宋体" w:hAnsi="宋体" w:cs="宋体"/>
                <w:szCs w:val="21"/>
              </w:rPr>
              <w:t>工作流程、内容、方法</w:t>
            </w:r>
            <w:r>
              <w:rPr>
                <w:rFonts w:hint="eastAsia" w:ascii="宋体" w:hAnsi="宋体" w:cs="宋体"/>
                <w:szCs w:val="21"/>
              </w:rPr>
              <w:t>、科学、有针对性，且合理可行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≤分值≤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</w:t>
            </w:r>
            <w:r>
              <w:rPr>
                <w:rFonts w:ascii="宋体" w:hAnsi="宋体" w:cs="宋体"/>
                <w:szCs w:val="21"/>
              </w:rPr>
              <w:t>工作流程、内容、方法</w:t>
            </w:r>
            <w:r>
              <w:rPr>
                <w:rFonts w:hint="eastAsia" w:ascii="宋体" w:hAnsi="宋体" w:cs="宋体"/>
                <w:szCs w:val="21"/>
              </w:rPr>
              <w:t>、较科学、且合理可行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≤分值&lt;</w:t>
            </w:r>
            <w:r>
              <w:rPr>
                <w:rFonts w:ascii="宋体" w:hAnsi="宋体" w:cs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</w:t>
            </w:r>
            <w:r>
              <w:rPr>
                <w:rFonts w:ascii="宋体" w:hAnsi="宋体" w:cs="宋体"/>
                <w:szCs w:val="21"/>
              </w:rPr>
              <w:t>工作流程、内容、方法</w:t>
            </w:r>
            <w:r>
              <w:rPr>
                <w:rFonts w:hint="eastAsia" w:ascii="宋体" w:hAnsi="宋体" w:cs="宋体"/>
                <w:szCs w:val="21"/>
              </w:rPr>
              <w:t>、较合理可行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≤分值&lt;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方案工作流程、内容、方法、欠合理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0≤分值&lt;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314" w:type="dxa"/>
            <w:vMerge w:val="restart"/>
            <w:vAlign w:val="center"/>
          </w:tcPr>
          <w:p>
            <w:pPr>
              <w:adjustRightInd w:val="0"/>
              <w:snapToGrid w:val="0"/>
              <w:ind w:left="-50" w:leftChars="-24" w:right="-25" w:rightChars="-12" w:firstLine="12" w:firstLineChars="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主要仪器、设备（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配置合理，满足需要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8≤分值≤1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配置基本合理，基本满足需要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4≤分值&lt;8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配置欠合理或者来源存在不确定性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0≤分值&lt;4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314" w:type="dxa"/>
            <w:vMerge w:val="restart"/>
            <w:vAlign w:val="center"/>
          </w:tcPr>
          <w:p>
            <w:pPr>
              <w:adjustRightInd w:val="0"/>
              <w:snapToGrid w:val="0"/>
              <w:ind w:left="-50" w:leftChars="-24" w:right="-25" w:rightChars="-12" w:firstLine="12" w:firstLineChars="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安全措施</w:t>
            </w:r>
          </w:p>
          <w:p>
            <w:pPr>
              <w:adjustRightInd w:val="0"/>
              <w:snapToGrid w:val="0"/>
              <w:ind w:left="-50" w:leftChars="-24" w:right="-25" w:rightChars="-12" w:firstLine="12" w:firstLineChars="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考虑全面，有针对性，措施完善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≤分值≤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方法可行，措施一般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≤分值&lt;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tabs>
                <w:tab w:val="left" w:pos="-94"/>
                <w:tab w:val="left" w:pos="1620"/>
              </w:tabs>
              <w:snapToGrid w:val="0"/>
              <w:jc w:val="center"/>
              <w:outlineLvl w:val="1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措施不力，方法不合理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42" w:leftChars="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0≤分值&lt;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5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kern w:val="10"/>
                <w:szCs w:val="21"/>
              </w:rPr>
            </w:pPr>
            <w:r>
              <w:rPr>
                <w:rFonts w:ascii="宋体"/>
                <w:szCs w:val="21"/>
              </w:rPr>
              <w:t>合计</w:t>
            </w: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ascii="宋体"/>
                <w:szCs w:val="21"/>
              </w:rPr>
              <w:t>35</w:t>
            </w:r>
            <w:r>
              <w:rPr>
                <w:rFonts w:hint="eastAsia" w:ascii="宋体"/>
                <w:szCs w:val="21"/>
              </w:rPr>
              <w:t>分）</w:t>
            </w:r>
          </w:p>
        </w:tc>
      </w:tr>
    </w:tbl>
    <w:p>
      <w:pPr>
        <w:widowControl/>
        <w:tabs>
          <w:tab w:val="left" w:pos="720"/>
        </w:tabs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720"/>
        </w:tabs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720"/>
        </w:tabs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420" w:firstLineChars="200"/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1D7C55D"/>
    <w:rsid w:val="000354AC"/>
    <w:rsid w:val="001F7FE7"/>
    <w:rsid w:val="00203BB4"/>
    <w:rsid w:val="00311C26"/>
    <w:rsid w:val="00383511"/>
    <w:rsid w:val="004B356E"/>
    <w:rsid w:val="0050278F"/>
    <w:rsid w:val="00525C1C"/>
    <w:rsid w:val="0060000F"/>
    <w:rsid w:val="006148DA"/>
    <w:rsid w:val="00631544"/>
    <w:rsid w:val="00762212"/>
    <w:rsid w:val="007A1B83"/>
    <w:rsid w:val="007F5A7C"/>
    <w:rsid w:val="008E5128"/>
    <w:rsid w:val="00A17905"/>
    <w:rsid w:val="00A71EF5"/>
    <w:rsid w:val="00D2525F"/>
    <w:rsid w:val="00D81FAD"/>
    <w:rsid w:val="00EF3F12"/>
    <w:rsid w:val="00F2508A"/>
    <w:rsid w:val="00FB1456"/>
    <w:rsid w:val="00FF71E9"/>
    <w:rsid w:val="02FF3D3C"/>
    <w:rsid w:val="15CE72DD"/>
    <w:rsid w:val="33EBE309"/>
    <w:rsid w:val="39FD5077"/>
    <w:rsid w:val="3DEEC79B"/>
    <w:rsid w:val="3F3DD3FC"/>
    <w:rsid w:val="3FDCF27D"/>
    <w:rsid w:val="3FEF3AD6"/>
    <w:rsid w:val="4ED759DF"/>
    <w:rsid w:val="4FEB841E"/>
    <w:rsid w:val="4FFF110B"/>
    <w:rsid w:val="5AD9B75D"/>
    <w:rsid w:val="5F186F01"/>
    <w:rsid w:val="5FFFC23A"/>
    <w:rsid w:val="6BD7584D"/>
    <w:rsid w:val="6FFD0693"/>
    <w:rsid w:val="76EFA08A"/>
    <w:rsid w:val="77F5E9E8"/>
    <w:rsid w:val="7BBB8780"/>
    <w:rsid w:val="7D7E1CCA"/>
    <w:rsid w:val="7DB6AA2B"/>
    <w:rsid w:val="7E37D42E"/>
    <w:rsid w:val="7EF35E75"/>
    <w:rsid w:val="7F3B330A"/>
    <w:rsid w:val="7F5B2550"/>
    <w:rsid w:val="7F5F9E2E"/>
    <w:rsid w:val="7F6D5AB9"/>
    <w:rsid w:val="7FBDA553"/>
    <w:rsid w:val="7FD916AD"/>
    <w:rsid w:val="9567813E"/>
    <w:rsid w:val="9EF119FC"/>
    <w:rsid w:val="9F6F39C9"/>
    <w:rsid w:val="9FF696B3"/>
    <w:rsid w:val="AF76DCCC"/>
    <w:rsid w:val="B67FE20C"/>
    <w:rsid w:val="B6DF1B0D"/>
    <w:rsid w:val="B9ABB21D"/>
    <w:rsid w:val="BA7B23C6"/>
    <w:rsid w:val="BABFB87E"/>
    <w:rsid w:val="BDEB50B8"/>
    <w:rsid w:val="BDFFEA7C"/>
    <w:rsid w:val="BE6E6D2F"/>
    <w:rsid w:val="BEE5B2E7"/>
    <w:rsid w:val="BFCFCCEB"/>
    <w:rsid w:val="BFE700FA"/>
    <w:rsid w:val="D6FEE065"/>
    <w:rsid w:val="D96B0885"/>
    <w:rsid w:val="DFFF0ECE"/>
    <w:rsid w:val="E1D7C55D"/>
    <w:rsid w:val="EABE1103"/>
    <w:rsid w:val="ED572A50"/>
    <w:rsid w:val="EDFDCB43"/>
    <w:rsid w:val="EE73B7EA"/>
    <w:rsid w:val="EED7006D"/>
    <w:rsid w:val="EFF7BC15"/>
    <w:rsid w:val="EFFF3352"/>
    <w:rsid w:val="F53DF5DA"/>
    <w:rsid w:val="F7EF2E0E"/>
    <w:rsid w:val="FE5DE86E"/>
    <w:rsid w:val="FF2DE3D7"/>
    <w:rsid w:val="FF69A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uppressAutoHyphens/>
    </w:pPr>
    <w:rPr>
      <w:rFonts w:ascii="Times New Roman" w:hAnsi="Times New Roman"/>
      <w:kern w:val="1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_24px1"/>
    <w:qFormat/>
    <w:uiPriority w:val="0"/>
    <w:rPr>
      <w:b/>
      <w:bCs/>
      <w:sz w:val="36"/>
      <w:szCs w:val="36"/>
      <w:u w:val="none"/>
    </w:rPr>
  </w:style>
  <w:style w:type="character" w:customStyle="1" w:styleId="13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7</Pages>
  <Words>437</Words>
  <Characters>2497</Characters>
  <Lines>20</Lines>
  <Paragraphs>5</Paragraphs>
  <TotalTime>18</TotalTime>
  <ScaleCrop>false</ScaleCrop>
  <LinksUpToDate>false</LinksUpToDate>
  <CharactersWithSpaces>2929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2025-01-08T17:38:00Z</dcterms:created>
  <dc:creator>uos</dc:creator>
  <cp:lastModifiedBy>uos</cp:lastModifiedBy>
  <cp:lastPrinted>2023-03-01T17:51:00Z</cp:lastPrinted>
  <dcterms:modified xsi:type="dcterms:W3CDTF">2025-02-05T09:15:09Z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