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kern w:val="3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316" w:afterLines="100" w:line="500" w:lineRule="exact"/>
        <w:jc w:val="center"/>
        <w:textAlignment w:val="baseline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公共建筑能效分级结果报告</w:t>
      </w:r>
    </w:p>
    <w:tbl>
      <w:tblPr>
        <w:tblStyle w:val="16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3014"/>
        <w:gridCol w:w="4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32"/>
                <w:sz w:val="32"/>
                <w:szCs w:val="32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公共建筑名称</w:t>
            </w:r>
          </w:p>
        </w:tc>
        <w:tc>
          <w:tcPr>
            <w:tcW w:w="7216" w:type="dxa"/>
            <w:gridSpan w:val="2"/>
            <w:noWrap w:val="0"/>
            <w:vAlign w:val="top"/>
          </w:tcPr>
          <w:p>
            <w:pPr>
              <w:spacing w:line="260" w:lineRule="exact"/>
              <w:ind w:firstLine="3240" w:firstLineChars="1800"/>
              <w:jc w:val="right"/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</w:pPr>
          </w:p>
          <w:p>
            <w:pPr>
              <w:spacing w:line="260" w:lineRule="exact"/>
              <w:ind w:firstLine="5760" w:firstLineChars="1800"/>
              <w:jc w:val="right"/>
              <w:rPr>
                <w:rFonts w:ascii="仿宋_GB2312" w:eastAsia="仿宋_GB2312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产权人名称 /属性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eastAsia="zh-CN"/>
              </w:rPr>
              <w:t>（注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>：产权人属性是指非国有单位、国有企业、公共机构）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kern w:val="32"/>
                <w:sz w:val="32"/>
                <w:szCs w:val="32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公共建筑地址</w:t>
            </w:r>
          </w:p>
        </w:tc>
        <w:tc>
          <w:tcPr>
            <w:tcW w:w="7216" w:type="dxa"/>
            <w:gridSpan w:val="2"/>
            <w:noWrap w:val="0"/>
            <w:vAlign w:val="top"/>
          </w:tcPr>
          <w:p>
            <w:pPr>
              <w:spacing w:line="260" w:lineRule="exact"/>
              <w:ind w:firstLine="3780" w:firstLineChars="1800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</w:p>
          <w:p>
            <w:pPr>
              <w:spacing w:line="260" w:lineRule="exact"/>
              <w:ind w:firstLine="5760" w:firstLineChars="1800"/>
              <w:jc w:val="right"/>
              <w:rPr>
                <w:rFonts w:ascii="仿宋_GB2312" w:eastAsia="仿宋_GB2312"/>
                <w:kern w:val="3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建筑编号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>注：通过公共建筑能耗限额管理平台查询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建筑面积</w:t>
            </w:r>
          </w:p>
        </w:tc>
        <w:tc>
          <w:tcPr>
            <w:tcW w:w="7216" w:type="dxa"/>
            <w:gridSpan w:val="2"/>
            <w:noWrap w:val="0"/>
            <w:vAlign w:val="top"/>
          </w:tcPr>
          <w:p>
            <w:pPr>
              <w:spacing w:line="260" w:lineRule="exact"/>
              <w:ind w:firstLine="2310" w:firstLineChars="1100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</w:p>
          <w:p>
            <w:pPr>
              <w:spacing w:line="260" w:lineRule="exact"/>
              <w:ind w:firstLine="2310" w:firstLineChars="1100"/>
              <w:jc w:val="right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建筑类型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ind w:firstLine="3240" w:firstLineChars="1800"/>
              <w:jc w:val="right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>（注：参阅《民用建筑能耗标准》分类）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电表编号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_GB2312" w:eastAsia="仿宋_GB2312"/>
                <w:kern w:val="32"/>
                <w:sz w:val="18"/>
                <w:szCs w:val="18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>（注：建筑所属的全部结算电表）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燃气表编号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_GB2312" w:eastAsia="仿宋_GB2312"/>
                <w:kern w:val="32"/>
                <w:sz w:val="18"/>
                <w:szCs w:val="18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>（注：建筑所属的全部结算气表）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热表编号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_GB2312" w:eastAsia="仿宋_GB2312"/>
                <w:kern w:val="32"/>
                <w:sz w:val="32"/>
                <w:szCs w:val="32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>注：本项适用于外购热力。附全部热计量表编号。非热表计量说明计量方式）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>2023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年度电耗量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260" w:lineRule="exact"/>
              <w:ind w:left="1890" w:hanging="1890" w:hangingChars="900"/>
              <w:rPr>
                <w:rFonts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             （千瓦时kWh）</w:t>
            </w:r>
          </w:p>
        </w:tc>
        <w:tc>
          <w:tcPr>
            <w:tcW w:w="4202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折算为标煤:              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（</w:t>
            </w:r>
            <w:r>
              <w:rPr>
                <w:rFonts w:ascii="CESI宋体-GB2312" w:hAnsi="CESI宋体-GB2312" w:eastAsia="CESI宋体-GB2312" w:cs="CESI宋体-GB2312"/>
                <w:kern w:val="32"/>
                <w:szCs w:val="21"/>
                <w:lang w:val="en"/>
              </w:rPr>
              <w:t>kgce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>2023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年度燃气耗量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               （立方米m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vertAlign w:val="superscript"/>
              </w:rPr>
              <w:t>3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）</w:t>
            </w:r>
          </w:p>
        </w:tc>
        <w:tc>
          <w:tcPr>
            <w:tcW w:w="4202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折算为标煤:             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 （</w:t>
            </w:r>
            <w:r>
              <w:rPr>
                <w:rFonts w:ascii="CESI宋体-GB2312" w:hAnsi="CESI宋体-GB2312" w:eastAsia="CESI宋体-GB2312" w:cs="CESI宋体-GB2312"/>
                <w:kern w:val="32"/>
                <w:szCs w:val="21"/>
                <w:lang w:val="en"/>
              </w:rPr>
              <w:t>kgce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>2023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年度热耗量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260" w:lineRule="exact"/>
              <w:ind w:firstLine="1680" w:firstLineChars="800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（吉焦GJ）</w:t>
            </w:r>
          </w:p>
        </w:tc>
        <w:tc>
          <w:tcPr>
            <w:tcW w:w="4202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折算为标煤:              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（</w:t>
            </w:r>
            <w:r>
              <w:rPr>
                <w:rFonts w:ascii="CESI宋体-GB2312" w:hAnsi="CESI宋体-GB2312" w:eastAsia="CESI宋体-GB2312" w:cs="CESI宋体-GB2312"/>
                <w:kern w:val="32"/>
                <w:szCs w:val="21"/>
                <w:lang w:val="en"/>
              </w:rPr>
              <w:t>kgce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能效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eastAsia="zh-CN"/>
              </w:rPr>
              <w:t>评估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结果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1.综合能耗：   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（</w:t>
            </w:r>
            <w:r>
              <w:rPr>
                <w:rFonts w:ascii="CESI宋体-GB2312" w:hAnsi="CESI宋体-GB2312" w:eastAsia="CESI宋体-GB2312" w:cs="CESI宋体-GB2312"/>
                <w:kern w:val="32"/>
                <w:szCs w:val="21"/>
                <w:lang w:val="en"/>
              </w:rPr>
              <w:t>kgce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）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eastAsia="zh-CN"/>
              </w:rPr>
              <w:t>；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2.综合能耗强度：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   （</w:t>
            </w:r>
            <w:r>
              <w:rPr>
                <w:rFonts w:ascii="CESI宋体-GB2312" w:hAnsi="CESI宋体-GB2312" w:eastAsia="CESI宋体-GB2312" w:cs="CESI宋体-GB2312"/>
                <w:kern w:val="32"/>
                <w:szCs w:val="21"/>
                <w:lang w:val="en"/>
              </w:rPr>
              <w:t>kgce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/m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vertAlign w:val="superscript"/>
              </w:rPr>
              <w:t>2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综合能耗指标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1.约束值E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vertAlign w:val="subscript"/>
                <w:lang w:val="en-US" w:eastAsia="zh-CN"/>
              </w:rPr>
              <w:t>c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：         2.引导值E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 xml:space="preserve">：          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 xml:space="preserve"> 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</w:rPr>
              <w:t>注：查《民用建筑能耗标准》</w:t>
            </w:r>
            <w:r>
              <w:rPr>
                <w:rFonts w:hint="eastAsia" w:ascii="CESI宋体-GB2312" w:hAnsi="CESI宋体-GB2312" w:eastAsia="CESI宋体-GB2312" w:cs="CESI宋体-GB2312"/>
                <w:kern w:val="32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94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CESI宋体-GB2312" w:hAnsi="CESI宋体-GB2312" w:eastAsia="CESI宋体-GB2312" w:cs="CESI宋体-GB2312"/>
                <w:kern w:val="32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kern w:val="32"/>
                <w:szCs w:val="21"/>
              </w:rPr>
              <w:t>能效分级结果</w:t>
            </w:r>
          </w:p>
        </w:tc>
        <w:tc>
          <w:tcPr>
            <w:tcW w:w="7216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CESI宋体-GB2312" w:hAnsi="CESI宋体-GB2312" w:cs="CESI宋体-GB2312"/>
                <w:kern w:val="3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一级能效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二级能效 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三级能效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四级能效 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五级能效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CESI宋体-GB2312" w:hAnsi="CESI宋体-GB2312" w:eastAsia="CESI宋体-GB2312" w:cs="CESI宋体-GB2312"/>
          <w:b/>
          <w:bCs/>
          <w:sz w:val="24"/>
        </w:rPr>
      </w:pPr>
      <w:r>
        <w:rPr>
          <w:rFonts w:hint="eastAsia" w:ascii="CESI宋体-GB2312" w:hAnsi="CESI宋体-GB2312" w:eastAsia="CESI宋体-GB2312" w:cs="CESI宋体-GB2312"/>
          <w:b/>
          <w:bCs/>
          <w:sz w:val="24"/>
        </w:rPr>
        <w:t>本报告填报单位承诺：本单位在该报告中填报的信息和数据真实、准确、完整。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line="440" w:lineRule="exact"/>
        <w:ind w:firstLine="3840" w:firstLineChars="1600"/>
        <w:textAlignment w:val="auto"/>
        <w:rPr>
          <w:rFonts w:hint="eastAsia" w:ascii="CESI宋体-GB2312" w:hAnsi="CESI宋体-GB2312" w:eastAsia="CESI宋体-GB2312" w:cs="CESI宋体-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840" w:firstLineChars="1600"/>
        <w:textAlignment w:val="auto"/>
        <w:rPr>
          <w:rFonts w:hint="eastAsia" w:ascii="CESI宋体-GB2312" w:hAnsi="CESI宋体-GB2312" w:eastAsia="CESI宋体-GB2312" w:cs="CESI宋体-GB2312"/>
          <w:sz w:val="24"/>
        </w:rPr>
      </w:pPr>
      <w:r>
        <w:rPr>
          <w:rFonts w:hint="eastAsia" w:ascii="CESI宋体-GB2312" w:hAnsi="CESI宋体-GB2312" w:eastAsia="CESI宋体-GB2312" w:cs="CESI宋体-GB2312"/>
          <w:sz w:val="24"/>
        </w:rPr>
        <w:t>单位名称（盖章）：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jc w:val="right"/>
        <w:textAlignment w:val="auto"/>
        <w:rPr>
          <w:rFonts w:hint="default" w:eastAsia="CESI宋体-GB2312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4"/>
        </w:rPr>
        <w:t xml:space="preserve">        年    月    日</w:t>
      </w:r>
      <w:r>
        <w:rPr>
          <w:rFonts w:hint="eastAsia" w:ascii="CESI宋体-GB2312" w:hAnsi="CESI宋体-GB2312" w:eastAsia="CESI宋体-GB2312" w:cs="CESI宋体-GB2312"/>
          <w:sz w:val="24"/>
          <w:lang w:val="en-US" w:eastAsia="zh-CN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 w:ascii="CESI宋体-GB2312" w:hAnsi="CESI宋体-GB2312" w:eastAsia="CESI宋体-GB2312" w:cs="CESI宋体-GB2312"/>
          <w:color w:val="auto"/>
          <w:kern w:val="2"/>
          <w:sz w:val="24"/>
          <w:szCs w:val="24"/>
          <w:lang w:val="en-US" w:eastAsia="zh-CN" w:bidi="ar-SA"/>
        </w:rPr>
        <w:t xml:space="preserve"> 联系人：       ；联系电话：  </w:t>
      </w: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H8c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YzFkMGU4NDcyMjBhODM2YzZmMjJiNDcwZTRkYTEifQ=="/>
  </w:docVars>
  <w:rsids>
    <w:rsidRoot w:val="00172A27"/>
    <w:rsid w:val="00011057"/>
    <w:rsid w:val="000740F0"/>
    <w:rsid w:val="00080D6C"/>
    <w:rsid w:val="000A2AC5"/>
    <w:rsid w:val="00120697"/>
    <w:rsid w:val="00165A08"/>
    <w:rsid w:val="001C6583"/>
    <w:rsid w:val="001F432E"/>
    <w:rsid w:val="00216AFF"/>
    <w:rsid w:val="002634D9"/>
    <w:rsid w:val="002865D2"/>
    <w:rsid w:val="002D5FC6"/>
    <w:rsid w:val="002F482E"/>
    <w:rsid w:val="00316DCC"/>
    <w:rsid w:val="00333B51"/>
    <w:rsid w:val="00345685"/>
    <w:rsid w:val="00353761"/>
    <w:rsid w:val="00366A6C"/>
    <w:rsid w:val="003C7EFA"/>
    <w:rsid w:val="003E5F4D"/>
    <w:rsid w:val="003F56C8"/>
    <w:rsid w:val="00422D33"/>
    <w:rsid w:val="004847EE"/>
    <w:rsid w:val="004A6788"/>
    <w:rsid w:val="004B5986"/>
    <w:rsid w:val="004C7840"/>
    <w:rsid w:val="004E36C3"/>
    <w:rsid w:val="00501CD2"/>
    <w:rsid w:val="0052535C"/>
    <w:rsid w:val="00547C0E"/>
    <w:rsid w:val="005A487E"/>
    <w:rsid w:val="005C5A85"/>
    <w:rsid w:val="006133AA"/>
    <w:rsid w:val="00656479"/>
    <w:rsid w:val="00673900"/>
    <w:rsid w:val="00680CF2"/>
    <w:rsid w:val="006D240E"/>
    <w:rsid w:val="006E0862"/>
    <w:rsid w:val="006F07F4"/>
    <w:rsid w:val="007023E4"/>
    <w:rsid w:val="007142BF"/>
    <w:rsid w:val="0071639C"/>
    <w:rsid w:val="0072302A"/>
    <w:rsid w:val="007601BA"/>
    <w:rsid w:val="007940BD"/>
    <w:rsid w:val="007A2066"/>
    <w:rsid w:val="007A2E99"/>
    <w:rsid w:val="007B237A"/>
    <w:rsid w:val="007B6A92"/>
    <w:rsid w:val="007C65BE"/>
    <w:rsid w:val="007D19ED"/>
    <w:rsid w:val="008218B7"/>
    <w:rsid w:val="00831357"/>
    <w:rsid w:val="008322DF"/>
    <w:rsid w:val="00881627"/>
    <w:rsid w:val="008A5740"/>
    <w:rsid w:val="008F1149"/>
    <w:rsid w:val="009201B9"/>
    <w:rsid w:val="00963AA6"/>
    <w:rsid w:val="00964E18"/>
    <w:rsid w:val="00966D7B"/>
    <w:rsid w:val="009A5CA5"/>
    <w:rsid w:val="00A16566"/>
    <w:rsid w:val="00A23E47"/>
    <w:rsid w:val="00A448B0"/>
    <w:rsid w:val="00A4654E"/>
    <w:rsid w:val="00A548B2"/>
    <w:rsid w:val="00AA0DDA"/>
    <w:rsid w:val="00AA7752"/>
    <w:rsid w:val="00AE11EA"/>
    <w:rsid w:val="00B22F10"/>
    <w:rsid w:val="00B36040"/>
    <w:rsid w:val="00B5235D"/>
    <w:rsid w:val="00B631C9"/>
    <w:rsid w:val="00B74B13"/>
    <w:rsid w:val="00B8307A"/>
    <w:rsid w:val="00B94892"/>
    <w:rsid w:val="00BD4B7D"/>
    <w:rsid w:val="00BF1CCE"/>
    <w:rsid w:val="00C01CA8"/>
    <w:rsid w:val="00C23CA4"/>
    <w:rsid w:val="00CA5B17"/>
    <w:rsid w:val="00D134FE"/>
    <w:rsid w:val="00D40DE6"/>
    <w:rsid w:val="00D515FA"/>
    <w:rsid w:val="00D65698"/>
    <w:rsid w:val="00D93C50"/>
    <w:rsid w:val="00E209E9"/>
    <w:rsid w:val="00E2381B"/>
    <w:rsid w:val="00E32E45"/>
    <w:rsid w:val="00E81C01"/>
    <w:rsid w:val="00E95610"/>
    <w:rsid w:val="00EB0492"/>
    <w:rsid w:val="00EC6FC7"/>
    <w:rsid w:val="00ED05A2"/>
    <w:rsid w:val="00EF348E"/>
    <w:rsid w:val="00F032EC"/>
    <w:rsid w:val="00F947C6"/>
    <w:rsid w:val="00FA3593"/>
    <w:rsid w:val="00FC55CD"/>
    <w:rsid w:val="00FD7E4B"/>
    <w:rsid w:val="0BFF20FA"/>
    <w:rsid w:val="13B516E6"/>
    <w:rsid w:val="15BFE14F"/>
    <w:rsid w:val="19FFE19A"/>
    <w:rsid w:val="1DD98F15"/>
    <w:rsid w:val="1E3F1873"/>
    <w:rsid w:val="27EE56F8"/>
    <w:rsid w:val="29D188A1"/>
    <w:rsid w:val="2DDB032C"/>
    <w:rsid w:val="2DFD26DC"/>
    <w:rsid w:val="2FEFDAA2"/>
    <w:rsid w:val="2FF75461"/>
    <w:rsid w:val="2FFFEBC4"/>
    <w:rsid w:val="33EB0D17"/>
    <w:rsid w:val="357F9488"/>
    <w:rsid w:val="37DDE5EE"/>
    <w:rsid w:val="37FE7F8D"/>
    <w:rsid w:val="3BFD9DCB"/>
    <w:rsid w:val="3D677D5F"/>
    <w:rsid w:val="3DA72F72"/>
    <w:rsid w:val="3DEFC86E"/>
    <w:rsid w:val="3DFF9EE7"/>
    <w:rsid w:val="3E715C92"/>
    <w:rsid w:val="3EECBC12"/>
    <w:rsid w:val="3F393052"/>
    <w:rsid w:val="3FA7E879"/>
    <w:rsid w:val="3FE6BE28"/>
    <w:rsid w:val="3FEB535A"/>
    <w:rsid w:val="3FF22FCE"/>
    <w:rsid w:val="3FFB7B2D"/>
    <w:rsid w:val="3FFF205A"/>
    <w:rsid w:val="49FE6C79"/>
    <w:rsid w:val="4A5671A7"/>
    <w:rsid w:val="4F5BEED3"/>
    <w:rsid w:val="4FFCEEA4"/>
    <w:rsid w:val="503C6790"/>
    <w:rsid w:val="526A5EFE"/>
    <w:rsid w:val="557691B1"/>
    <w:rsid w:val="58EFCB67"/>
    <w:rsid w:val="5BF3C681"/>
    <w:rsid w:val="5CEDBA33"/>
    <w:rsid w:val="5DCF8AB8"/>
    <w:rsid w:val="5EDCA083"/>
    <w:rsid w:val="5FDF0856"/>
    <w:rsid w:val="5FEF6F7E"/>
    <w:rsid w:val="5FFBA4E9"/>
    <w:rsid w:val="5FFBF979"/>
    <w:rsid w:val="67FF9EDE"/>
    <w:rsid w:val="68BEBD1D"/>
    <w:rsid w:val="69E2BCDE"/>
    <w:rsid w:val="69FDD184"/>
    <w:rsid w:val="6A8BCE6D"/>
    <w:rsid w:val="6B772B58"/>
    <w:rsid w:val="6B7C237D"/>
    <w:rsid w:val="6B97A20A"/>
    <w:rsid w:val="6BF2A400"/>
    <w:rsid w:val="6BFE17EA"/>
    <w:rsid w:val="6DEE8D1B"/>
    <w:rsid w:val="6DFA891D"/>
    <w:rsid w:val="6E3EAF11"/>
    <w:rsid w:val="6E7E21FD"/>
    <w:rsid w:val="6EEE9D56"/>
    <w:rsid w:val="6F5F234D"/>
    <w:rsid w:val="6F617560"/>
    <w:rsid w:val="6FBE3DFD"/>
    <w:rsid w:val="6FDF36B6"/>
    <w:rsid w:val="6FEC08AB"/>
    <w:rsid w:val="6FF77FD6"/>
    <w:rsid w:val="6FF9F9B3"/>
    <w:rsid w:val="6FFAC6D4"/>
    <w:rsid w:val="71B58D48"/>
    <w:rsid w:val="75940DA1"/>
    <w:rsid w:val="77EE5419"/>
    <w:rsid w:val="77FDB675"/>
    <w:rsid w:val="79579FB8"/>
    <w:rsid w:val="79FC80E5"/>
    <w:rsid w:val="7ABFF6E1"/>
    <w:rsid w:val="7B739259"/>
    <w:rsid w:val="7B7FBDB1"/>
    <w:rsid w:val="7B8D11D0"/>
    <w:rsid w:val="7B9F18E3"/>
    <w:rsid w:val="7BAFD537"/>
    <w:rsid w:val="7BCFA645"/>
    <w:rsid w:val="7BD7C56A"/>
    <w:rsid w:val="7C57E4D5"/>
    <w:rsid w:val="7C5FDC3D"/>
    <w:rsid w:val="7CCB3C40"/>
    <w:rsid w:val="7CE23EF7"/>
    <w:rsid w:val="7DBFA369"/>
    <w:rsid w:val="7DDDA209"/>
    <w:rsid w:val="7DECF16F"/>
    <w:rsid w:val="7E6C2CEB"/>
    <w:rsid w:val="7E978EBF"/>
    <w:rsid w:val="7EBE9E2A"/>
    <w:rsid w:val="7ED3D80E"/>
    <w:rsid w:val="7EEBE435"/>
    <w:rsid w:val="7EFEEBC2"/>
    <w:rsid w:val="7F332749"/>
    <w:rsid w:val="7F3BCBEC"/>
    <w:rsid w:val="7F3F34CD"/>
    <w:rsid w:val="7F4B1351"/>
    <w:rsid w:val="7F7F93F0"/>
    <w:rsid w:val="7F7F9A10"/>
    <w:rsid w:val="7F7FB75B"/>
    <w:rsid w:val="7FB2893F"/>
    <w:rsid w:val="7FCEAC23"/>
    <w:rsid w:val="7FDB59A9"/>
    <w:rsid w:val="7FE3930F"/>
    <w:rsid w:val="7FF6E194"/>
    <w:rsid w:val="7FF786D4"/>
    <w:rsid w:val="7FF9D7D7"/>
    <w:rsid w:val="7FFBD41F"/>
    <w:rsid w:val="7FFFE165"/>
    <w:rsid w:val="8657FFA6"/>
    <w:rsid w:val="967BCE66"/>
    <w:rsid w:val="97F87D83"/>
    <w:rsid w:val="97FB9E84"/>
    <w:rsid w:val="99FFC68D"/>
    <w:rsid w:val="9BF3B148"/>
    <w:rsid w:val="9CBF70A0"/>
    <w:rsid w:val="9DDFA99C"/>
    <w:rsid w:val="9E71BA98"/>
    <w:rsid w:val="9FB3E93E"/>
    <w:rsid w:val="A12EA5A6"/>
    <w:rsid w:val="ABDE6174"/>
    <w:rsid w:val="ABE7842E"/>
    <w:rsid w:val="AEEED837"/>
    <w:rsid w:val="B3DE7089"/>
    <w:rsid w:val="B53BF9A8"/>
    <w:rsid w:val="B556B0EE"/>
    <w:rsid w:val="B5CBB05E"/>
    <w:rsid w:val="B71F236C"/>
    <w:rsid w:val="B76FDEA6"/>
    <w:rsid w:val="B7A5D311"/>
    <w:rsid w:val="B7DEDD1A"/>
    <w:rsid w:val="B7F62F9E"/>
    <w:rsid w:val="BAEF8264"/>
    <w:rsid w:val="BB6D568E"/>
    <w:rsid w:val="BB7F9F5C"/>
    <w:rsid w:val="BBEDA462"/>
    <w:rsid w:val="BDEFAAE1"/>
    <w:rsid w:val="BDF6D825"/>
    <w:rsid w:val="BDFFC6E1"/>
    <w:rsid w:val="BE9E7EBE"/>
    <w:rsid w:val="BF56A0AB"/>
    <w:rsid w:val="BFBFD337"/>
    <w:rsid w:val="BFD6C979"/>
    <w:rsid w:val="BFD76716"/>
    <w:rsid w:val="BFDFB176"/>
    <w:rsid w:val="C7BA2244"/>
    <w:rsid w:val="C7FF34E9"/>
    <w:rsid w:val="CFF6AA07"/>
    <w:rsid w:val="D0DF04F9"/>
    <w:rsid w:val="D3DB2391"/>
    <w:rsid w:val="D70F20D2"/>
    <w:rsid w:val="D753FF57"/>
    <w:rsid w:val="D7541EE2"/>
    <w:rsid w:val="D7BF87A2"/>
    <w:rsid w:val="D7FB54AD"/>
    <w:rsid w:val="D9CF8991"/>
    <w:rsid w:val="DBBE9825"/>
    <w:rsid w:val="DBBF439B"/>
    <w:rsid w:val="DBDD07EA"/>
    <w:rsid w:val="DDFBF69B"/>
    <w:rsid w:val="DEDEA74C"/>
    <w:rsid w:val="DEDF1743"/>
    <w:rsid w:val="DEFEC90E"/>
    <w:rsid w:val="DF69D586"/>
    <w:rsid w:val="DF7B2C28"/>
    <w:rsid w:val="DFE72E05"/>
    <w:rsid w:val="DFF9599A"/>
    <w:rsid w:val="DFFB5BD3"/>
    <w:rsid w:val="E39A94E8"/>
    <w:rsid w:val="E3FFA26D"/>
    <w:rsid w:val="E74ECCB6"/>
    <w:rsid w:val="E7FF4EC5"/>
    <w:rsid w:val="E8BFBB5B"/>
    <w:rsid w:val="ECB72CE0"/>
    <w:rsid w:val="EEDBE705"/>
    <w:rsid w:val="EEDFEAD8"/>
    <w:rsid w:val="EEF36EBF"/>
    <w:rsid w:val="EFAF400C"/>
    <w:rsid w:val="EFDEB610"/>
    <w:rsid w:val="EFFB2570"/>
    <w:rsid w:val="EFFD5B4E"/>
    <w:rsid w:val="F16F9CA5"/>
    <w:rsid w:val="F1F56A2A"/>
    <w:rsid w:val="F2F1C093"/>
    <w:rsid w:val="F6FF3FA7"/>
    <w:rsid w:val="F71FC8C2"/>
    <w:rsid w:val="F72F9221"/>
    <w:rsid w:val="F75C130E"/>
    <w:rsid w:val="F76BAB78"/>
    <w:rsid w:val="F7B98D24"/>
    <w:rsid w:val="F7EFDB2C"/>
    <w:rsid w:val="F7F749A9"/>
    <w:rsid w:val="F7F7D75E"/>
    <w:rsid w:val="F7FCC400"/>
    <w:rsid w:val="F8F2166E"/>
    <w:rsid w:val="F9BFC062"/>
    <w:rsid w:val="FA6F0F05"/>
    <w:rsid w:val="FA7F5D5B"/>
    <w:rsid w:val="FAFF93F6"/>
    <w:rsid w:val="FB3FACB1"/>
    <w:rsid w:val="FBAB183B"/>
    <w:rsid w:val="FBB6988D"/>
    <w:rsid w:val="FBFF1175"/>
    <w:rsid w:val="FC6E5EC8"/>
    <w:rsid w:val="FC89B8A4"/>
    <w:rsid w:val="FCB84B0B"/>
    <w:rsid w:val="FD6F783B"/>
    <w:rsid w:val="FD7FB618"/>
    <w:rsid w:val="FD970B9C"/>
    <w:rsid w:val="FDAF46E9"/>
    <w:rsid w:val="FDC7F784"/>
    <w:rsid w:val="FDD6427B"/>
    <w:rsid w:val="FDFBA033"/>
    <w:rsid w:val="FDFE5973"/>
    <w:rsid w:val="FDFFF467"/>
    <w:rsid w:val="FE7B3786"/>
    <w:rsid w:val="FE7F121E"/>
    <w:rsid w:val="FE7FBBC2"/>
    <w:rsid w:val="FEA5AEC5"/>
    <w:rsid w:val="FEAE788C"/>
    <w:rsid w:val="FEB490E8"/>
    <w:rsid w:val="FEEFA15F"/>
    <w:rsid w:val="FEF4E6E1"/>
    <w:rsid w:val="FEFEAFF1"/>
    <w:rsid w:val="FF3A7D0C"/>
    <w:rsid w:val="FF3BE50A"/>
    <w:rsid w:val="FF4F3638"/>
    <w:rsid w:val="FF6ED5BA"/>
    <w:rsid w:val="FF73D5DC"/>
    <w:rsid w:val="FF75FDBA"/>
    <w:rsid w:val="FF7B576F"/>
    <w:rsid w:val="FF7E2D27"/>
    <w:rsid w:val="FF7FB7B5"/>
    <w:rsid w:val="FF91ED21"/>
    <w:rsid w:val="FFDC87C5"/>
    <w:rsid w:val="FFED8D01"/>
    <w:rsid w:val="FFEE5B27"/>
    <w:rsid w:val="FFFA8B05"/>
    <w:rsid w:val="FFFFE4BF"/>
    <w:rsid w:val="FFFFF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qFormat/>
    <w:uiPriority w:val="0"/>
    <w:pPr>
      <w:widowControl w:val="0"/>
      <w:spacing w:beforeLines="0" w:after="120" w:afterLines="0" w:afterAutospacing="0"/>
      <w:ind w:left="1440" w:leftChars="700" w:rightChars="70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8">
    <w:name w:val="Plain Text"/>
    <w:basedOn w:val="1"/>
    <w:unhideWhenUsed/>
    <w:qFormat/>
    <w:uiPriority w:val="99"/>
    <w:rPr>
      <w:rFonts w:ascii="宋体" w:hAnsi="Courier New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0"/>
    <w:pPr>
      <w:widowControl/>
      <w:suppressAutoHyphens w:val="0"/>
    </w:pPr>
    <w:rPr>
      <w:rFonts w:eastAsia="仿宋_GB2312"/>
      <w:sz w:val="32"/>
      <w:szCs w:val="22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customStyle="1" w:styleId="22">
    <w:name w:val="标题 1 Char"/>
    <w:link w:val="3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3">
    <w:name w:val="页脚 Char"/>
    <w:link w:val="10"/>
    <w:qFormat/>
    <w:uiPriority w:val="99"/>
    <w:rPr>
      <w:kern w:val="2"/>
      <w:sz w:val="18"/>
      <w:szCs w:val="18"/>
    </w:rPr>
  </w:style>
  <w:style w:type="paragraph" w:customStyle="1" w:styleId="24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5">
    <w:name w:val="TOC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customStyle="1" w:styleId="26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表格内容"/>
    <w:basedOn w:val="1"/>
    <w:qFormat/>
    <w:uiPriority w:val="0"/>
    <w:pPr>
      <w:suppressLineNumbers/>
      <w:suppressAutoHyphens/>
    </w:pPr>
    <w:rPr>
      <w:rFonts w:hint="eastAsia"/>
      <w:kern w:val="1"/>
      <w:szCs w:val="20"/>
    </w:rPr>
  </w:style>
  <w:style w:type="paragraph" w:customStyle="1" w:styleId="28">
    <w:name w:val="文章"/>
    <w:basedOn w:val="1"/>
    <w:qFormat/>
    <w:uiPriority w:val="0"/>
    <w:pPr>
      <w:spacing w:beforeLines="50" w:line="360" w:lineRule="auto"/>
      <w:ind w:firstLine="480" w:firstLineChars="200"/>
    </w:pPr>
    <w:rPr>
      <w:rFonts w:hint="eastAsia" w:ascii="Calibri" w:hAnsi="Calibri"/>
      <w:kern w:val="1"/>
      <w:sz w:val="24"/>
    </w:rPr>
  </w:style>
  <w:style w:type="paragraph" w:customStyle="1" w:styleId="29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/>
    </w:rPr>
  </w:style>
  <w:style w:type="paragraph" w:customStyle="1" w:styleId="30">
    <w:name w:val="正文1"/>
    <w:basedOn w:val="1"/>
    <w:qFormat/>
    <w:uiPriority w:val="99"/>
    <w:pPr>
      <w:ind w:firstLine="1696" w:firstLineChars="200"/>
    </w:pPr>
    <w:rPr>
      <w:rFonts w:ascii="Calibri" w:hAnsi="Calibri"/>
      <w:szCs w:val="22"/>
    </w:rPr>
  </w:style>
  <w:style w:type="character" w:customStyle="1" w:styleId="31">
    <w:name w:val="font01"/>
    <w:basedOn w:val="1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2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8</Pages>
  <Words>2187</Words>
  <Characters>2306</Characters>
  <Lines>1</Lines>
  <Paragraphs>1</Paragraphs>
  <TotalTime>0</TotalTime>
  <ScaleCrop>false</ScaleCrop>
  <LinksUpToDate>false</LinksUpToDate>
  <CharactersWithSpaces>2542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2021-02-28T07:06:00Z</dcterms:created>
  <dc:creator>陈凤霞</dc:creator>
  <cp:lastModifiedBy>王合叶</cp:lastModifiedBy>
  <cp:lastPrinted>2024-06-23T09:09:00Z</cp:lastPrinted>
  <dcterms:modified xsi:type="dcterms:W3CDTF">2024-06-26T17:46:55Z</dcterms:modified>
  <dc:title>北京市建设委员会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17BF780B7C454B33AEA771529D3A39DC</vt:lpwstr>
  </property>
</Properties>
</file>