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7A" w:rsidRPr="002F7F0E" w:rsidRDefault="00EC2E0C" w:rsidP="00EC2E0C">
      <w:pPr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2F7F0E">
        <w:rPr>
          <w:rFonts w:ascii="黑体" w:eastAsia="黑体" w:hAnsi="黑体" w:cs="Times New Roman" w:hint="eastAsia"/>
          <w:sz w:val="32"/>
          <w:szCs w:val="32"/>
        </w:rPr>
        <w:t>附件8</w:t>
      </w:r>
    </w:p>
    <w:p w:rsidR="003D1C7A" w:rsidRPr="002F7F0E" w:rsidRDefault="003D1C7A" w:rsidP="003D1C7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 w:rsidRPr="002F7F0E">
        <w:rPr>
          <w:rFonts w:ascii="方正小标宋简体" w:eastAsia="方正小标宋简体" w:hAnsi="方正小标宋简体" w:cs="方正小标宋简体" w:hint="eastAsia"/>
          <w:sz w:val="44"/>
          <w:szCs w:val="44"/>
        </w:rPr>
        <w:t>预拌混凝土绿色生产管理情况专项检查单</w:t>
      </w:r>
    </w:p>
    <w:bookmarkEnd w:id="0"/>
    <w:p w:rsidR="003D1C7A" w:rsidRPr="002F7F0E" w:rsidRDefault="003D1C7A" w:rsidP="003D1C7A">
      <w:pPr>
        <w:rPr>
          <w:rFonts w:ascii="宋体" w:hAnsi="宋体" w:cs="黑体"/>
          <w:szCs w:val="21"/>
        </w:rPr>
      </w:pPr>
      <w:r w:rsidRPr="002F7F0E">
        <w:rPr>
          <w:rFonts w:ascii="宋体" w:hAnsi="宋体" w:cs="黑体" w:hint="eastAsia"/>
          <w:szCs w:val="21"/>
        </w:rPr>
        <w:t>检查时间：</w:t>
      </w:r>
      <w:proofErr w:type="spellStart"/>
      <w:r w:rsidRPr="002F7F0E">
        <w:rPr>
          <w:rFonts w:ascii="宋体" w:hAnsi="宋体" w:cs="黑体" w:hint="eastAsia"/>
          <w:szCs w:val="21"/>
        </w:rPr>
        <w:t>xxxx</w:t>
      </w:r>
      <w:proofErr w:type="spellEnd"/>
      <w:r w:rsidRPr="002F7F0E">
        <w:rPr>
          <w:rFonts w:ascii="宋体" w:hAnsi="宋体" w:cs="黑体" w:hint="eastAsia"/>
          <w:szCs w:val="21"/>
        </w:rPr>
        <w:t>年xx月xx日xx时xx分 ——XX时XX分              单号：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1855"/>
        <w:gridCol w:w="1975"/>
        <w:gridCol w:w="962"/>
        <w:gridCol w:w="1700"/>
        <w:gridCol w:w="928"/>
        <w:gridCol w:w="630"/>
        <w:gridCol w:w="915"/>
        <w:gridCol w:w="3922"/>
      </w:tblGrid>
      <w:tr w:rsidR="002F7F0E" w:rsidRPr="002F7F0E" w:rsidTr="003D1C7A">
        <w:trPr>
          <w:trHeight w:val="624"/>
          <w:jc w:val="center"/>
        </w:trPr>
        <w:tc>
          <w:tcPr>
            <w:tcW w:w="1855" w:type="dxa"/>
            <w:vAlign w:val="center"/>
          </w:tcPr>
          <w:p w:rsidR="003D1C7A" w:rsidRPr="002F7F0E" w:rsidRDefault="003D1C7A" w:rsidP="000F298E">
            <w:pPr>
              <w:jc w:val="center"/>
              <w:rPr>
                <w:rFonts w:ascii="宋体" w:hAnsi="宋体"/>
                <w:bCs/>
              </w:rPr>
            </w:pPr>
            <w:r w:rsidRPr="002F7F0E">
              <w:rPr>
                <w:rFonts w:ascii="宋体" w:hAnsi="宋体" w:hint="eastAsia"/>
                <w:bCs/>
              </w:rPr>
              <w:t>名    称</w:t>
            </w:r>
          </w:p>
        </w:tc>
        <w:tc>
          <w:tcPr>
            <w:tcW w:w="4792" w:type="dxa"/>
            <w:gridSpan w:val="3"/>
            <w:vAlign w:val="center"/>
          </w:tcPr>
          <w:p w:rsidR="003D1C7A" w:rsidRPr="002F7F0E" w:rsidRDefault="003D1C7A" w:rsidP="000F298E">
            <w:pPr>
              <w:rPr>
                <w:rFonts w:ascii="宋体" w:hAnsi="宋体"/>
                <w:bCs/>
                <w:u w:val="single"/>
              </w:rPr>
            </w:pPr>
          </w:p>
        </w:tc>
        <w:tc>
          <w:tcPr>
            <w:tcW w:w="1700" w:type="dxa"/>
            <w:vAlign w:val="center"/>
          </w:tcPr>
          <w:p w:rsidR="003D1C7A" w:rsidRPr="002F7F0E" w:rsidRDefault="003D1C7A" w:rsidP="000F298E">
            <w:pPr>
              <w:jc w:val="center"/>
              <w:rPr>
                <w:rFonts w:ascii="宋体" w:hAnsi="宋体"/>
                <w:bCs/>
              </w:rPr>
            </w:pPr>
            <w:r w:rsidRPr="002F7F0E">
              <w:rPr>
                <w:rFonts w:ascii="宋体" w:hAnsi="宋体" w:hint="eastAsia"/>
                <w:bCs/>
              </w:rPr>
              <w:t>社会统一代码</w:t>
            </w:r>
          </w:p>
        </w:tc>
        <w:tc>
          <w:tcPr>
            <w:tcW w:w="6395" w:type="dxa"/>
            <w:gridSpan w:val="4"/>
            <w:vAlign w:val="center"/>
          </w:tcPr>
          <w:p w:rsidR="003D1C7A" w:rsidRPr="002F7F0E" w:rsidRDefault="003D1C7A" w:rsidP="000F298E">
            <w:pPr>
              <w:rPr>
                <w:rFonts w:ascii="宋体" w:hAnsi="宋体"/>
                <w:bCs/>
                <w:u w:val="single"/>
              </w:rPr>
            </w:pPr>
          </w:p>
        </w:tc>
      </w:tr>
      <w:tr w:rsidR="002F7F0E" w:rsidRPr="002F7F0E" w:rsidTr="003D1C7A">
        <w:trPr>
          <w:trHeight w:val="624"/>
          <w:jc w:val="center"/>
        </w:trPr>
        <w:tc>
          <w:tcPr>
            <w:tcW w:w="1855" w:type="dxa"/>
            <w:vAlign w:val="center"/>
          </w:tcPr>
          <w:p w:rsidR="003D1C7A" w:rsidRPr="002F7F0E" w:rsidRDefault="003D1C7A" w:rsidP="000F298E">
            <w:pPr>
              <w:jc w:val="center"/>
              <w:rPr>
                <w:rFonts w:ascii="宋体" w:hAnsi="宋体"/>
                <w:bCs/>
              </w:rPr>
            </w:pPr>
            <w:r w:rsidRPr="002F7F0E">
              <w:rPr>
                <w:rFonts w:ascii="宋体" w:hAnsi="宋体" w:hint="eastAsia"/>
                <w:bCs/>
              </w:rPr>
              <w:t>负责人姓名</w:t>
            </w:r>
          </w:p>
        </w:tc>
        <w:tc>
          <w:tcPr>
            <w:tcW w:w="4792" w:type="dxa"/>
            <w:gridSpan w:val="3"/>
            <w:vAlign w:val="center"/>
          </w:tcPr>
          <w:p w:rsidR="003D1C7A" w:rsidRPr="002F7F0E" w:rsidRDefault="003D1C7A" w:rsidP="000F298E">
            <w:pPr>
              <w:rPr>
                <w:rFonts w:ascii="宋体" w:hAnsi="宋体"/>
                <w:bCs/>
                <w:u w:val="single"/>
              </w:rPr>
            </w:pPr>
          </w:p>
        </w:tc>
        <w:tc>
          <w:tcPr>
            <w:tcW w:w="1700" w:type="dxa"/>
            <w:vAlign w:val="center"/>
          </w:tcPr>
          <w:p w:rsidR="003D1C7A" w:rsidRPr="002F7F0E" w:rsidRDefault="003D1C7A" w:rsidP="000F298E">
            <w:pPr>
              <w:jc w:val="center"/>
              <w:rPr>
                <w:rFonts w:ascii="宋体" w:hAnsi="宋体"/>
                <w:bCs/>
              </w:rPr>
            </w:pPr>
            <w:r w:rsidRPr="002F7F0E">
              <w:rPr>
                <w:rFonts w:ascii="宋体" w:hAnsi="宋体" w:hint="eastAsia"/>
                <w:bCs/>
              </w:rPr>
              <w:t>联系方式</w:t>
            </w:r>
          </w:p>
        </w:tc>
        <w:tc>
          <w:tcPr>
            <w:tcW w:w="6395" w:type="dxa"/>
            <w:gridSpan w:val="4"/>
            <w:vAlign w:val="center"/>
          </w:tcPr>
          <w:p w:rsidR="003D1C7A" w:rsidRPr="002F7F0E" w:rsidRDefault="003D1C7A" w:rsidP="000F298E">
            <w:pPr>
              <w:rPr>
                <w:rFonts w:ascii="宋体" w:hAnsi="宋体"/>
                <w:bCs/>
                <w:u w:val="single"/>
              </w:rPr>
            </w:pPr>
          </w:p>
        </w:tc>
      </w:tr>
      <w:tr w:rsidR="002F7F0E" w:rsidRPr="002F7F0E" w:rsidTr="003D1C7A">
        <w:trPr>
          <w:trHeight w:val="624"/>
          <w:jc w:val="center"/>
        </w:trPr>
        <w:tc>
          <w:tcPr>
            <w:tcW w:w="1855" w:type="dxa"/>
            <w:vAlign w:val="center"/>
          </w:tcPr>
          <w:p w:rsidR="003D1C7A" w:rsidRPr="002F7F0E" w:rsidRDefault="003D1C7A" w:rsidP="000F298E">
            <w:pPr>
              <w:jc w:val="center"/>
              <w:rPr>
                <w:rFonts w:ascii="宋体" w:hAnsi="宋体"/>
                <w:bCs/>
              </w:rPr>
            </w:pPr>
            <w:r w:rsidRPr="002F7F0E">
              <w:rPr>
                <w:rFonts w:ascii="宋体" w:hAnsi="宋体" w:hint="eastAsia"/>
                <w:bCs/>
              </w:rPr>
              <w:t>检查地点</w:t>
            </w:r>
          </w:p>
        </w:tc>
        <w:tc>
          <w:tcPr>
            <w:tcW w:w="12887" w:type="dxa"/>
            <w:gridSpan w:val="8"/>
            <w:vAlign w:val="center"/>
          </w:tcPr>
          <w:p w:rsidR="003D1C7A" w:rsidRPr="002F7F0E" w:rsidRDefault="003D1C7A" w:rsidP="000F298E">
            <w:pPr>
              <w:rPr>
                <w:rFonts w:ascii="宋体" w:hAnsi="宋体"/>
                <w:bCs/>
                <w:u w:val="single"/>
              </w:rPr>
            </w:pPr>
          </w:p>
        </w:tc>
      </w:tr>
      <w:tr w:rsidR="002F7F0E" w:rsidRPr="002F7F0E" w:rsidTr="003D1C7A">
        <w:trPr>
          <w:trHeight w:val="624"/>
          <w:jc w:val="center"/>
        </w:trPr>
        <w:tc>
          <w:tcPr>
            <w:tcW w:w="14742" w:type="dxa"/>
            <w:gridSpan w:val="9"/>
            <w:vAlign w:val="center"/>
          </w:tcPr>
          <w:p w:rsidR="003D1C7A" w:rsidRPr="002F7F0E" w:rsidRDefault="003D1C7A" w:rsidP="000F298E">
            <w:pPr>
              <w:jc w:val="center"/>
              <w:rPr>
                <w:rFonts w:ascii="宋体" w:hAnsi="宋体"/>
                <w:b/>
              </w:rPr>
            </w:pPr>
            <w:r w:rsidRPr="002F7F0E">
              <w:rPr>
                <w:rFonts w:ascii="宋体" w:hAnsi="宋体" w:hint="eastAsia"/>
                <w:b/>
              </w:rPr>
              <w:t>检查事项、内容、方法及结果</w:t>
            </w:r>
          </w:p>
        </w:tc>
      </w:tr>
      <w:tr w:rsidR="002F7F0E" w:rsidRPr="002F7F0E" w:rsidTr="003D1C7A">
        <w:trPr>
          <w:trHeight w:val="749"/>
          <w:jc w:val="center"/>
        </w:trPr>
        <w:tc>
          <w:tcPr>
            <w:tcW w:w="1855" w:type="dxa"/>
            <w:vAlign w:val="center"/>
          </w:tcPr>
          <w:p w:rsidR="003D1C7A" w:rsidRPr="002F7F0E" w:rsidRDefault="003D1C7A" w:rsidP="000F298E">
            <w:pPr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检查事项</w:t>
            </w:r>
          </w:p>
        </w:tc>
        <w:tc>
          <w:tcPr>
            <w:tcW w:w="1855" w:type="dxa"/>
            <w:vAlign w:val="center"/>
          </w:tcPr>
          <w:p w:rsidR="003D1C7A" w:rsidRPr="002F7F0E" w:rsidRDefault="003D1C7A" w:rsidP="000F298E">
            <w:pPr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检查子事项</w:t>
            </w: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检查内容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检查方法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检查结果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 w:val="restart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预拌混凝土原材料、资质和绿色生产管理检查</w:t>
            </w:r>
          </w:p>
        </w:tc>
        <w:tc>
          <w:tcPr>
            <w:tcW w:w="1855" w:type="dxa"/>
            <w:vMerge w:val="restart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3.预拌混凝土绿色生产管理情况专项检查</w:t>
            </w: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tabs>
                <w:tab w:val="left" w:pos="660"/>
              </w:tabs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3.1搅拌站建设环境影响评价、竣工环保验收报告；</w:t>
            </w:r>
          </w:p>
          <w:p w:rsidR="003D1C7A" w:rsidRPr="002F7F0E" w:rsidRDefault="003D1C7A" w:rsidP="000F298E">
            <w:pPr>
              <w:tabs>
                <w:tab w:val="left" w:pos="660"/>
              </w:tabs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有环评批复得</w:t>
            </w:r>
            <w:r w:rsidRPr="002F7F0E">
              <w:rPr>
                <w:rFonts w:ascii="宋体" w:hAnsi="宋体" w:cs="宋体"/>
                <w:szCs w:val="21"/>
              </w:rPr>
              <w:t>1</w:t>
            </w:r>
            <w:r w:rsidRPr="002F7F0E">
              <w:rPr>
                <w:rFonts w:ascii="宋体" w:hAnsi="宋体" w:cs="宋体" w:hint="eastAsia"/>
                <w:szCs w:val="21"/>
              </w:rPr>
              <w:t>分。</w:t>
            </w:r>
            <w:r w:rsidRPr="002F7F0E">
              <w:rPr>
                <w:rFonts w:ascii="宋体" w:hAnsi="宋体" w:cs="宋体"/>
                <w:szCs w:val="21"/>
              </w:rPr>
              <w:t>2002</w:t>
            </w:r>
            <w:r w:rsidRPr="002F7F0E">
              <w:rPr>
                <w:rFonts w:ascii="宋体" w:hAnsi="宋体" w:cs="宋体" w:hint="eastAsia"/>
                <w:szCs w:val="21"/>
              </w:rPr>
              <w:t>年</w:t>
            </w:r>
            <w:r w:rsidRPr="002F7F0E">
              <w:rPr>
                <w:rFonts w:ascii="宋体" w:hAnsi="宋体" w:cs="宋体"/>
                <w:szCs w:val="21"/>
              </w:rPr>
              <w:t>12</w:t>
            </w:r>
            <w:r w:rsidRPr="002F7F0E">
              <w:rPr>
                <w:rFonts w:ascii="宋体" w:hAnsi="宋体" w:cs="宋体" w:hint="eastAsia"/>
                <w:szCs w:val="21"/>
              </w:rPr>
              <w:t>月</w:t>
            </w:r>
            <w:r w:rsidRPr="002F7F0E">
              <w:rPr>
                <w:rFonts w:ascii="宋体" w:hAnsi="宋体" w:cs="宋体"/>
                <w:szCs w:val="21"/>
              </w:rPr>
              <w:t>31</w:t>
            </w:r>
            <w:r w:rsidRPr="002F7F0E">
              <w:rPr>
                <w:rFonts w:ascii="宋体" w:hAnsi="宋体" w:cs="宋体" w:hint="eastAsia"/>
                <w:szCs w:val="21"/>
              </w:rPr>
              <w:t>日以前建厂的视同有环评。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tabs>
                <w:tab w:val="left" w:pos="660"/>
              </w:tabs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3.2组织机构及管理制度；组织机构健全、生产、设备、技术、管理、操作等岗位配置齐全且对绿色生产有明确职责和分工得</w:t>
            </w:r>
            <w:r w:rsidRPr="002F7F0E">
              <w:rPr>
                <w:rFonts w:ascii="宋体" w:hAnsi="宋体" w:cs="宋体"/>
                <w:szCs w:val="21"/>
              </w:rPr>
              <w:t>1</w:t>
            </w:r>
            <w:r w:rsidRPr="002F7F0E">
              <w:rPr>
                <w:rFonts w:ascii="宋体" w:hAnsi="宋体" w:cs="宋体" w:hint="eastAsia"/>
                <w:szCs w:val="21"/>
              </w:rPr>
              <w:t>分；一项不符合不得分。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3.3人员要求；各管理及操作岗位人员配置齐全，能胜任岗位工作要求，有培训记录，不符合不得分。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3.4记录检查；日常检查记录留存一年，内容、签字、频率等符合要求且完整有效得</w:t>
            </w:r>
            <w:r w:rsidRPr="002F7F0E">
              <w:rPr>
                <w:rFonts w:ascii="宋体" w:hAnsi="宋体" w:cs="宋体"/>
                <w:szCs w:val="21"/>
              </w:rPr>
              <w:t>2</w:t>
            </w:r>
            <w:r w:rsidRPr="002F7F0E">
              <w:rPr>
                <w:rFonts w:ascii="宋体" w:hAnsi="宋体" w:cs="宋体" w:hint="eastAsia"/>
                <w:szCs w:val="21"/>
              </w:rPr>
              <w:t>分；结果超标或有投诉等不良记录，但有配套应急处理记录的得</w:t>
            </w:r>
            <w:r w:rsidRPr="002F7F0E">
              <w:rPr>
                <w:rFonts w:ascii="宋体" w:hAnsi="宋体" w:cs="宋体"/>
                <w:szCs w:val="21"/>
              </w:rPr>
              <w:t>1</w:t>
            </w:r>
            <w:r w:rsidRPr="002F7F0E">
              <w:rPr>
                <w:rFonts w:ascii="宋体" w:hAnsi="宋体" w:cs="宋体" w:hint="eastAsia"/>
                <w:szCs w:val="21"/>
              </w:rPr>
              <w:t>分；无应急处理或超过</w:t>
            </w:r>
            <w:r w:rsidRPr="002F7F0E">
              <w:rPr>
                <w:rFonts w:ascii="宋体" w:hAnsi="宋体" w:cs="宋体"/>
                <w:szCs w:val="21"/>
              </w:rPr>
              <w:t>2</w:t>
            </w:r>
            <w:r w:rsidRPr="002F7F0E">
              <w:rPr>
                <w:rFonts w:ascii="宋体" w:hAnsi="宋体" w:cs="宋体" w:hint="eastAsia"/>
                <w:szCs w:val="21"/>
              </w:rPr>
              <w:t>次（含）投诉的不得分。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3.5封闭情况检查；迁建搅拌站：整体全封闭，围护结构材料及外观效果美观的得</w:t>
            </w:r>
            <w:r w:rsidRPr="002F7F0E">
              <w:rPr>
                <w:rFonts w:ascii="宋体" w:hAnsi="宋体" w:cs="宋体"/>
                <w:szCs w:val="21"/>
              </w:rPr>
              <w:t>13</w:t>
            </w:r>
            <w:r w:rsidRPr="002F7F0E">
              <w:rPr>
                <w:rFonts w:ascii="宋体" w:hAnsi="宋体" w:cs="宋体" w:hint="eastAsia"/>
                <w:szCs w:val="21"/>
              </w:rPr>
              <w:t>分；整体全封闭，外观效果一般的得</w:t>
            </w:r>
            <w:r w:rsidRPr="002F7F0E">
              <w:rPr>
                <w:rFonts w:ascii="宋体" w:hAnsi="宋体" w:cs="宋体"/>
                <w:szCs w:val="21"/>
              </w:rPr>
              <w:t>9</w:t>
            </w:r>
            <w:r w:rsidRPr="002F7F0E">
              <w:rPr>
                <w:rFonts w:ascii="宋体" w:hAnsi="宋体" w:cs="宋体" w:hint="eastAsia"/>
                <w:szCs w:val="21"/>
              </w:rPr>
              <w:t>分；没有整体封闭的本项不得分。</w:t>
            </w:r>
          </w:p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既有搅拌站：整体全封闭（含搅拌楼前停车区），围护结构材料及外观效果美观的得</w:t>
            </w:r>
            <w:r w:rsidRPr="002F7F0E">
              <w:rPr>
                <w:rFonts w:ascii="宋体" w:hAnsi="宋体" w:cs="宋体"/>
                <w:szCs w:val="21"/>
              </w:rPr>
              <w:t>13</w:t>
            </w:r>
            <w:r w:rsidRPr="002F7F0E">
              <w:rPr>
                <w:rFonts w:ascii="宋体" w:hAnsi="宋体" w:cs="宋体" w:hint="eastAsia"/>
                <w:szCs w:val="21"/>
              </w:rPr>
              <w:t>分；</w:t>
            </w:r>
          </w:p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储料、主机搅拌楼、物料储存及输送、砂石分离机等分区域全封闭且外观美观的得</w:t>
            </w:r>
            <w:r w:rsidRPr="002F7F0E">
              <w:rPr>
                <w:rFonts w:ascii="宋体" w:hAnsi="宋体" w:cs="宋体"/>
                <w:szCs w:val="21"/>
              </w:rPr>
              <w:t>9</w:t>
            </w:r>
            <w:r w:rsidRPr="002F7F0E">
              <w:rPr>
                <w:rFonts w:ascii="宋体" w:hAnsi="宋体" w:cs="宋体" w:hint="eastAsia"/>
                <w:szCs w:val="21"/>
              </w:rPr>
              <w:t>分；</w:t>
            </w:r>
          </w:p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使用简易彩钢板的每项扣</w:t>
            </w:r>
            <w:r w:rsidRPr="002F7F0E">
              <w:rPr>
                <w:rFonts w:ascii="宋体" w:hAnsi="宋体" w:cs="宋体"/>
                <w:szCs w:val="21"/>
              </w:rPr>
              <w:t>2</w:t>
            </w:r>
            <w:r w:rsidRPr="002F7F0E">
              <w:rPr>
                <w:rFonts w:ascii="宋体" w:hAnsi="宋体" w:cs="宋体" w:hint="eastAsia"/>
                <w:szCs w:val="21"/>
              </w:rPr>
              <w:t>分，扣完为止。</w:t>
            </w:r>
          </w:p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相关部位有一项没有全封闭的本项不得分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3.6废弃物处置；同时有砂石分离和浆水再利用设施且实际应用的得</w:t>
            </w:r>
            <w:r w:rsidRPr="002F7F0E">
              <w:rPr>
                <w:rFonts w:ascii="宋体" w:hAnsi="宋体" w:cs="宋体"/>
                <w:szCs w:val="21"/>
              </w:rPr>
              <w:t>1</w:t>
            </w:r>
            <w:r w:rsidRPr="002F7F0E">
              <w:rPr>
                <w:rFonts w:ascii="宋体" w:hAnsi="宋体" w:cs="宋体" w:hint="eastAsia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3.7常温季节车辆是否清洗后出厂；随机抽取常温季节施工期间三个月中的非连续的</w:t>
            </w:r>
            <w:r w:rsidRPr="002F7F0E">
              <w:rPr>
                <w:rFonts w:ascii="宋体" w:hAnsi="宋体" w:cs="宋体"/>
                <w:szCs w:val="21"/>
              </w:rPr>
              <w:t>10</w:t>
            </w:r>
            <w:r w:rsidRPr="002F7F0E">
              <w:rPr>
                <w:rFonts w:ascii="宋体" w:hAnsi="宋体" w:cs="宋体" w:hint="eastAsia"/>
                <w:szCs w:val="21"/>
              </w:rPr>
              <w:t>天视频监控，都有清洗的得</w:t>
            </w:r>
            <w:r w:rsidRPr="002F7F0E">
              <w:rPr>
                <w:rFonts w:ascii="宋体" w:hAnsi="宋体" w:cs="宋体"/>
                <w:szCs w:val="21"/>
              </w:rPr>
              <w:t>2</w:t>
            </w:r>
            <w:r w:rsidRPr="002F7F0E">
              <w:rPr>
                <w:rFonts w:ascii="宋体" w:hAnsi="宋体" w:cs="宋体" w:hint="eastAsia"/>
                <w:szCs w:val="21"/>
              </w:rPr>
              <w:t>分；有一次没有清洗出厂的车辆不得分。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3.8可再生能源使用；有两项及以上使用可再生能源的得</w:t>
            </w:r>
            <w:r w:rsidRPr="002F7F0E">
              <w:rPr>
                <w:rFonts w:ascii="宋体" w:hAnsi="宋体" w:cs="宋体"/>
                <w:szCs w:val="21"/>
              </w:rPr>
              <w:t>1</w:t>
            </w:r>
            <w:r w:rsidRPr="002F7F0E">
              <w:rPr>
                <w:rFonts w:ascii="宋体" w:hAnsi="宋体" w:cs="宋体" w:hint="eastAsia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3.9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厂址符合规划及土地使用性质；搅拌站有规划用地手续得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分；非农非林用地且有土地租赁合同得</w:t>
            </w:r>
            <w:r w:rsidRPr="002F7F0E">
              <w:rPr>
                <w:rFonts w:ascii="宋体" w:hAnsi="宋体"/>
                <w:kern w:val="0"/>
                <w:szCs w:val="21"/>
              </w:rPr>
              <w:t>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分；农林用地不得分。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3.10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避开环境敏感区，远离居民集中区；避开环境敏感区、远离居民区得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分；临近环境敏感区或居民区不得分。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3.11厂区绿化率；绿化大于</w:t>
            </w:r>
            <w:r w:rsidRPr="002F7F0E">
              <w:rPr>
                <w:rFonts w:ascii="宋体" w:hAnsi="宋体"/>
                <w:kern w:val="0"/>
                <w:szCs w:val="21"/>
              </w:rPr>
              <w:t>10%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分；小于</w:t>
            </w:r>
            <w:r w:rsidRPr="002F7F0E">
              <w:rPr>
                <w:rFonts w:ascii="宋体" w:hAnsi="宋体"/>
                <w:kern w:val="0"/>
                <w:szCs w:val="21"/>
              </w:rPr>
              <w:t>10%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得</w:t>
            </w:r>
            <w:r w:rsidRPr="002F7F0E">
              <w:rPr>
                <w:rFonts w:ascii="宋体" w:hAnsi="宋体"/>
                <w:kern w:val="0"/>
                <w:szCs w:val="21"/>
              </w:rPr>
              <w:t>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3.12清扫设备；自备大型清扫机械且有清扫记录的得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分；使用中小型设备且有清扫记录的得</w:t>
            </w:r>
            <w:r w:rsidRPr="002F7F0E">
              <w:rPr>
                <w:rFonts w:ascii="宋体" w:hAnsi="宋体"/>
                <w:kern w:val="0"/>
                <w:szCs w:val="21"/>
              </w:rPr>
              <w:t>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3.13车辆清洗设备；洗轮机位置合理，清洗效果好得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分；长度大于车长，自动延时大于</w:t>
            </w:r>
            <w:r w:rsidRPr="002F7F0E">
              <w:rPr>
                <w:rFonts w:ascii="宋体" w:hAnsi="宋体"/>
                <w:kern w:val="0"/>
                <w:szCs w:val="21"/>
              </w:rPr>
              <w:t>7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秒且水资源循环利用完全给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contextualSpacing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3.14硬化地面；地面无大裂缝，且有完整的水收集系统得</w:t>
            </w:r>
            <w:r w:rsidRPr="002F7F0E">
              <w:rPr>
                <w:rFonts w:ascii="宋体" w:hAnsi="宋体"/>
                <w:kern w:val="0"/>
                <w:szCs w:val="21"/>
              </w:rPr>
              <w:t>2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分。缺少一项扣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分，扣完为止。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3.15水回收系统；生产可用水全部利用，生产非可用水实现循环使用的设施齐全，区域干净卫生，无废水排出得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3.16门前三包管理；符合要求得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3.17尾矿及建筑垃圾再生骨料；使用矿山废石、尾矿作为骨料的得</w:t>
            </w:r>
            <w:r w:rsidRPr="002F7F0E">
              <w:rPr>
                <w:rFonts w:ascii="宋体" w:hAnsi="宋体"/>
                <w:kern w:val="0"/>
                <w:szCs w:val="21"/>
              </w:rPr>
              <w:t>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分；使用再生骨料的得</w:t>
            </w:r>
            <w:r w:rsidRPr="002F7F0E">
              <w:rPr>
                <w:rFonts w:ascii="宋体" w:hAnsi="宋体"/>
                <w:kern w:val="0"/>
                <w:szCs w:val="21"/>
              </w:rPr>
              <w:t>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3.18水泥；使用经清洁生产认证的企业产品得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lastRenderedPageBreak/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lastRenderedPageBreak/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3.19砂、石；使用本市认定的绿色基地生产骨料的得</w:t>
            </w:r>
            <w:r w:rsidRPr="002F7F0E">
              <w:rPr>
                <w:rFonts w:ascii="宋体" w:hAnsi="宋体"/>
                <w:kern w:val="0"/>
                <w:szCs w:val="21"/>
              </w:rPr>
              <w:t>4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3.20外加剂；符合要求得</w:t>
            </w:r>
            <w:r w:rsidRPr="002F7F0E">
              <w:rPr>
                <w:rFonts w:ascii="宋体" w:hAnsi="宋体"/>
                <w:kern w:val="0"/>
                <w:szCs w:val="21"/>
              </w:rPr>
              <w:t>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分，生产系统中外加剂按功能配置和计量的得</w:t>
            </w:r>
            <w:r w:rsidRPr="002F7F0E">
              <w:rPr>
                <w:rFonts w:ascii="宋体" w:hAnsi="宋体"/>
                <w:kern w:val="0"/>
                <w:szCs w:val="21"/>
              </w:rPr>
              <w:t>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3.21视频监控系统；磅房、粉料吹灰口、粉料仓顶、收尘器、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搅拌楼计量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层、混凝土装料区、运输车清洗区、废弃混凝土处理等重点污染部位均有视频监控得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分；缺少一项扣</w:t>
            </w:r>
            <w:r w:rsidRPr="002F7F0E">
              <w:rPr>
                <w:rFonts w:ascii="宋体" w:hAnsi="宋体"/>
                <w:kern w:val="0"/>
                <w:szCs w:val="21"/>
              </w:rPr>
              <w:t>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分，扣完为止。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3.22粉料筒仓除尘；除尘设施在筒仓顶部且设有人员走梯或在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下部且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有反吹功能的得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分；除尘设施不能使用不得分。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3.23粉料筒仓；除吹灰管及除尘器出口外，没有出口且设有安全阀的得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3.24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料位控制系统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；筒仓处吹灰口处有筒仓高位报警得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料位指示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和报警与磅房或调度联动得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分。不符合不得分。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contextualSpacing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3.25骨料储存；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仓式储料方式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总分</w:t>
            </w:r>
            <w:r w:rsidRPr="002F7F0E">
              <w:rPr>
                <w:rFonts w:ascii="宋体" w:hAnsi="宋体"/>
                <w:kern w:val="0"/>
                <w:szCs w:val="21"/>
              </w:rPr>
              <w:t>6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分：使用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高位料仓的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得</w:t>
            </w:r>
            <w:r w:rsidRPr="002F7F0E">
              <w:rPr>
                <w:rFonts w:ascii="宋体" w:hAnsi="宋体"/>
                <w:kern w:val="0"/>
                <w:szCs w:val="21"/>
              </w:rPr>
              <w:t>4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高位料仓上料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系统封闭且有收尘或降尘装置得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分；上料区域干净整洁的得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  <w:p w:rsidR="003D1C7A" w:rsidRPr="002F7F0E" w:rsidRDefault="003D1C7A" w:rsidP="000F298E">
            <w:pPr>
              <w:widowControl/>
              <w:spacing w:line="320" w:lineRule="exact"/>
              <w:contextualSpacing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棚式储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料方式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总分</w:t>
            </w:r>
            <w:r w:rsidRPr="002F7F0E">
              <w:rPr>
                <w:rFonts w:ascii="宋体" w:hAnsi="宋体"/>
                <w:kern w:val="0"/>
                <w:szCs w:val="21"/>
              </w:rPr>
              <w:t>6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分：封闭严密，料棚高度不小于</w:t>
            </w:r>
            <w:r w:rsidRPr="002F7F0E">
              <w:rPr>
                <w:rFonts w:ascii="宋体" w:hAnsi="宋体"/>
                <w:kern w:val="0"/>
                <w:szCs w:val="21"/>
              </w:rPr>
              <w:t>10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米得</w:t>
            </w:r>
            <w:r w:rsidRPr="002F7F0E">
              <w:rPr>
                <w:rFonts w:ascii="宋体" w:hAnsi="宋体"/>
                <w:kern w:val="0"/>
                <w:szCs w:val="21"/>
              </w:rPr>
              <w:t>2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分；料棚有全覆盖降尘设施且常温季节完好使用，得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lastRenderedPageBreak/>
              <w:t>分；配料仓有降尘设施且自动运行得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分；料棚内有排水系统且整洁得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分；料棚门电动且常闭的得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分；单项不符合不得分；超过两项（不含）的本项不得分。</w:t>
            </w:r>
          </w:p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配料使用燃油装载机时无防尘换气孔的扣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分。厂区内有露天堆料的本项不给分。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lastRenderedPageBreak/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3.26粉料上料设备；粉料上料使用低噪音电动螺杆式空压机，有完整的工艺系统和控制系统，硬管连接、储气罐且在封闭隔音的空间内得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分，吹灰口处有压力表显示的得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分。采用锁扣密闭联结方式的得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</w:t>
            </w:r>
          </w:p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3.27砂石输送皮带廊；整体硬质材料封闭且皮带机卸料口处有收尘设施的得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3.28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砂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含水测定；自动测定且与工控对接得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3.29液体材料储存输送系统；外加剂储存地面干燥无遗漏，无特殊气味，管道密闭完好得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3.30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搅拌楼主机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除尘设施；有除尘设备且具有反吹功能得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3.31操作室噪音；操作室在搅拌楼，生产期间噪音低于标准的得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  <w:p w:rsidR="003D1C7A" w:rsidRPr="002F7F0E" w:rsidRDefault="003D1C7A" w:rsidP="000F298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操作室不在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搅拌楼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3.32混凝土成品卸料区清洁系统；搅拌机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卸灰口设置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与搅拌机容量相适应的储灰斗，且储灰斗卸料口有调节和封闭闸门的得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分；卸料区域设置清洗和废水收集设施且地面清洁的得</w:t>
            </w:r>
            <w:r w:rsidRPr="002F7F0E">
              <w:rPr>
                <w:rFonts w:ascii="宋体" w:hAnsi="宋体"/>
                <w:kern w:val="0"/>
                <w:szCs w:val="21"/>
              </w:rPr>
              <w:t>2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3.33废弃物处理系统废弃物处理系统；有砂石分离机、沉淀池、灰浆搅拌处理系统且运行完好、周边环境整洁的得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分；固体垃圾全封闭适合机械作业且环境整洁的得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contextualSpacing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3.34废水及其他固废；废水及固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废全部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利用得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分；部分利用得</w:t>
            </w:r>
            <w:r w:rsidRPr="002F7F0E">
              <w:rPr>
                <w:rFonts w:ascii="宋体" w:hAnsi="宋体"/>
                <w:kern w:val="0"/>
                <w:szCs w:val="21"/>
              </w:rPr>
              <w:t>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3.35管理文件；生产管理制度、岗位职责、控制程序、检查制度、组织机构、奖惩制度、培训制度、应急预案等完善齐全。少一项扣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分，扣完为止。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3.36综合控制室；有中控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室实现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远程调度，生产操作，环保视频显示，报警系统的得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分。</w:t>
            </w:r>
          </w:p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仅有远程生产操作给</w:t>
            </w:r>
            <w:r w:rsidRPr="002F7F0E">
              <w:rPr>
                <w:rFonts w:ascii="宋体" w:hAnsi="宋体"/>
                <w:kern w:val="0"/>
                <w:szCs w:val="21"/>
              </w:rPr>
              <w:t>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分；仅有远程视频监控室的得</w:t>
            </w:r>
            <w:r w:rsidRPr="002F7F0E">
              <w:rPr>
                <w:rFonts w:ascii="宋体" w:hAnsi="宋体"/>
                <w:kern w:val="0"/>
                <w:szCs w:val="21"/>
              </w:rPr>
              <w:t xml:space="preserve"> 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3.37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剩退灰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控制；</w:t>
            </w:r>
            <w:proofErr w:type="gramStart"/>
            <w:r w:rsidRPr="002F7F0E">
              <w:rPr>
                <w:rFonts w:ascii="宋体" w:hAnsi="宋体" w:hint="eastAsia"/>
                <w:kern w:val="0"/>
                <w:szCs w:val="21"/>
              </w:rPr>
              <w:t>有剩退灰处理</w:t>
            </w:r>
            <w:proofErr w:type="gramEnd"/>
            <w:r w:rsidRPr="002F7F0E">
              <w:rPr>
                <w:rFonts w:ascii="宋体" w:hAnsi="宋体" w:hint="eastAsia"/>
                <w:kern w:val="0"/>
                <w:szCs w:val="21"/>
              </w:rPr>
              <w:t>措施且有效运行的得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3.38主要设备运行管理；主要设备有运行检查和维修保养记录，且检查频率符合本规程规定和管理制度要求，其中收尘器滤芯及粉料仓顶安全阀应每月检查一次，符合得</w:t>
            </w:r>
            <w:r w:rsidRPr="002F7F0E">
              <w:rPr>
                <w:rFonts w:ascii="宋体" w:hAnsi="宋体"/>
                <w:kern w:val="0"/>
                <w:szCs w:val="21"/>
              </w:rPr>
              <w:t>2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分；一项不符合不得分。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3.39袋装粉料；未使用袋装粉料得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3.40应急预案；文件齐全得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3.41原材料车辆；车辆的手续齐全且在合格有效期内得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3.42砂石水泥等原材料运输；采用“公转铁”集装箱联运的运输方式且总运量符合主管部门要求的，得</w:t>
            </w:r>
            <w:r w:rsidRPr="002F7F0E">
              <w:rPr>
                <w:rFonts w:ascii="宋体" w:hAnsi="宋体"/>
                <w:kern w:val="0"/>
                <w:szCs w:val="21"/>
              </w:rPr>
              <w:t>13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分；达不到的按“公转铁”比例扣分，扣完为止。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3.43外部车辆管理制度；有对外部运输车辆超载、苫盖、密闭、遗撒等方面的管理制度得</w:t>
            </w:r>
            <w:r w:rsidRPr="002F7F0E">
              <w:rPr>
                <w:rFonts w:ascii="宋体" w:hAnsi="宋体"/>
                <w:kern w:val="0"/>
                <w:szCs w:val="21"/>
              </w:rPr>
              <w:t>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分，签有管理协议或合同的得</w:t>
            </w:r>
            <w:r w:rsidRPr="002F7F0E">
              <w:rPr>
                <w:rFonts w:ascii="宋体" w:hAnsi="宋体"/>
                <w:kern w:val="0"/>
                <w:szCs w:val="21"/>
              </w:rPr>
              <w:t>0.5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分。不符合不得分。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contextualSpacing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3.44流散物体采用全封闭车辆运输；北京市搅拌站污染物在线监控平台上无不良记录反馈，符合得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3.45混凝土运输车、泵车及其他生产车辆的尾气排放；符合北京市现行标准且在合格有效期内得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3.46混凝土运输车；有防遗撒装置得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分；正反转监控及报警装置得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分；车辆清洁得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3.47厂区污染物排放；厂区污水不得外排，料棚换气处、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lastRenderedPageBreak/>
              <w:t>除尘器排风口的粉尘浓度符合北京市有关排放要求，污染物排放点平面图标注完整清楚得</w:t>
            </w:r>
            <w:r w:rsidRPr="002F7F0E">
              <w:rPr>
                <w:rFonts w:ascii="宋体" w:hAnsi="宋体"/>
                <w:kern w:val="0"/>
                <w:szCs w:val="21"/>
              </w:rPr>
              <w:t>2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lastRenderedPageBreak/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lastRenderedPageBreak/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lastRenderedPageBreak/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lastRenderedPageBreak/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3.48粉尘、厂界噪声、厂区卫生监测；有记录且符合监测频率每项得</w:t>
            </w:r>
            <w:r w:rsidRPr="002F7F0E">
              <w:rPr>
                <w:rFonts w:ascii="宋体" w:hAnsi="宋体"/>
                <w:kern w:val="0"/>
                <w:szCs w:val="21"/>
              </w:rPr>
              <w:t>2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分；无噪声检测仪或不在有效检定期的扣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3.49固体废弃物处理；委托有资质单位处理的得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3.50企业应配备大气污染物排放自动监控设备并纳入统一监控系统，自动监控设备应保持稳定运行；设备完好，无不良记录，符合得</w:t>
            </w:r>
            <w:r w:rsidRPr="002F7F0E">
              <w:rPr>
                <w:rFonts w:ascii="宋体" w:hAnsi="宋体"/>
                <w:kern w:val="0"/>
                <w:szCs w:val="21"/>
              </w:rPr>
              <w:t>1</w:t>
            </w:r>
            <w:r w:rsidRPr="002F7F0E">
              <w:rPr>
                <w:rFonts w:ascii="宋体" w:hAnsi="宋体" w:hint="eastAsia"/>
                <w:kern w:val="0"/>
                <w:szCs w:val="21"/>
              </w:rPr>
              <w:t>分；不符合不得分。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contextualSpacing/>
              <w:jc w:val="left"/>
              <w:rPr>
                <w:rFonts w:ascii="宋体" w:hAnsi="宋体"/>
                <w:kern w:val="0"/>
                <w:szCs w:val="21"/>
              </w:rPr>
            </w:pPr>
            <w:r w:rsidRPr="002F7F0E">
              <w:rPr>
                <w:rFonts w:ascii="宋体" w:hAnsi="宋体" w:hint="eastAsia"/>
                <w:kern w:val="0"/>
                <w:szCs w:val="21"/>
              </w:rPr>
              <w:t>3.51二氧化碳排放；企业有各测算主体生产系统年度排放报告得1分，不符合不得分。</w:t>
            </w: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得分：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失分原因：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2F7F0E" w:rsidRPr="002F7F0E" w:rsidTr="003D1C7A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3D1C7A" w:rsidRPr="002F7F0E" w:rsidRDefault="003D1C7A" w:rsidP="000F298E">
            <w:pPr>
              <w:widowControl/>
              <w:spacing w:line="320" w:lineRule="exact"/>
              <w:contextualSpacing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3D1C7A" w:rsidRPr="002F7F0E" w:rsidRDefault="003D1C7A" w:rsidP="000F2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922" w:type="dxa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 w:rsidRPr="002F7F0E">
              <w:rPr>
                <w:rFonts w:ascii="宋体" w:hAnsi="宋体" w:hint="eastAsia"/>
                <w:szCs w:val="21"/>
              </w:rPr>
              <w:t>最终得分：</w:t>
            </w:r>
            <w:r w:rsidRPr="002F7F0E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</w:p>
        </w:tc>
      </w:tr>
      <w:tr w:rsidR="002F7F0E" w:rsidRPr="002F7F0E" w:rsidTr="003D1C7A">
        <w:trPr>
          <w:trHeight w:val="2140"/>
          <w:jc w:val="center"/>
        </w:trPr>
        <w:tc>
          <w:tcPr>
            <w:tcW w:w="1855" w:type="dxa"/>
            <w:vAlign w:val="center"/>
          </w:tcPr>
          <w:p w:rsidR="003D1C7A" w:rsidRPr="002F7F0E" w:rsidRDefault="003D1C7A" w:rsidP="000F298E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检查结论</w:t>
            </w:r>
          </w:p>
        </w:tc>
        <w:tc>
          <w:tcPr>
            <w:tcW w:w="12887" w:type="dxa"/>
            <w:gridSpan w:val="8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□合格□不合格（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检查人意见：                                                                                  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 w:cs="宋体"/>
                <w:szCs w:val="21"/>
                <w:u w:val="single"/>
              </w:rPr>
            </w:pP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                                                             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 w:cs="宋体"/>
                <w:szCs w:val="21"/>
                <w:u w:val="single"/>
              </w:rPr>
            </w:pP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 w:cs="宋体"/>
                <w:szCs w:val="21"/>
                <w:u w:val="single"/>
              </w:rPr>
            </w:pP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                                                              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 w:cs="宋体"/>
                <w:szCs w:val="21"/>
                <w:u w:val="single"/>
              </w:rPr>
            </w:pP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3D1C7A" w:rsidRPr="002F7F0E" w:rsidRDefault="003D1C7A" w:rsidP="000F298E">
            <w:pPr>
              <w:spacing w:line="320" w:lineRule="exact"/>
              <w:rPr>
                <w:rFonts w:ascii="宋体" w:hAnsi="宋体" w:cs="宋体"/>
                <w:szCs w:val="21"/>
                <w:u w:val="single"/>
              </w:rPr>
            </w:pP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                                                                 </w:t>
            </w:r>
            <w:r w:rsidRPr="002F7F0E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2F7F0E" w:rsidRPr="002F7F0E" w:rsidTr="003D1C7A">
        <w:trPr>
          <w:trHeight w:val="575"/>
          <w:jc w:val="center"/>
        </w:trPr>
        <w:tc>
          <w:tcPr>
            <w:tcW w:w="1855" w:type="dxa"/>
            <w:vMerge w:val="restart"/>
            <w:vAlign w:val="center"/>
          </w:tcPr>
          <w:p w:rsidR="003D1C7A" w:rsidRPr="002F7F0E" w:rsidRDefault="003D1C7A" w:rsidP="000F298E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检查人</w:t>
            </w:r>
          </w:p>
        </w:tc>
        <w:tc>
          <w:tcPr>
            <w:tcW w:w="3830" w:type="dxa"/>
            <w:gridSpan w:val="2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1：（姓  名）（执法证号）</w:t>
            </w:r>
          </w:p>
        </w:tc>
        <w:tc>
          <w:tcPr>
            <w:tcW w:w="4220" w:type="dxa"/>
            <w:gridSpan w:val="4"/>
            <w:vMerge w:val="restart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记录人：</w:t>
            </w:r>
          </w:p>
        </w:tc>
        <w:tc>
          <w:tcPr>
            <w:tcW w:w="4837" w:type="dxa"/>
            <w:gridSpan w:val="2"/>
            <w:vMerge w:val="restart"/>
            <w:vAlign w:val="center"/>
          </w:tcPr>
          <w:p w:rsidR="003D1C7A" w:rsidRPr="002F7F0E" w:rsidRDefault="003D1C7A" w:rsidP="000F298E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被检查人：</w:t>
            </w:r>
          </w:p>
        </w:tc>
      </w:tr>
      <w:tr w:rsidR="002F7F0E" w:rsidRPr="002F7F0E" w:rsidTr="003D1C7A">
        <w:trPr>
          <w:trHeight w:val="596"/>
          <w:jc w:val="center"/>
        </w:trPr>
        <w:tc>
          <w:tcPr>
            <w:tcW w:w="1855" w:type="dxa"/>
            <w:vMerge/>
            <w:vAlign w:val="center"/>
          </w:tcPr>
          <w:p w:rsidR="003D1C7A" w:rsidRPr="002F7F0E" w:rsidRDefault="003D1C7A" w:rsidP="000F298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30" w:type="dxa"/>
            <w:gridSpan w:val="2"/>
            <w:vAlign w:val="center"/>
          </w:tcPr>
          <w:p w:rsidR="003D1C7A" w:rsidRPr="002F7F0E" w:rsidRDefault="003D1C7A" w:rsidP="000F298E">
            <w:pPr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2：（姓  名）（执法证号）</w:t>
            </w:r>
          </w:p>
        </w:tc>
        <w:tc>
          <w:tcPr>
            <w:tcW w:w="4220" w:type="dxa"/>
            <w:gridSpan w:val="4"/>
            <w:vMerge/>
            <w:vAlign w:val="center"/>
          </w:tcPr>
          <w:p w:rsidR="003D1C7A" w:rsidRPr="002F7F0E" w:rsidRDefault="003D1C7A" w:rsidP="000F298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37" w:type="dxa"/>
            <w:gridSpan w:val="2"/>
            <w:vMerge/>
            <w:vAlign w:val="center"/>
          </w:tcPr>
          <w:p w:rsidR="003D1C7A" w:rsidRPr="002F7F0E" w:rsidRDefault="003D1C7A" w:rsidP="000F298E">
            <w:pPr>
              <w:rPr>
                <w:rFonts w:ascii="宋体" w:hAnsi="宋体" w:cs="宋体"/>
                <w:szCs w:val="21"/>
              </w:rPr>
            </w:pPr>
          </w:p>
        </w:tc>
      </w:tr>
      <w:tr w:rsidR="002F7F0E" w:rsidRPr="002F7F0E" w:rsidTr="003D1C7A">
        <w:trPr>
          <w:trHeight w:val="596"/>
          <w:jc w:val="center"/>
        </w:trPr>
        <w:tc>
          <w:tcPr>
            <w:tcW w:w="1855" w:type="dxa"/>
            <w:vAlign w:val="center"/>
          </w:tcPr>
          <w:p w:rsidR="003D1C7A" w:rsidRPr="002F7F0E" w:rsidRDefault="003D1C7A" w:rsidP="000F298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lastRenderedPageBreak/>
              <w:t>备  注</w:t>
            </w:r>
          </w:p>
        </w:tc>
        <w:tc>
          <w:tcPr>
            <w:tcW w:w="12887" w:type="dxa"/>
            <w:gridSpan w:val="8"/>
            <w:vAlign w:val="center"/>
          </w:tcPr>
          <w:p w:rsidR="003D1C7A" w:rsidRPr="002F7F0E" w:rsidRDefault="003D1C7A" w:rsidP="000F298E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3D1C7A" w:rsidRPr="002F7F0E" w:rsidRDefault="003D1C7A" w:rsidP="003D1C7A">
      <w:pPr>
        <w:spacing w:line="320" w:lineRule="exact"/>
        <w:rPr>
          <w:rFonts w:ascii="宋体" w:hAnsi="宋体" w:cs="宋体"/>
          <w:szCs w:val="21"/>
        </w:rPr>
      </w:pPr>
      <w:r w:rsidRPr="002F7F0E">
        <w:rPr>
          <w:rFonts w:ascii="宋体" w:hAnsi="宋体" w:cs="宋体" w:hint="eastAsia"/>
          <w:szCs w:val="21"/>
        </w:rPr>
        <w:t>注：1.采取调阅案件卷宗方法检查时，应当根据被检查对象办案量抽取检查样本：办案量不足3件的全部抽取，3—10件的抽取3本，10—50件的抽取5本，50件以上的抽取10本；</w:t>
      </w:r>
    </w:p>
    <w:p w:rsidR="003D1C7A" w:rsidRPr="002F7F0E" w:rsidRDefault="003D1C7A" w:rsidP="003D1C7A">
      <w:pPr>
        <w:spacing w:line="320" w:lineRule="exact"/>
        <w:ind w:firstLineChars="200" w:firstLine="420"/>
      </w:pPr>
      <w:r w:rsidRPr="002F7F0E">
        <w:rPr>
          <w:rFonts w:hint="eastAsia"/>
        </w:rPr>
        <w:t>2.</w:t>
      </w:r>
      <w:r w:rsidRPr="002F7F0E">
        <w:rPr>
          <w:rFonts w:hint="eastAsia"/>
        </w:rPr>
        <w:t>采取向询问方法检查时，应当按照执法文书统一规范制作询问笔录留存；</w:t>
      </w:r>
    </w:p>
    <w:p w:rsidR="003D1C7A" w:rsidRPr="002F7F0E" w:rsidRDefault="003D1C7A" w:rsidP="003D1C7A">
      <w:pPr>
        <w:spacing w:line="320" w:lineRule="exact"/>
        <w:ind w:firstLineChars="200" w:firstLine="420"/>
      </w:pPr>
      <w:r w:rsidRPr="002F7F0E">
        <w:rPr>
          <w:rFonts w:hint="eastAsia"/>
        </w:rPr>
        <w:t>3.</w:t>
      </w:r>
      <w:r w:rsidRPr="002F7F0E">
        <w:rPr>
          <w:rFonts w:hint="eastAsia"/>
        </w:rPr>
        <w:t>采取向有关单位或人员核实情况方法检查时，应当有电话录音或工作记录留存；</w:t>
      </w:r>
    </w:p>
    <w:p w:rsidR="003D1C7A" w:rsidRPr="002F7F0E" w:rsidRDefault="003D1C7A" w:rsidP="003D1C7A">
      <w:pPr>
        <w:spacing w:line="320" w:lineRule="exact"/>
        <w:ind w:firstLineChars="200" w:firstLine="420"/>
      </w:pPr>
      <w:r w:rsidRPr="002F7F0E">
        <w:rPr>
          <w:rFonts w:hint="eastAsia"/>
        </w:rPr>
        <w:t>4.</w:t>
      </w:r>
      <w:r w:rsidRPr="002F7F0E">
        <w:rPr>
          <w:rFonts w:hint="eastAsia"/>
        </w:rPr>
        <w:t>检查结果中有相应违法行为的，请填写检查内容中相应情形编号或简要描述违法行为；</w:t>
      </w:r>
    </w:p>
    <w:p w:rsidR="003D1C7A" w:rsidRPr="002F7F0E" w:rsidRDefault="003D1C7A" w:rsidP="003D1C7A">
      <w:pPr>
        <w:spacing w:line="320" w:lineRule="exact"/>
        <w:ind w:firstLineChars="200" w:firstLine="420"/>
      </w:pPr>
      <w:r w:rsidRPr="002F7F0E">
        <w:rPr>
          <w:rFonts w:hint="eastAsia"/>
        </w:rPr>
        <w:t>5.</w:t>
      </w:r>
      <w:r w:rsidRPr="002F7F0E">
        <w:rPr>
          <w:rFonts w:hint="eastAsia"/>
        </w:rPr>
        <w:t>被检查人拒绝签名的，应当在备注栏内如实记载相关情况。</w:t>
      </w:r>
    </w:p>
    <w:p w:rsidR="003D1C7A" w:rsidRPr="002F7F0E" w:rsidRDefault="003D1C7A" w:rsidP="003D1C7A">
      <w:pPr>
        <w:spacing w:line="3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FF2B1A" w:rsidRPr="002F7F0E" w:rsidRDefault="00FF2B1A" w:rsidP="007C7A4D">
      <w:pPr>
        <w:snapToGrid w:val="0"/>
        <w:spacing w:line="520" w:lineRule="exact"/>
        <w:rPr>
          <w:rFonts w:ascii="仿宋_GB2312" w:eastAsia="仿宋_GB2312" w:hAnsi="仿宋_GB2312" w:cs="仿宋_GB2312"/>
          <w:spacing w:val="-8"/>
          <w:sz w:val="28"/>
          <w:szCs w:val="28"/>
        </w:rPr>
      </w:pPr>
    </w:p>
    <w:sectPr w:rsidR="00FF2B1A" w:rsidRPr="002F7F0E" w:rsidSect="007C7A4D">
      <w:footerReference w:type="even" r:id="rId9"/>
      <w:footerReference w:type="default" r:id="rId10"/>
      <w:pgSz w:w="16838" w:h="11906" w:orient="landscape" w:code="9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24" w:rsidRDefault="004E4824" w:rsidP="00523AB1">
      <w:r>
        <w:separator/>
      </w:r>
    </w:p>
  </w:endnote>
  <w:endnote w:type="continuationSeparator" w:id="0">
    <w:p w:rsidR="004E4824" w:rsidRDefault="004E4824" w:rsidP="0052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99265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23A52" w:rsidRPr="000C4CC1" w:rsidRDefault="00823A52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7C7A4D" w:rsidRPr="007C7A4D">
          <w:rPr>
            <w:rFonts w:asciiTheme="majorEastAsia" w:eastAsiaTheme="majorEastAsia" w:hAnsiTheme="majorEastAsia"/>
            <w:noProof/>
            <w:sz w:val="28"/>
            <w:szCs w:val="28"/>
            <w:lang w:val="zh-CN" w:eastAsia="zh-CN"/>
          </w:rPr>
          <w:t>-</w:t>
        </w:r>
        <w:r w:rsidR="007C7A4D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23A52" w:rsidRDefault="00823A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15166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23A52" w:rsidRPr="000C4CC1" w:rsidRDefault="00823A52">
        <w:pPr>
          <w:pStyle w:val="a7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7C7A4D" w:rsidRPr="007C7A4D">
          <w:rPr>
            <w:rFonts w:asciiTheme="majorEastAsia" w:eastAsiaTheme="majorEastAsia" w:hAnsiTheme="majorEastAsia"/>
            <w:noProof/>
            <w:sz w:val="28"/>
            <w:szCs w:val="28"/>
            <w:lang w:val="zh-CN" w:eastAsia="zh-CN"/>
          </w:rPr>
          <w:t>-</w:t>
        </w:r>
        <w:r w:rsidR="007C7A4D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23A52" w:rsidRDefault="00823A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24" w:rsidRDefault="004E4824" w:rsidP="00523AB1">
      <w:r>
        <w:separator/>
      </w:r>
    </w:p>
  </w:footnote>
  <w:footnote w:type="continuationSeparator" w:id="0">
    <w:p w:rsidR="004E4824" w:rsidRDefault="004E4824" w:rsidP="0052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332"/>
    <w:multiLevelType w:val="multilevel"/>
    <w:tmpl w:val="41D4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65"/>
    <w:rsid w:val="000113B4"/>
    <w:rsid w:val="000237F5"/>
    <w:rsid w:val="00034528"/>
    <w:rsid w:val="00053987"/>
    <w:rsid w:val="00062592"/>
    <w:rsid w:val="000859BA"/>
    <w:rsid w:val="000C4CC1"/>
    <w:rsid w:val="000C6E7E"/>
    <w:rsid w:val="000D7C47"/>
    <w:rsid w:val="000E0BDC"/>
    <w:rsid w:val="000E4E08"/>
    <w:rsid w:val="000F07A5"/>
    <w:rsid w:val="000F298E"/>
    <w:rsid w:val="000F64BF"/>
    <w:rsid w:val="000F7EEF"/>
    <w:rsid w:val="00101776"/>
    <w:rsid w:val="0010797D"/>
    <w:rsid w:val="00114375"/>
    <w:rsid w:val="00131246"/>
    <w:rsid w:val="00162552"/>
    <w:rsid w:val="001736DA"/>
    <w:rsid w:val="001849B9"/>
    <w:rsid w:val="00187979"/>
    <w:rsid w:val="0019568E"/>
    <w:rsid w:val="00195AE8"/>
    <w:rsid w:val="001C25A6"/>
    <w:rsid w:val="001D3F69"/>
    <w:rsid w:val="001F319F"/>
    <w:rsid w:val="001F3CEA"/>
    <w:rsid w:val="00200F5D"/>
    <w:rsid w:val="002046EF"/>
    <w:rsid w:val="0021149A"/>
    <w:rsid w:val="002157A9"/>
    <w:rsid w:val="002237F9"/>
    <w:rsid w:val="0022582D"/>
    <w:rsid w:val="00260D27"/>
    <w:rsid w:val="00270FD9"/>
    <w:rsid w:val="00290D35"/>
    <w:rsid w:val="002B64D7"/>
    <w:rsid w:val="002B7CC0"/>
    <w:rsid w:val="002E0FA3"/>
    <w:rsid w:val="002E157A"/>
    <w:rsid w:val="002F7F0E"/>
    <w:rsid w:val="00312C67"/>
    <w:rsid w:val="003162FE"/>
    <w:rsid w:val="00335D33"/>
    <w:rsid w:val="00351C88"/>
    <w:rsid w:val="00352C21"/>
    <w:rsid w:val="00357127"/>
    <w:rsid w:val="00364826"/>
    <w:rsid w:val="0038464E"/>
    <w:rsid w:val="0038520C"/>
    <w:rsid w:val="003A4970"/>
    <w:rsid w:val="003C76B0"/>
    <w:rsid w:val="003D1B19"/>
    <w:rsid w:val="003D1C7A"/>
    <w:rsid w:val="003D7F02"/>
    <w:rsid w:val="003E24C5"/>
    <w:rsid w:val="003E5649"/>
    <w:rsid w:val="00407CCF"/>
    <w:rsid w:val="0042445C"/>
    <w:rsid w:val="00432243"/>
    <w:rsid w:val="004454B8"/>
    <w:rsid w:val="00453AA7"/>
    <w:rsid w:val="0047163D"/>
    <w:rsid w:val="004B2A66"/>
    <w:rsid w:val="004C33E7"/>
    <w:rsid w:val="004D4E5F"/>
    <w:rsid w:val="004E4824"/>
    <w:rsid w:val="004F3BA7"/>
    <w:rsid w:val="0050003C"/>
    <w:rsid w:val="005027A2"/>
    <w:rsid w:val="00505F52"/>
    <w:rsid w:val="00510728"/>
    <w:rsid w:val="00512022"/>
    <w:rsid w:val="00523AB1"/>
    <w:rsid w:val="00560E35"/>
    <w:rsid w:val="00561EA6"/>
    <w:rsid w:val="005826C3"/>
    <w:rsid w:val="00582DCD"/>
    <w:rsid w:val="005A1069"/>
    <w:rsid w:val="005A52B8"/>
    <w:rsid w:val="005B0F3D"/>
    <w:rsid w:val="005C4727"/>
    <w:rsid w:val="005D0C4E"/>
    <w:rsid w:val="005E438E"/>
    <w:rsid w:val="0060486E"/>
    <w:rsid w:val="00614D33"/>
    <w:rsid w:val="00614F3E"/>
    <w:rsid w:val="0062578C"/>
    <w:rsid w:val="006376DE"/>
    <w:rsid w:val="00646DB7"/>
    <w:rsid w:val="006474EA"/>
    <w:rsid w:val="00661F51"/>
    <w:rsid w:val="00667EC8"/>
    <w:rsid w:val="00676911"/>
    <w:rsid w:val="006B2A91"/>
    <w:rsid w:val="006C3A50"/>
    <w:rsid w:val="006E1952"/>
    <w:rsid w:val="006F6E57"/>
    <w:rsid w:val="00710D2F"/>
    <w:rsid w:val="0071365A"/>
    <w:rsid w:val="007535A3"/>
    <w:rsid w:val="00762E14"/>
    <w:rsid w:val="00763B92"/>
    <w:rsid w:val="00776BE3"/>
    <w:rsid w:val="00784898"/>
    <w:rsid w:val="007C7A4D"/>
    <w:rsid w:val="007D2023"/>
    <w:rsid w:val="007D6105"/>
    <w:rsid w:val="00823A52"/>
    <w:rsid w:val="00831B7F"/>
    <w:rsid w:val="008351D1"/>
    <w:rsid w:val="00872720"/>
    <w:rsid w:val="008C2672"/>
    <w:rsid w:val="008F40BD"/>
    <w:rsid w:val="00900AA3"/>
    <w:rsid w:val="00913A39"/>
    <w:rsid w:val="00924A2D"/>
    <w:rsid w:val="00926969"/>
    <w:rsid w:val="009320DD"/>
    <w:rsid w:val="00954A28"/>
    <w:rsid w:val="00980F30"/>
    <w:rsid w:val="009C19F8"/>
    <w:rsid w:val="009C6D3B"/>
    <w:rsid w:val="009D622C"/>
    <w:rsid w:val="009E433E"/>
    <w:rsid w:val="009F4820"/>
    <w:rsid w:val="009F6952"/>
    <w:rsid w:val="00A12CD9"/>
    <w:rsid w:val="00A155B1"/>
    <w:rsid w:val="00A176EE"/>
    <w:rsid w:val="00A20015"/>
    <w:rsid w:val="00A23134"/>
    <w:rsid w:val="00A35FF8"/>
    <w:rsid w:val="00A43026"/>
    <w:rsid w:val="00A5467D"/>
    <w:rsid w:val="00A6294C"/>
    <w:rsid w:val="00A7644D"/>
    <w:rsid w:val="00AA3219"/>
    <w:rsid w:val="00AA35F4"/>
    <w:rsid w:val="00AE3265"/>
    <w:rsid w:val="00AE4732"/>
    <w:rsid w:val="00AF2416"/>
    <w:rsid w:val="00AF59B6"/>
    <w:rsid w:val="00B01EAC"/>
    <w:rsid w:val="00B26863"/>
    <w:rsid w:val="00B310FD"/>
    <w:rsid w:val="00B44A2C"/>
    <w:rsid w:val="00B46D6B"/>
    <w:rsid w:val="00B554B7"/>
    <w:rsid w:val="00B7621D"/>
    <w:rsid w:val="00B839B6"/>
    <w:rsid w:val="00B968B6"/>
    <w:rsid w:val="00BD5C0A"/>
    <w:rsid w:val="00BF02E4"/>
    <w:rsid w:val="00BF047E"/>
    <w:rsid w:val="00BF23BE"/>
    <w:rsid w:val="00BF2688"/>
    <w:rsid w:val="00C00C72"/>
    <w:rsid w:val="00C271A3"/>
    <w:rsid w:val="00C64C26"/>
    <w:rsid w:val="00C732A5"/>
    <w:rsid w:val="00C84136"/>
    <w:rsid w:val="00CA3F16"/>
    <w:rsid w:val="00CB038F"/>
    <w:rsid w:val="00CB3CB0"/>
    <w:rsid w:val="00CD573E"/>
    <w:rsid w:val="00D62970"/>
    <w:rsid w:val="00D632D3"/>
    <w:rsid w:val="00D713D5"/>
    <w:rsid w:val="00D72412"/>
    <w:rsid w:val="00D776C9"/>
    <w:rsid w:val="00D82265"/>
    <w:rsid w:val="00D83A3B"/>
    <w:rsid w:val="00D86EC1"/>
    <w:rsid w:val="00D878FA"/>
    <w:rsid w:val="00D90546"/>
    <w:rsid w:val="00DA7153"/>
    <w:rsid w:val="00DB02EA"/>
    <w:rsid w:val="00DB1E8C"/>
    <w:rsid w:val="00DD11ED"/>
    <w:rsid w:val="00E0665A"/>
    <w:rsid w:val="00E07D49"/>
    <w:rsid w:val="00E7186A"/>
    <w:rsid w:val="00E73878"/>
    <w:rsid w:val="00E747E5"/>
    <w:rsid w:val="00EC2E0C"/>
    <w:rsid w:val="00ED1619"/>
    <w:rsid w:val="00ED2B73"/>
    <w:rsid w:val="00EF05EF"/>
    <w:rsid w:val="00EF51FD"/>
    <w:rsid w:val="00F0201B"/>
    <w:rsid w:val="00F2426D"/>
    <w:rsid w:val="00F452D5"/>
    <w:rsid w:val="00F65FC0"/>
    <w:rsid w:val="00F808EC"/>
    <w:rsid w:val="00F8668E"/>
    <w:rsid w:val="00F94AF1"/>
    <w:rsid w:val="00FA115D"/>
    <w:rsid w:val="00FC223F"/>
    <w:rsid w:val="00FE628B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3A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561EA6"/>
  </w:style>
  <w:style w:type="character" w:styleId="a3">
    <w:name w:val="Hyperlink"/>
    <w:uiPriority w:val="99"/>
    <w:semiHidden/>
    <w:unhideWhenUsed/>
    <w:rsid w:val="00561E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61EA6"/>
    <w:rPr>
      <w:color w:val="954F72"/>
      <w:u w:val="single"/>
    </w:rPr>
  </w:style>
  <w:style w:type="paragraph" w:styleId="a5">
    <w:name w:val="annotation text"/>
    <w:basedOn w:val="a"/>
    <w:link w:val="Char"/>
    <w:uiPriority w:val="99"/>
    <w:semiHidden/>
    <w:unhideWhenUsed/>
    <w:rsid w:val="00561EA6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5"/>
    <w:uiPriority w:val="99"/>
    <w:semiHidden/>
    <w:rsid w:val="00561EA6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561EA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0">
    <w:name w:val="页眉 Char"/>
    <w:basedOn w:val="a0"/>
    <w:link w:val="a6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a7">
    <w:name w:val="footer"/>
    <w:basedOn w:val="a"/>
    <w:link w:val="Char1"/>
    <w:uiPriority w:val="99"/>
    <w:unhideWhenUsed/>
    <w:rsid w:val="00561E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1">
    <w:name w:val="页脚 Char"/>
    <w:basedOn w:val="a0"/>
    <w:link w:val="a7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2">
    <w:name w:val="Body Text Indent 2"/>
    <w:basedOn w:val="a"/>
    <w:link w:val="2Char"/>
    <w:uiPriority w:val="99"/>
    <w:semiHidden/>
    <w:unhideWhenUsed/>
    <w:rsid w:val="00561EA6"/>
    <w:pPr>
      <w:ind w:firstLineChars="200" w:firstLine="720"/>
      <w:jc w:val="center"/>
    </w:pPr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character" w:customStyle="1" w:styleId="2Char">
    <w:name w:val="正文文本缩进 2 Char"/>
    <w:basedOn w:val="a0"/>
    <w:link w:val="2"/>
    <w:uiPriority w:val="99"/>
    <w:semiHidden/>
    <w:rsid w:val="00561EA6"/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561EA6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rsid w:val="00561EA6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61E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61EA6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uiPriority w:val="99"/>
    <w:rsid w:val="00561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1">
    <w:name w:val="WW-日期1"/>
    <w:basedOn w:val="a"/>
    <w:uiPriority w:val="99"/>
    <w:rsid w:val="00561EA6"/>
    <w:rPr>
      <w:rFonts w:ascii="Times New Roman" w:eastAsia="宋体" w:hAnsi="Times New Roman" w:cs="Times New Roman"/>
      <w:spacing w:val="20"/>
      <w:sz w:val="32"/>
      <w:szCs w:val="20"/>
    </w:rPr>
  </w:style>
  <w:style w:type="character" w:styleId="aa">
    <w:name w:val="annotation reference"/>
    <w:uiPriority w:val="99"/>
    <w:semiHidden/>
    <w:unhideWhenUsed/>
    <w:rsid w:val="00561EA6"/>
    <w:rPr>
      <w:sz w:val="21"/>
      <w:szCs w:val="21"/>
    </w:rPr>
  </w:style>
  <w:style w:type="character" w:customStyle="1" w:styleId="Char10">
    <w:name w:val="批注框文本 Char1"/>
    <w:basedOn w:val="a0"/>
    <w:uiPriority w:val="99"/>
    <w:semiHidden/>
    <w:rsid w:val="00561EA6"/>
    <w:rPr>
      <w:kern w:val="2"/>
      <w:sz w:val="18"/>
      <w:szCs w:val="18"/>
    </w:rPr>
  </w:style>
  <w:style w:type="character" w:customStyle="1" w:styleId="Char11">
    <w:name w:val="批注文字 Char1"/>
    <w:basedOn w:val="a0"/>
    <w:uiPriority w:val="99"/>
    <w:semiHidden/>
    <w:rsid w:val="00561EA6"/>
    <w:rPr>
      <w:kern w:val="2"/>
      <w:sz w:val="21"/>
      <w:szCs w:val="22"/>
    </w:rPr>
  </w:style>
  <w:style w:type="character" w:customStyle="1" w:styleId="Char12">
    <w:name w:val="批注主题 Char1"/>
    <w:basedOn w:val="Char11"/>
    <w:uiPriority w:val="99"/>
    <w:semiHidden/>
    <w:rsid w:val="00561EA6"/>
    <w:rPr>
      <w:b/>
      <w:bCs/>
      <w:kern w:val="2"/>
      <w:sz w:val="21"/>
      <w:szCs w:val="22"/>
    </w:rPr>
  </w:style>
  <w:style w:type="character" w:customStyle="1" w:styleId="normal1">
    <w:name w:val="normal1"/>
    <w:uiPriority w:val="99"/>
    <w:rsid w:val="00561EA6"/>
    <w:rPr>
      <w:rFonts w:ascii="Tahoma" w:eastAsia="宋体" w:hAnsi="Tahoma" w:cs="Tahom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ab">
    <w:name w:val="批注文字 字符"/>
    <w:uiPriority w:val="99"/>
    <w:semiHidden/>
    <w:rsid w:val="00561EA6"/>
    <w:rPr>
      <w:rFonts w:ascii="Times New Roman" w:hAnsi="Times New Roman" w:cs="Times New Roman" w:hint="default"/>
      <w:kern w:val="2"/>
      <w:sz w:val="21"/>
      <w:szCs w:val="22"/>
    </w:rPr>
  </w:style>
  <w:style w:type="character" w:customStyle="1" w:styleId="ac">
    <w:name w:val="页眉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d">
    <w:name w:val="页脚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">
    <w:name w:val="正文文本缩进 2 字符"/>
    <w:uiPriority w:val="99"/>
    <w:semiHidden/>
    <w:rsid w:val="00561EA6"/>
    <w:rPr>
      <w:rFonts w:ascii="Times New Roman" w:hAnsi="Times New Roman" w:cs="Times New Roman" w:hint="default"/>
      <w:color w:val="000000"/>
      <w:kern w:val="2"/>
      <w:sz w:val="36"/>
      <w:szCs w:val="24"/>
    </w:rPr>
  </w:style>
  <w:style w:type="character" w:customStyle="1" w:styleId="ae">
    <w:name w:val="批注主题 字符"/>
    <w:uiPriority w:val="99"/>
    <w:semiHidden/>
    <w:rsid w:val="00561EA6"/>
    <w:rPr>
      <w:rFonts w:ascii="Times New Roman" w:hAnsi="Times New Roman" w:cs="Times New Roman" w:hint="default"/>
      <w:b/>
      <w:bCs/>
      <w:kern w:val="2"/>
      <w:sz w:val="21"/>
      <w:szCs w:val="22"/>
    </w:rPr>
  </w:style>
  <w:style w:type="character" w:customStyle="1" w:styleId="af">
    <w:name w:val="批注框文本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table" w:styleId="af0">
    <w:name w:val="Table Grid"/>
    <w:basedOn w:val="a1"/>
    <w:uiPriority w:val="99"/>
    <w:rsid w:val="00561E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561EA6"/>
  </w:style>
  <w:style w:type="character" w:customStyle="1" w:styleId="1Char">
    <w:name w:val="标题 1 Char"/>
    <w:basedOn w:val="a0"/>
    <w:link w:val="1"/>
    <w:uiPriority w:val="9"/>
    <w:rsid w:val="00913A3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3A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561EA6"/>
  </w:style>
  <w:style w:type="character" w:styleId="a3">
    <w:name w:val="Hyperlink"/>
    <w:uiPriority w:val="99"/>
    <w:semiHidden/>
    <w:unhideWhenUsed/>
    <w:rsid w:val="00561E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61EA6"/>
    <w:rPr>
      <w:color w:val="954F72"/>
      <w:u w:val="single"/>
    </w:rPr>
  </w:style>
  <w:style w:type="paragraph" w:styleId="a5">
    <w:name w:val="annotation text"/>
    <w:basedOn w:val="a"/>
    <w:link w:val="Char"/>
    <w:uiPriority w:val="99"/>
    <w:semiHidden/>
    <w:unhideWhenUsed/>
    <w:rsid w:val="00561EA6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5"/>
    <w:uiPriority w:val="99"/>
    <w:semiHidden/>
    <w:rsid w:val="00561EA6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561EA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0">
    <w:name w:val="页眉 Char"/>
    <w:basedOn w:val="a0"/>
    <w:link w:val="a6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a7">
    <w:name w:val="footer"/>
    <w:basedOn w:val="a"/>
    <w:link w:val="Char1"/>
    <w:uiPriority w:val="99"/>
    <w:unhideWhenUsed/>
    <w:rsid w:val="00561E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1">
    <w:name w:val="页脚 Char"/>
    <w:basedOn w:val="a0"/>
    <w:link w:val="a7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2">
    <w:name w:val="Body Text Indent 2"/>
    <w:basedOn w:val="a"/>
    <w:link w:val="2Char"/>
    <w:uiPriority w:val="99"/>
    <w:semiHidden/>
    <w:unhideWhenUsed/>
    <w:rsid w:val="00561EA6"/>
    <w:pPr>
      <w:ind w:firstLineChars="200" w:firstLine="720"/>
      <w:jc w:val="center"/>
    </w:pPr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character" w:customStyle="1" w:styleId="2Char">
    <w:name w:val="正文文本缩进 2 Char"/>
    <w:basedOn w:val="a0"/>
    <w:link w:val="2"/>
    <w:uiPriority w:val="99"/>
    <w:semiHidden/>
    <w:rsid w:val="00561EA6"/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561EA6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rsid w:val="00561EA6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61E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61EA6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uiPriority w:val="99"/>
    <w:rsid w:val="00561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1">
    <w:name w:val="WW-日期1"/>
    <w:basedOn w:val="a"/>
    <w:uiPriority w:val="99"/>
    <w:rsid w:val="00561EA6"/>
    <w:rPr>
      <w:rFonts w:ascii="Times New Roman" w:eastAsia="宋体" w:hAnsi="Times New Roman" w:cs="Times New Roman"/>
      <w:spacing w:val="20"/>
      <w:sz w:val="32"/>
      <w:szCs w:val="20"/>
    </w:rPr>
  </w:style>
  <w:style w:type="character" w:styleId="aa">
    <w:name w:val="annotation reference"/>
    <w:uiPriority w:val="99"/>
    <w:semiHidden/>
    <w:unhideWhenUsed/>
    <w:rsid w:val="00561EA6"/>
    <w:rPr>
      <w:sz w:val="21"/>
      <w:szCs w:val="21"/>
    </w:rPr>
  </w:style>
  <w:style w:type="character" w:customStyle="1" w:styleId="Char10">
    <w:name w:val="批注框文本 Char1"/>
    <w:basedOn w:val="a0"/>
    <w:uiPriority w:val="99"/>
    <w:semiHidden/>
    <w:rsid w:val="00561EA6"/>
    <w:rPr>
      <w:kern w:val="2"/>
      <w:sz w:val="18"/>
      <w:szCs w:val="18"/>
    </w:rPr>
  </w:style>
  <w:style w:type="character" w:customStyle="1" w:styleId="Char11">
    <w:name w:val="批注文字 Char1"/>
    <w:basedOn w:val="a0"/>
    <w:uiPriority w:val="99"/>
    <w:semiHidden/>
    <w:rsid w:val="00561EA6"/>
    <w:rPr>
      <w:kern w:val="2"/>
      <w:sz w:val="21"/>
      <w:szCs w:val="22"/>
    </w:rPr>
  </w:style>
  <w:style w:type="character" w:customStyle="1" w:styleId="Char12">
    <w:name w:val="批注主题 Char1"/>
    <w:basedOn w:val="Char11"/>
    <w:uiPriority w:val="99"/>
    <w:semiHidden/>
    <w:rsid w:val="00561EA6"/>
    <w:rPr>
      <w:b/>
      <w:bCs/>
      <w:kern w:val="2"/>
      <w:sz w:val="21"/>
      <w:szCs w:val="22"/>
    </w:rPr>
  </w:style>
  <w:style w:type="character" w:customStyle="1" w:styleId="normal1">
    <w:name w:val="normal1"/>
    <w:uiPriority w:val="99"/>
    <w:rsid w:val="00561EA6"/>
    <w:rPr>
      <w:rFonts w:ascii="Tahoma" w:eastAsia="宋体" w:hAnsi="Tahoma" w:cs="Tahom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ab">
    <w:name w:val="批注文字 字符"/>
    <w:uiPriority w:val="99"/>
    <w:semiHidden/>
    <w:rsid w:val="00561EA6"/>
    <w:rPr>
      <w:rFonts w:ascii="Times New Roman" w:hAnsi="Times New Roman" w:cs="Times New Roman" w:hint="default"/>
      <w:kern w:val="2"/>
      <w:sz w:val="21"/>
      <w:szCs w:val="22"/>
    </w:rPr>
  </w:style>
  <w:style w:type="character" w:customStyle="1" w:styleId="ac">
    <w:name w:val="页眉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d">
    <w:name w:val="页脚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">
    <w:name w:val="正文文本缩进 2 字符"/>
    <w:uiPriority w:val="99"/>
    <w:semiHidden/>
    <w:rsid w:val="00561EA6"/>
    <w:rPr>
      <w:rFonts w:ascii="Times New Roman" w:hAnsi="Times New Roman" w:cs="Times New Roman" w:hint="default"/>
      <w:color w:val="000000"/>
      <w:kern w:val="2"/>
      <w:sz w:val="36"/>
      <w:szCs w:val="24"/>
    </w:rPr>
  </w:style>
  <w:style w:type="character" w:customStyle="1" w:styleId="ae">
    <w:name w:val="批注主题 字符"/>
    <w:uiPriority w:val="99"/>
    <w:semiHidden/>
    <w:rsid w:val="00561EA6"/>
    <w:rPr>
      <w:rFonts w:ascii="Times New Roman" w:hAnsi="Times New Roman" w:cs="Times New Roman" w:hint="default"/>
      <w:b/>
      <w:bCs/>
      <w:kern w:val="2"/>
      <w:sz w:val="21"/>
      <w:szCs w:val="22"/>
    </w:rPr>
  </w:style>
  <w:style w:type="character" w:customStyle="1" w:styleId="af">
    <w:name w:val="批注框文本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table" w:styleId="af0">
    <w:name w:val="Table Grid"/>
    <w:basedOn w:val="a1"/>
    <w:uiPriority w:val="99"/>
    <w:rsid w:val="00561E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561EA6"/>
  </w:style>
  <w:style w:type="character" w:customStyle="1" w:styleId="1Char">
    <w:name w:val="标题 1 Char"/>
    <w:basedOn w:val="a0"/>
    <w:link w:val="1"/>
    <w:uiPriority w:val="9"/>
    <w:rsid w:val="00913A3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F8A8B-9BAD-43E0-9EF5-CFDC38F8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1021</Words>
  <Characters>5826</Characters>
  <Application>Microsoft Office Word</Application>
  <DocSecurity>0</DocSecurity>
  <Lines>48</Lines>
  <Paragraphs>13</Paragraphs>
  <ScaleCrop>false</ScaleCrop>
  <Company>Microsoft</Company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陈慧娜</dc:creator>
  <cp:lastModifiedBy>王晟旭</cp:lastModifiedBy>
  <cp:revision>11</cp:revision>
  <cp:lastPrinted>2020-08-14T01:20:00Z</cp:lastPrinted>
  <dcterms:created xsi:type="dcterms:W3CDTF">2020-08-13T02:07:00Z</dcterms:created>
  <dcterms:modified xsi:type="dcterms:W3CDTF">2020-08-14T09:23:00Z</dcterms:modified>
</cp:coreProperties>
</file>