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2021年《北京市建设工程计价依据——预算消耗量标准》计价依据解读（二）</w:t>
      </w:r>
    </w:p>
    <w:p>
      <w:pPr>
        <w:spacing w:line="560" w:lineRule="exact"/>
        <w:jc w:val="center"/>
        <w:rPr>
          <w:rFonts w:hint="eastAsia" w:ascii="方正小标宋_GBK" w:hAnsi="方正小标宋_GBK" w:eastAsia="方正小标宋_GBK" w:cs="方正小标宋_GBK"/>
          <w:sz w:val="44"/>
          <w:szCs w:val="44"/>
          <w:lang w:val="en-US" w:eastAsia="zh-CN"/>
        </w:rPr>
      </w:pPr>
    </w:p>
    <w:p>
      <w:pPr>
        <w:keepNext w:val="0"/>
        <w:keepLines w:val="0"/>
        <w:pageBreakBefore w:val="0"/>
        <w:kinsoku/>
        <w:overflowPunct/>
        <w:topLinePunct w:val="0"/>
        <w:autoSpaceDE w:val="0"/>
        <w:autoSpaceDN w:val="0"/>
        <w:bidi w:val="0"/>
        <w:spacing w:line="560" w:lineRule="exact"/>
        <w:jc w:val="center"/>
        <w:textAlignment w:val="auto"/>
        <w:outlineLvl w:val="0"/>
        <w:rPr>
          <w:rFonts w:hint="eastAsia" w:ascii="楷体_GB2312" w:eastAsia="楷体_GB2312" w:hAnsiTheme="minorEastAsia"/>
          <w:sz w:val="32"/>
          <w:szCs w:val="32"/>
          <w:lang w:eastAsia="zh-CN"/>
        </w:rPr>
      </w:pPr>
      <w:r>
        <w:rPr>
          <w:rFonts w:hint="eastAsia" w:ascii="楷体_GB2312" w:eastAsia="楷体_GB2312" w:hAnsiTheme="minorEastAsia"/>
          <w:sz w:val="32"/>
          <w:szCs w:val="32"/>
          <w:lang w:eastAsia="zh-CN"/>
        </w:rPr>
        <w:t>第一部分</w:t>
      </w:r>
    </w:p>
    <w:p>
      <w:pPr>
        <w:keepNext w:val="0"/>
        <w:keepLines w:val="0"/>
        <w:pageBreakBefore w:val="0"/>
        <w:kinsoku/>
        <w:overflowPunct/>
        <w:topLinePunct w:val="0"/>
        <w:autoSpaceDE w:val="0"/>
        <w:autoSpaceDN w:val="0"/>
        <w:bidi w:val="0"/>
        <w:spacing w:line="560" w:lineRule="exact"/>
        <w:jc w:val="center"/>
        <w:textAlignment w:val="auto"/>
        <w:outlineLvl w:val="0"/>
        <w:rPr>
          <w:rFonts w:ascii="楷体_GB2312" w:eastAsia="楷体_GB2312" w:hAnsiTheme="minorEastAsia"/>
          <w:sz w:val="32"/>
          <w:szCs w:val="32"/>
        </w:rPr>
      </w:pPr>
      <w:r>
        <w:rPr>
          <w:rFonts w:hint="eastAsia" w:ascii="楷体_GB2312" w:eastAsia="楷体_GB2312" w:hAnsiTheme="minorEastAsia"/>
          <w:sz w:val="32"/>
          <w:szCs w:val="32"/>
        </w:rPr>
        <w:t>20</w:t>
      </w:r>
      <w:r>
        <w:rPr>
          <w:rFonts w:hint="eastAsia" w:ascii="楷体_GB2312" w:eastAsia="楷体_GB2312" w:hAnsiTheme="minorEastAsia"/>
          <w:sz w:val="32"/>
          <w:szCs w:val="32"/>
          <w:lang w:val="en-US" w:eastAsia="zh-CN"/>
        </w:rPr>
        <w:t>21</w:t>
      </w:r>
      <w:r>
        <w:rPr>
          <w:rFonts w:hint="eastAsia" w:ascii="楷体_GB2312" w:eastAsia="楷体_GB2312" w:hAnsiTheme="minorEastAsia"/>
          <w:sz w:val="32"/>
          <w:szCs w:val="32"/>
        </w:rPr>
        <w:t>年《北京市建设工程计价依据——预算</w:t>
      </w:r>
      <w:r>
        <w:rPr>
          <w:rFonts w:hint="eastAsia" w:ascii="楷体_GB2312" w:eastAsia="楷体_GB2312" w:hAnsiTheme="minorEastAsia"/>
          <w:sz w:val="32"/>
          <w:szCs w:val="32"/>
          <w:lang w:eastAsia="zh-CN"/>
        </w:rPr>
        <w:t>消耗量标准</w:t>
      </w:r>
      <w:r>
        <w:rPr>
          <w:rFonts w:hint="eastAsia" w:ascii="楷体_GB2312" w:eastAsia="楷体_GB2312" w:hAnsiTheme="minorEastAsia"/>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一、房屋建筑与装饰工程</w:t>
      </w:r>
    </w:p>
    <w:p>
      <w:pPr>
        <w:keepNext w:val="0"/>
        <w:keepLines w:val="0"/>
        <w:pageBreakBefore w:val="0"/>
        <w:numPr>
          <w:ilvl w:val="0"/>
          <w:numId w:val="0"/>
        </w:numPr>
        <w:kinsoku/>
        <w:overflowPunct/>
        <w:topLinePunct w:val="0"/>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1.执行2021年《房屋建筑与装饰工程预算消耗量标准》时，</w:t>
      </w:r>
      <w:r>
        <w:rPr>
          <w:rFonts w:hint="eastAsia" w:ascii="仿宋_GB2312" w:eastAsia="仿宋_GB2312"/>
          <w:sz w:val="32"/>
          <w:szCs w:val="32"/>
          <w:highlight w:val="none"/>
          <w:lang w:eastAsia="zh-CN"/>
        </w:rPr>
        <w:t>混凝土墙体支设模板时留下的对拉螺栓</w:t>
      </w:r>
      <w:r>
        <w:rPr>
          <w:rFonts w:hint="eastAsia" w:ascii="仿宋_GB2312" w:eastAsia="仿宋_GB2312"/>
          <w:sz w:val="32"/>
          <w:szCs w:val="32"/>
          <w:highlight w:val="none"/>
        </w:rPr>
        <w:t>孔</w:t>
      </w:r>
      <w:r>
        <w:rPr>
          <w:rFonts w:hint="eastAsia" w:ascii="仿宋_GB2312" w:eastAsia="仿宋_GB2312"/>
          <w:sz w:val="32"/>
          <w:szCs w:val="32"/>
          <w:highlight w:val="none"/>
          <w:lang w:eastAsia="zh-CN"/>
        </w:rPr>
        <w:t>洞</w:t>
      </w:r>
      <w:r>
        <w:rPr>
          <w:rFonts w:hint="eastAsia" w:ascii="仿宋_GB2312" w:eastAsia="仿宋_GB2312"/>
          <w:sz w:val="32"/>
          <w:szCs w:val="32"/>
          <w:highlight w:val="none"/>
        </w:rPr>
        <w:t>防水封堵</w:t>
      </w:r>
      <w:r>
        <w:rPr>
          <w:rFonts w:hint="eastAsia" w:ascii="仿宋_GB2312" w:eastAsia="仿宋_GB2312"/>
          <w:sz w:val="32"/>
          <w:szCs w:val="32"/>
          <w:highlight w:val="none"/>
          <w:lang w:eastAsia="zh-CN"/>
        </w:rPr>
        <w:t>是否需要另行计取？</w:t>
      </w:r>
    </w:p>
    <w:p>
      <w:pPr>
        <w:keepNext w:val="0"/>
        <w:keepLines w:val="0"/>
        <w:pageBreakBefore w:val="0"/>
        <w:numPr>
          <w:ilvl w:val="0"/>
          <w:numId w:val="0"/>
        </w:numPr>
        <w:kinsoku/>
        <w:overflowPunct/>
        <w:topLinePunct w:val="0"/>
        <w:bidi w:val="0"/>
        <w:spacing w:line="560"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答：无需另行计取，</w:t>
      </w:r>
      <w:r>
        <w:rPr>
          <w:rFonts w:hint="eastAsia" w:ascii="仿宋_GB2312" w:eastAsia="仿宋_GB2312"/>
          <w:sz w:val="32"/>
          <w:szCs w:val="32"/>
          <w:highlight w:val="none"/>
          <w:lang w:eastAsia="zh-CN"/>
        </w:rPr>
        <w:t>对拉螺栓</w:t>
      </w:r>
      <w:r>
        <w:rPr>
          <w:rFonts w:hint="eastAsia" w:ascii="仿宋_GB2312" w:eastAsia="仿宋_GB2312"/>
          <w:sz w:val="32"/>
          <w:szCs w:val="32"/>
          <w:highlight w:val="none"/>
        </w:rPr>
        <w:t>孔</w:t>
      </w:r>
      <w:r>
        <w:rPr>
          <w:rFonts w:hint="eastAsia" w:ascii="仿宋_GB2312" w:eastAsia="仿宋_GB2312"/>
          <w:sz w:val="32"/>
          <w:szCs w:val="32"/>
          <w:highlight w:val="none"/>
          <w:lang w:eastAsia="zh-CN"/>
        </w:rPr>
        <w:t>洞</w:t>
      </w:r>
      <w:r>
        <w:rPr>
          <w:rFonts w:hint="eastAsia" w:ascii="仿宋_GB2312" w:eastAsia="仿宋_GB2312"/>
          <w:sz w:val="32"/>
          <w:szCs w:val="32"/>
          <w:highlight w:val="none"/>
        </w:rPr>
        <w:t>防水封堵</w:t>
      </w:r>
      <w:r>
        <w:rPr>
          <w:rFonts w:hint="eastAsia" w:ascii="仿宋_GB2312" w:eastAsia="仿宋_GB2312"/>
          <w:sz w:val="32"/>
          <w:szCs w:val="32"/>
          <w:highlight w:val="none"/>
          <w:lang w:val="en-US" w:eastAsia="zh-CN"/>
        </w:rPr>
        <w:t>已包含在相应模板工程工作内容中。</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2021年《房屋建筑与装饰工程预算消耗量标准》</w:t>
      </w:r>
      <w:r>
        <w:rPr>
          <w:rFonts w:hint="eastAsia" w:ascii="仿宋_GB2312" w:eastAsia="仿宋_GB2312"/>
          <w:sz w:val="32"/>
          <w:szCs w:val="32"/>
          <w:highlight w:val="none"/>
        </w:rPr>
        <w:t>中“9-264 DS砂浆”，</w:t>
      </w:r>
      <w:r>
        <w:rPr>
          <w:rFonts w:hint="eastAsia" w:ascii="仿宋_GB2312" w:eastAsia="仿宋_GB2312"/>
          <w:sz w:val="32"/>
          <w:szCs w:val="32"/>
          <w:highlight w:val="none"/>
          <w:lang w:eastAsia="zh-CN"/>
        </w:rPr>
        <w:t>厚度按多少编制</w:t>
      </w:r>
      <w:r>
        <w:rPr>
          <w:rFonts w:hint="eastAsia" w:ascii="仿宋_GB2312" w:eastAsia="仿宋_GB2312"/>
          <w:sz w:val="32"/>
          <w:szCs w:val="32"/>
          <w:highlight w:val="none"/>
        </w:rPr>
        <w:t>？</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答：</w:t>
      </w:r>
      <w:r>
        <w:rPr>
          <w:rFonts w:hint="eastAsia" w:ascii="仿宋_GB2312" w:eastAsia="仿宋_GB2312"/>
          <w:sz w:val="32"/>
          <w:szCs w:val="32"/>
          <w:highlight w:val="none"/>
          <w:lang w:val="en-US" w:eastAsia="zh-CN"/>
        </w:rPr>
        <w:t>2021年《房屋建筑与装饰工程预算消耗量标准》中“9-264 DS砂浆”依据建筑构造通用图集《工程做法》（19BJ1-1）及《地下工程防水》（08BJ6-1）按20mm厚编制。</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3.2021年《房屋建筑与装饰工程预算消耗量标准》中三轴水泥搅拌桩的工程量如何计算？</w:t>
      </w:r>
    </w:p>
    <w:p>
      <w:pPr>
        <w:spacing w:line="560" w:lineRule="exact"/>
        <w:ind w:firstLine="64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答：根据2021年《房屋建筑与装饰工程预算消耗量标准》第二章地基处理与边坡支护工程工程量计算规则第三条第一款：“深层水泥搅拌桩按设计有效桩长另加设计加灌长度乘以设计桩径截面积，以体积计算；扣除三轴搅拌桩单独成桩时重叠部分体积；不扣除搅拌桩每次成桩时与群桩间的重叠部分体积”。</w:t>
      </w:r>
    </w:p>
    <w:p>
      <w:pPr>
        <w:adjustRightInd w:val="0"/>
        <w:snapToGrid w:val="0"/>
        <w:ind w:firstLine="562" w:firstLineChars="200"/>
        <w:rPr>
          <w:rFonts w:ascii="仿宋" w:hAnsi="仿宋" w:eastAsia="仿宋"/>
          <w:sz w:val="28"/>
          <w:szCs w:val="28"/>
        </w:rPr>
      </w:pPr>
      <w:r>
        <w:rPr>
          <w:rFonts w:hint="eastAsia" w:ascii="仿宋" w:hAnsi="仿宋" w:eastAsia="仿宋"/>
          <w:b/>
          <w:sz w:val="28"/>
          <w:szCs w:val="28"/>
        </w:rPr>
        <w:t>【例】</w:t>
      </w:r>
      <w:r>
        <w:rPr>
          <w:rFonts w:hint="eastAsia" w:ascii="仿宋" w:hAnsi="仿宋" w:eastAsia="仿宋"/>
          <w:sz w:val="28"/>
          <w:szCs w:val="28"/>
        </w:rPr>
        <w:t>某水泥搅拌墙（图</w:t>
      </w:r>
      <w:r>
        <w:rPr>
          <w:rFonts w:hint="eastAsia" w:ascii="仿宋" w:hAnsi="仿宋" w:eastAsia="仿宋"/>
          <w:sz w:val="28"/>
          <w:szCs w:val="28"/>
          <w:lang w:val="en-US" w:eastAsia="zh-CN"/>
        </w:rPr>
        <w:t>-</w:t>
      </w:r>
      <w:r>
        <w:rPr>
          <w:rFonts w:hint="eastAsia" w:ascii="仿宋" w:hAnsi="仿宋" w:eastAsia="仿宋"/>
          <w:sz w:val="28"/>
          <w:szCs w:val="28"/>
        </w:rPr>
        <w:t>1），采用三轴搅拌桩施工（图</w:t>
      </w:r>
      <w:r>
        <w:rPr>
          <w:rFonts w:hint="eastAsia" w:ascii="仿宋" w:hAnsi="仿宋" w:eastAsia="仿宋"/>
          <w:sz w:val="28"/>
          <w:szCs w:val="28"/>
          <w:lang w:val="en-US" w:eastAsia="zh-CN"/>
        </w:rPr>
        <w:t>-</w:t>
      </w:r>
      <w:r>
        <w:rPr>
          <w:rFonts w:hint="eastAsia" w:ascii="仿宋" w:hAnsi="仿宋" w:eastAsia="仿宋"/>
          <w:sz w:val="28"/>
          <w:szCs w:val="28"/>
        </w:rPr>
        <w:t>2），桩径为850mm，桩轴（圆心）矩为600mm，桩长10m，水泥掺量20%，计算该水泥搅拌墙工程量并执行消耗量标准。</w:t>
      </w:r>
    </w:p>
    <w:p>
      <w:pPr>
        <w:adjustRightInd w:val="0"/>
        <w:snapToGrid w:val="0"/>
        <w:ind w:left="840" w:leftChars="0" w:hanging="840" w:hangingChars="300"/>
        <w:rPr>
          <w:rFonts w:ascii="仿宋" w:hAnsi="仿宋" w:eastAsia="仿宋"/>
          <w:sz w:val="28"/>
          <w:szCs w:val="28"/>
        </w:rPr>
      </w:pPr>
      <w:r>
        <w:rPr>
          <w:rFonts w:ascii="仿宋" w:hAnsi="仿宋" w:eastAsia="仿宋"/>
          <w:sz w:val="28"/>
          <w:szCs w:val="28"/>
        </w:rPr>
        <w:drawing>
          <wp:inline distT="0" distB="0" distL="114300" distR="114300">
            <wp:extent cx="2832735" cy="1080135"/>
            <wp:effectExtent l="0" t="0" r="5715" b="5715"/>
            <wp:docPr id="11"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true"/>
                    </pic:cNvPicPr>
                  </pic:nvPicPr>
                  <pic:blipFill>
                    <a:blip r:embed="rId5"/>
                    <a:stretch>
                      <a:fillRect/>
                    </a:stretch>
                  </pic:blipFill>
                  <pic:spPr>
                    <a:xfrm>
                      <a:off x="0" y="0"/>
                      <a:ext cx="2832735" cy="1080135"/>
                    </a:xfrm>
                    <a:prstGeom prst="rect">
                      <a:avLst/>
                    </a:prstGeom>
                  </pic:spPr>
                </pic:pic>
              </a:graphicData>
            </a:graphic>
          </wp:inline>
        </w:drawing>
      </w:r>
      <w:r>
        <w:rPr>
          <w:rFonts w:ascii="仿宋" w:hAnsi="仿宋" w:eastAsia="仿宋"/>
          <w:sz w:val="28"/>
          <w:szCs w:val="28"/>
        </w:rPr>
        <w:drawing>
          <wp:inline distT="0" distB="0" distL="114300" distR="114300">
            <wp:extent cx="2333625" cy="1080135"/>
            <wp:effectExtent l="0" t="0" r="9525" b="5715"/>
            <wp:docPr id="8"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2333625" cy="1080135"/>
                    </a:xfrm>
                    <a:prstGeom prst="rect">
                      <a:avLst/>
                    </a:prstGeom>
                    <a:noFill/>
                    <a:ln>
                      <a:noFill/>
                    </a:ln>
                  </pic:spPr>
                </pic:pic>
              </a:graphicData>
            </a:graphic>
          </wp:inline>
        </w:drawing>
      </w:r>
    </w:p>
    <w:p>
      <w:pPr>
        <w:adjustRightInd w:val="0"/>
        <w:snapToGrid w:val="0"/>
        <w:ind w:left="839" w:leftChars="133" w:hanging="560" w:hangingChars="200"/>
        <w:rPr>
          <w:rFonts w:ascii="仿宋" w:hAnsi="仿宋" w:eastAsia="仿宋"/>
          <w:sz w:val="28"/>
          <w:szCs w:val="28"/>
        </w:rPr>
      </w:pPr>
      <w:r>
        <w:rPr>
          <w:rFonts w:hint="eastAsia" w:ascii="仿宋" w:hAnsi="仿宋" w:eastAsia="仿宋"/>
          <w:sz w:val="28"/>
          <w:szCs w:val="28"/>
        </w:rPr>
        <w:t xml:space="preserve">   图-1  水泥搅拌墙示意图       图-2  三轴搅拌桩示意图</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解：（1）计算三轴搅拌桩单独成桩（单幅）时成桩体积</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按照计算规则，三轴搅拌桩单独成桩时重叠部分体积应扣除。</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根据图-2可知，单独成桩截面积S为三个圆面积扣减4个重叠的弓形面积</w:t>
      </w:r>
    </w:p>
    <w:p>
      <w:pPr>
        <w:adjustRightInd w:val="0"/>
        <w:snapToGrid w:val="0"/>
        <w:ind w:firstLine="560" w:firstLineChars="200"/>
        <w:rPr>
          <w:rFonts w:ascii="仿宋" w:hAnsi="仿宋" w:eastAsia="仿宋"/>
          <w:sz w:val="28"/>
          <w:szCs w:val="28"/>
        </w:rPr>
      </w:pPr>
      <w:r>
        <w:rPr>
          <w:rFonts w:ascii="仿宋" w:hAnsi="仿宋" w:eastAsia="仿宋"/>
          <w:sz w:val="28"/>
          <w:szCs w:val="28"/>
        </w:rPr>
        <w:t>计算方式为：</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lang w:eastAsia="zh-CN"/>
        </w:rPr>
        <w:t>圆</w:t>
      </w:r>
      <w:r>
        <w:rPr>
          <w:rFonts w:ascii="仿宋" w:hAnsi="仿宋" w:eastAsia="仿宋"/>
          <w:sz w:val="28"/>
          <w:szCs w:val="28"/>
        </w:rPr>
        <w:t>面积： S1=（0.85/2）</w:t>
      </w:r>
      <w:r>
        <w:rPr>
          <w:rFonts w:ascii="仿宋" w:hAnsi="仿宋" w:eastAsia="仿宋"/>
          <w:sz w:val="28"/>
          <w:szCs w:val="28"/>
          <w:vertAlign w:val="superscript"/>
        </w:rPr>
        <w:t>2</w:t>
      </w:r>
      <w:r>
        <w:rPr>
          <w:rFonts w:ascii="仿宋" w:hAnsi="仿宋" w:eastAsia="仿宋"/>
          <w:sz w:val="28"/>
          <w:szCs w:val="28"/>
        </w:rPr>
        <w:t>×3.1416×3=1.7024</w:t>
      </w:r>
      <w:r>
        <w:rPr>
          <w:rFonts w:hint="eastAsia" w:ascii="仿宋" w:hAnsi="仿宋" w:eastAsia="仿宋"/>
          <w:sz w:val="28"/>
          <w:szCs w:val="28"/>
        </w:rPr>
        <w:t xml:space="preserve"> </w:t>
      </w:r>
      <w:r>
        <w:rPr>
          <w:rFonts w:ascii="仿宋" w:hAnsi="仿宋" w:eastAsia="仿宋"/>
          <w:sz w:val="28"/>
          <w:szCs w:val="28"/>
        </w:rPr>
        <w:t>m</w:t>
      </w:r>
      <w:r>
        <w:rPr>
          <w:rFonts w:ascii="仿宋" w:hAnsi="仿宋" w:eastAsia="仿宋"/>
          <w:sz w:val="28"/>
          <w:szCs w:val="28"/>
          <w:vertAlign w:val="superscript"/>
        </w:rPr>
        <w:t>2</w:t>
      </w:r>
    </w:p>
    <w:p>
      <w:pPr>
        <w:adjustRightInd w:val="0"/>
        <w:snapToGrid w:val="0"/>
        <w:ind w:firstLine="560" w:firstLineChars="200"/>
        <w:rPr>
          <w:rFonts w:ascii="仿宋" w:hAnsi="仿宋" w:eastAsia="仿宋"/>
          <w:sz w:val="28"/>
          <w:szCs w:val="28"/>
        </w:rPr>
      </w:pPr>
      <w:r>
        <w:rPr>
          <w:rFonts w:ascii="仿宋" w:hAnsi="仿宋" w:eastAsia="仿宋"/>
          <w:sz w:val="28"/>
          <w:szCs w:val="28"/>
        </w:rPr>
        <w:t>圆心角：θ=2×acos(0.3/0.425)=90.1983°</w:t>
      </w:r>
    </w:p>
    <w:p>
      <w:pPr>
        <w:adjustRightInd w:val="0"/>
        <w:snapToGrid w:val="0"/>
        <w:ind w:firstLine="560" w:firstLineChars="200"/>
        <w:rPr>
          <w:rFonts w:ascii="仿宋" w:hAnsi="仿宋" w:eastAsia="仿宋"/>
          <w:sz w:val="28"/>
          <w:szCs w:val="28"/>
        </w:rPr>
      </w:pPr>
      <w:r>
        <w:rPr>
          <w:rFonts w:ascii="仿宋" w:hAnsi="仿宋" w:eastAsia="仿宋"/>
          <w:sz w:val="28"/>
          <w:szCs w:val="28"/>
        </w:rPr>
        <w:t>一个扇形面积：S2=（0.85/2）</w:t>
      </w:r>
      <w:r>
        <w:rPr>
          <w:rFonts w:ascii="仿宋" w:hAnsi="仿宋" w:eastAsia="仿宋"/>
          <w:sz w:val="28"/>
          <w:szCs w:val="28"/>
          <w:vertAlign w:val="superscript"/>
        </w:rPr>
        <w:t>2</w:t>
      </w:r>
      <w:r>
        <w:rPr>
          <w:rFonts w:ascii="仿宋" w:hAnsi="仿宋" w:eastAsia="仿宋"/>
          <w:sz w:val="28"/>
          <w:szCs w:val="28"/>
        </w:rPr>
        <w:t>×3.1416×90.1983/360=0.1423 m</w:t>
      </w:r>
      <w:r>
        <w:rPr>
          <w:rFonts w:ascii="仿宋" w:hAnsi="仿宋" w:eastAsia="仿宋"/>
          <w:sz w:val="28"/>
          <w:szCs w:val="28"/>
          <w:vertAlign w:val="superscript"/>
        </w:rPr>
        <w:t>2</w:t>
      </w:r>
    </w:p>
    <w:p>
      <w:pPr>
        <w:adjustRightInd w:val="0"/>
        <w:snapToGrid w:val="0"/>
        <w:ind w:firstLine="560" w:firstLineChars="200"/>
        <w:rPr>
          <w:rFonts w:ascii="仿宋" w:hAnsi="仿宋" w:eastAsia="仿宋"/>
          <w:sz w:val="28"/>
          <w:szCs w:val="28"/>
        </w:rPr>
      </w:pPr>
      <w:r>
        <w:rPr>
          <w:rFonts w:ascii="仿宋" w:hAnsi="仿宋" w:eastAsia="仿宋"/>
          <w:sz w:val="28"/>
          <w:szCs w:val="28"/>
        </w:rPr>
        <w:t>三角形面积： S3=(0.425</w:t>
      </w:r>
      <w:r>
        <w:rPr>
          <w:rFonts w:ascii="仿宋" w:hAnsi="仿宋" w:eastAsia="仿宋"/>
          <w:sz w:val="28"/>
          <w:szCs w:val="28"/>
          <w:vertAlign w:val="superscript"/>
        </w:rPr>
        <w:t>2</w:t>
      </w:r>
      <w:r>
        <w:rPr>
          <w:rFonts w:ascii="仿宋" w:hAnsi="仿宋" w:eastAsia="仿宋"/>
          <w:sz w:val="28"/>
          <w:szCs w:val="28"/>
        </w:rPr>
        <w:t>-0.3</w:t>
      </w:r>
      <w:r>
        <w:rPr>
          <w:rFonts w:ascii="仿宋" w:hAnsi="仿宋" w:eastAsia="仿宋"/>
          <w:sz w:val="28"/>
          <w:szCs w:val="28"/>
          <w:vertAlign w:val="superscript"/>
        </w:rPr>
        <w:t>2</w:t>
      </w:r>
      <w:r>
        <w:rPr>
          <w:rFonts w:ascii="仿宋" w:hAnsi="仿宋" w:eastAsia="仿宋"/>
          <w:sz w:val="28"/>
          <w:szCs w:val="28"/>
        </w:rPr>
        <w:t>)</w:t>
      </w:r>
      <w:r>
        <w:rPr>
          <w:rFonts w:ascii="仿宋" w:hAnsi="仿宋" w:eastAsia="仿宋"/>
          <w:sz w:val="28"/>
          <w:szCs w:val="28"/>
          <w:vertAlign w:val="superscript"/>
        </w:rPr>
        <w:t>1/2</w:t>
      </w:r>
      <w:r>
        <w:rPr>
          <w:rFonts w:ascii="仿宋" w:hAnsi="仿宋" w:eastAsia="仿宋"/>
          <w:sz w:val="28"/>
          <w:szCs w:val="28"/>
        </w:rPr>
        <w:t>×2×0.3/2=0.0903</w:t>
      </w:r>
      <w:r>
        <w:rPr>
          <w:rFonts w:hint="eastAsia" w:ascii="仿宋" w:hAnsi="仿宋" w:eastAsia="仿宋"/>
          <w:sz w:val="28"/>
          <w:szCs w:val="28"/>
        </w:rPr>
        <w:t xml:space="preserve"> </w:t>
      </w:r>
      <w:r>
        <w:rPr>
          <w:rFonts w:ascii="仿宋" w:hAnsi="仿宋" w:eastAsia="仿宋"/>
          <w:sz w:val="28"/>
          <w:szCs w:val="28"/>
        </w:rPr>
        <w:t>m</w:t>
      </w:r>
      <w:r>
        <w:rPr>
          <w:rFonts w:ascii="仿宋" w:hAnsi="仿宋" w:eastAsia="仿宋"/>
          <w:sz w:val="28"/>
          <w:szCs w:val="28"/>
          <w:vertAlign w:val="superscript"/>
        </w:rPr>
        <w:t>2</w:t>
      </w:r>
    </w:p>
    <w:p>
      <w:pPr>
        <w:adjustRightInd w:val="0"/>
        <w:snapToGrid w:val="0"/>
        <w:ind w:firstLine="560" w:firstLineChars="200"/>
        <w:rPr>
          <w:rFonts w:ascii="仿宋" w:hAnsi="仿宋" w:eastAsia="仿宋"/>
          <w:sz w:val="28"/>
          <w:szCs w:val="28"/>
          <w:vertAlign w:val="superscript"/>
        </w:rPr>
      </w:pPr>
      <w:r>
        <w:rPr>
          <w:rFonts w:ascii="仿宋" w:hAnsi="仿宋" w:eastAsia="仿宋"/>
          <w:sz w:val="28"/>
          <w:szCs w:val="28"/>
        </w:rPr>
        <w:t>一个弓形面积: S4=S2-S3=0.1423-0.0903=0.052 m</w:t>
      </w:r>
      <w:r>
        <w:rPr>
          <w:rFonts w:ascii="仿宋" w:hAnsi="仿宋" w:eastAsia="仿宋"/>
          <w:sz w:val="28"/>
          <w:szCs w:val="28"/>
          <w:vertAlign w:val="superscript"/>
        </w:rPr>
        <w:t>2</w:t>
      </w:r>
    </w:p>
    <w:p>
      <w:pPr>
        <w:adjustRightInd w:val="0"/>
        <w:snapToGrid w:val="0"/>
        <w:ind w:firstLine="560" w:firstLineChars="200"/>
        <w:rPr>
          <w:rFonts w:ascii="仿宋" w:hAnsi="仿宋" w:eastAsia="仿宋"/>
          <w:sz w:val="28"/>
          <w:szCs w:val="28"/>
          <w:vertAlign w:val="superscript"/>
        </w:rPr>
      </w:pPr>
      <w:r>
        <w:rPr>
          <w:rFonts w:ascii="仿宋" w:hAnsi="仿宋" w:eastAsia="仿宋"/>
          <w:sz w:val="28"/>
          <w:szCs w:val="28"/>
        </w:rPr>
        <w:t>单独成桩截面积: S=S1-S4×4=1.7024-0.052×4=1.4944m</w:t>
      </w:r>
      <w:r>
        <w:rPr>
          <w:rFonts w:ascii="仿宋" w:hAnsi="仿宋" w:eastAsia="仿宋"/>
          <w:sz w:val="28"/>
          <w:szCs w:val="28"/>
          <w:vertAlign w:val="superscript"/>
        </w:rPr>
        <w:t>2</w:t>
      </w:r>
    </w:p>
    <w:p>
      <w:pPr>
        <w:adjustRightInd w:val="0"/>
        <w:snapToGrid w:val="0"/>
        <w:ind w:firstLine="560" w:firstLineChars="200"/>
        <w:rPr>
          <w:rFonts w:ascii="仿宋" w:hAnsi="仿宋" w:eastAsia="仿宋"/>
          <w:sz w:val="28"/>
          <w:szCs w:val="28"/>
        </w:rPr>
      </w:pPr>
      <w:r>
        <w:rPr>
          <w:rFonts w:ascii="仿宋" w:hAnsi="仿宋" w:eastAsia="仿宋"/>
          <w:sz w:val="28"/>
          <w:szCs w:val="28"/>
        </w:rPr>
        <w:t>该</w:t>
      </w:r>
      <w:r>
        <w:rPr>
          <w:rFonts w:hint="eastAsia" w:ascii="仿宋" w:hAnsi="仿宋" w:eastAsia="仿宋"/>
          <w:sz w:val="28"/>
          <w:szCs w:val="28"/>
        </w:rPr>
        <w:t>单独成桩的</w:t>
      </w:r>
      <w:r>
        <w:rPr>
          <w:rFonts w:ascii="仿宋" w:hAnsi="仿宋" w:eastAsia="仿宋"/>
          <w:sz w:val="28"/>
          <w:szCs w:val="28"/>
        </w:rPr>
        <w:t>三轴搅拌桩工程量：V</w:t>
      </w:r>
      <w:r>
        <w:rPr>
          <w:rFonts w:hint="eastAsia" w:ascii="仿宋" w:hAnsi="仿宋" w:eastAsia="仿宋"/>
          <w:sz w:val="28"/>
          <w:szCs w:val="28"/>
        </w:rPr>
        <w:t>1</w:t>
      </w:r>
      <w:r>
        <w:rPr>
          <w:rFonts w:ascii="仿宋" w:hAnsi="仿宋" w:eastAsia="仿宋"/>
          <w:sz w:val="28"/>
          <w:szCs w:val="28"/>
        </w:rPr>
        <w:t>=1.4944×10 =14.94m</w:t>
      </w:r>
      <w:r>
        <w:rPr>
          <w:rFonts w:ascii="仿宋" w:hAnsi="仿宋" w:eastAsia="仿宋"/>
          <w:sz w:val="28"/>
          <w:szCs w:val="28"/>
          <w:vertAlign w:val="superscript"/>
        </w:rPr>
        <w:t>3</w:t>
      </w:r>
      <w:r>
        <w:rPr>
          <w:rFonts w:ascii="仿宋" w:hAnsi="仿宋" w:eastAsia="仿宋"/>
          <w:sz w:val="28"/>
          <w:szCs w:val="28"/>
        </w:rPr>
        <w:t>（保留小数点2位）</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（2）计算水泥搅拌墙（搅拌桩群桩）时成桩体积</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按照计算规则，</w:t>
      </w:r>
      <w:r>
        <w:rPr>
          <w:rFonts w:ascii="仿宋" w:hAnsi="仿宋" w:eastAsia="仿宋"/>
          <w:sz w:val="28"/>
          <w:szCs w:val="28"/>
        </w:rPr>
        <w:t>不扣除搅拌桩每次成桩时与群桩间的重叠部分体积。</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根据图-1可知，</w:t>
      </w:r>
      <w:r>
        <w:rPr>
          <w:rFonts w:ascii="仿宋" w:hAnsi="仿宋" w:eastAsia="仿宋"/>
          <w:sz w:val="28"/>
          <w:szCs w:val="28"/>
        </w:rPr>
        <w:t>该水泥搅拌墙</w:t>
      </w:r>
      <w:r>
        <w:rPr>
          <w:rFonts w:hint="eastAsia" w:ascii="仿宋" w:hAnsi="仿宋" w:eastAsia="仿宋"/>
          <w:sz w:val="28"/>
          <w:szCs w:val="28"/>
        </w:rPr>
        <w:t>由8辐三轴搅拌桩组成</w:t>
      </w:r>
    </w:p>
    <w:p>
      <w:pPr>
        <w:adjustRightInd w:val="0"/>
        <w:snapToGrid w:val="0"/>
        <w:ind w:firstLine="560" w:firstLineChars="200"/>
        <w:rPr>
          <w:rFonts w:ascii="仿宋" w:hAnsi="仿宋" w:eastAsia="仿宋"/>
          <w:sz w:val="28"/>
          <w:szCs w:val="28"/>
        </w:rPr>
      </w:pPr>
      <w:r>
        <w:rPr>
          <w:rFonts w:ascii="仿宋" w:hAnsi="仿宋" w:eastAsia="仿宋"/>
          <w:sz w:val="28"/>
          <w:szCs w:val="28"/>
        </w:rPr>
        <w:t>则：该水泥搅拌墙工程量 V=V1×8=119.52m</w:t>
      </w:r>
      <w:r>
        <w:rPr>
          <w:rFonts w:ascii="仿宋" w:hAnsi="仿宋" w:eastAsia="仿宋"/>
          <w:sz w:val="28"/>
          <w:szCs w:val="28"/>
          <w:vertAlign w:val="superscript"/>
        </w:rPr>
        <w:t>3</w:t>
      </w:r>
    </w:p>
    <w:p>
      <w:pPr>
        <w:adjustRightInd w:val="0"/>
        <w:snapToGrid w:val="0"/>
        <w:ind w:firstLine="560" w:firstLineChars="200"/>
        <w:rPr>
          <w:rFonts w:hint="eastAsia" w:ascii="仿宋" w:hAnsi="仿宋" w:eastAsia="仿宋"/>
          <w:sz w:val="28"/>
          <w:szCs w:val="28"/>
        </w:rPr>
      </w:pPr>
      <w:r>
        <w:rPr>
          <w:rFonts w:hint="eastAsia" w:ascii="仿宋" w:hAnsi="仿宋" w:eastAsia="仿宋"/>
          <w:sz w:val="28"/>
          <w:szCs w:val="28"/>
        </w:rPr>
        <w:t>（3）选择消耗量标准中相应子目</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执行2-10水泥搅拌桩 三轴 水泥掺量18%子目消耗量×</w:t>
      </w:r>
      <w:r>
        <w:rPr>
          <w:rFonts w:ascii="仿宋" w:hAnsi="仿宋" w:eastAsia="仿宋"/>
          <w:sz w:val="28"/>
          <w:szCs w:val="28"/>
        </w:rPr>
        <w:t>119.52m</w:t>
      </w:r>
      <w:r>
        <w:rPr>
          <w:rFonts w:ascii="仿宋" w:hAnsi="仿宋" w:eastAsia="仿宋"/>
          <w:sz w:val="28"/>
          <w:szCs w:val="28"/>
          <w:vertAlign w:val="superscript"/>
        </w:rPr>
        <w:t>3</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执行2-13水泥掺量每增1% 子目消耗量×（20-18）×</w:t>
      </w:r>
      <w:r>
        <w:rPr>
          <w:rFonts w:ascii="仿宋" w:hAnsi="仿宋" w:eastAsia="仿宋"/>
          <w:sz w:val="28"/>
          <w:szCs w:val="28"/>
        </w:rPr>
        <w:t>119.52m</w:t>
      </w:r>
      <w:r>
        <w:rPr>
          <w:rFonts w:ascii="仿宋" w:hAnsi="仿宋" w:eastAsia="仿宋"/>
          <w:sz w:val="28"/>
          <w:szCs w:val="28"/>
          <w:vertAlign w:val="superscript"/>
        </w:rPr>
        <w:t>3</w:t>
      </w:r>
      <w:r>
        <w:rPr>
          <w:rFonts w:hint="eastAsia" w:ascii="仿宋" w:hAnsi="仿宋" w:eastAsia="仿宋"/>
          <w:sz w:val="28"/>
          <w:szCs w:val="28"/>
        </w:rPr>
        <w:t>。</w:t>
      </w:r>
    </w:p>
    <w:p>
      <w:pPr>
        <w:spacing w:line="560" w:lineRule="exact"/>
        <w:ind w:firstLine="64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4.2021年《北京市建设工程计价依据——预算消耗量标准》是否适用于整体更新改造工程？</w:t>
      </w:r>
    </w:p>
    <w:p>
      <w:pPr>
        <w:spacing w:line="560" w:lineRule="exact"/>
        <w:ind w:firstLine="640"/>
        <w:jc w:val="left"/>
        <w:rPr>
          <w:rFonts w:hint="eastAsia"/>
          <w:lang w:eastAsia="zh-CN"/>
        </w:rPr>
      </w:pPr>
      <w:r>
        <w:rPr>
          <w:rFonts w:hint="eastAsia" w:ascii="仿宋_GB2312" w:eastAsia="仿宋_GB2312"/>
          <w:sz w:val="32"/>
          <w:szCs w:val="32"/>
          <w:highlight w:val="none"/>
          <w:lang w:val="en-US" w:eastAsia="zh-CN"/>
        </w:rPr>
        <w:t>答：根据2021年《北京市建设工程计价依据——预算消耗量标准》和《北京市房屋修缮工程计价依据——预算消耗量标准》总说明中关于适用范围的规定，整体更新改造工程不适用2021年《北京市建设工程计价依据——预算消耗量标准》，执行2021年《北京市房屋修缮工程计价依据——预算消耗量标准》。</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二、通用安装工程</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Style w:val="7"/>
          <w:rFonts w:hint="eastAsia" w:ascii="仿宋_GB2312" w:hAnsi="仿宋_GB2312" w:eastAsia="仿宋_GB2312" w:cs="仿宋_GB2312"/>
          <w:sz w:val="32"/>
          <w:szCs w:val="32"/>
          <w:highlight w:val="none"/>
          <w:lang w:val="en-US" w:eastAsia="zh-CN"/>
        </w:rPr>
        <w:t>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Fonts w:hint="eastAsia" w:ascii="仿宋_GB2312" w:eastAsia="仿宋_GB2312"/>
          <w:sz w:val="32"/>
          <w:szCs w:val="32"/>
          <w:lang w:val="en-US" w:eastAsia="zh-CN"/>
        </w:rPr>
        <w:t>，接地极利用筏板基础上下两层钢筋焊接成接地网，应执行什么子目？</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答：执行第四册电气设备安装工程中“利用底板钢筋作接地极”子目。</w:t>
      </w:r>
      <w:bookmarkStart w:id="0" w:name="_GoBack"/>
      <w:bookmarkEnd w:id="0"/>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Style w:val="7"/>
          <w:rFonts w:hint="eastAsia" w:ascii="仿宋_GB2312" w:hAnsi="仿宋_GB2312" w:eastAsia="仿宋_GB2312" w:cs="仿宋_GB2312"/>
          <w:sz w:val="32"/>
          <w:szCs w:val="32"/>
          <w:highlight w:val="none"/>
          <w:lang w:val="en-US" w:eastAsia="zh-CN"/>
        </w:rPr>
        <w:t>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Fonts w:hint="eastAsia" w:ascii="仿宋_GB2312" w:eastAsia="仿宋_GB2312"/>
          <w:sz w:val="32"/>
          <w:szCs w:val="32"/>
          <w:lang w:val="en-US" w:eastAsia="zh-CN"/>
        </w:rPr>
        <w:t>，给排水、消防等管道喷标识是否含在管道安装子目中？</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答：给排水、消防等管道喷标识未包含在管道安装子目中，执行第十二册刷油 防腐蚀 绝热工程 第二章刷油工程章说明第三条：“零星刷油（包括：色环漆、喷标识、散热器补口等）执行本章相应子目，其人工乘系数2.0。”</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Style w:val="7"/>
          <w:rFonts w:hint="eastAsia" w:ascii="仿宋_GB2312" w:hAnsi="仿宋_GB2312" w:eastAsia="仿宋_GB2312" w:cs="仿宋_GB2312"/>
          <w:sz w:val="32"/>
          <w:szCs w:val="32"/>
          <w:highlight w:val="none"/>
          <w:lang w:val="en-US" w:eastAsia="zh-CN"/>
        </w:rPr>
        <w:t>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Fonts w:hint="eastAsia" w:ascii="仿宋_GB2312" w:eastAsia="仿宋_GB2312"/>
          <w:sz w:val="32"/>
          <w:szCs w:val="32"/>
          <w:lang w:val="en-US" w:eastAsia="zh-CN"/>
        </w:rPr>
        <w:t>，电缆进入配电箱除预留配电箱半周长外是否计算电缆头预留的1.5m？</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答：需要计算电缆头预留的1.5m。</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Style w:val="7"/>
          <w:rFonts w:hint="eastAsia" w:ascii="仿宋_GB2312" w:hAnsi="仿宋_GB2312" w:eastAsia="仿宋_GB2312" w:cs="仿宋_GB2312"/>
          <w:sz w:val="32"/>
          <w:szCs w:val="32"/>
          <w:highlight w:val="none"/>
          <w:lang w:val="en-US" w:eastAsia="zh-CN"/>
        </w:rPr>
        <w:t>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Fonts w:hint="eastAsia" w:ascii="仿宋_GB2312" w:eastAsia="仿宋_GB2312"/>
          <w:sz w:val="32"/>
          <w:szCs w:val="32"/>
          <w:lang w:val="en-US" w:eastAsia="zh-CN"/>
        </w:rPr>
        <w:t>，二次结构暗配管的开槽费用是否需要单独记取？</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答：需要单独计取，开槽执行第四册电气设备安装工程第十三章附属工程凿槽相关子目。</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w:t>
      </w:r>
      <w:r>
        <w:rPr>
          <w:rStyle w:val="7"/>
          <w:rFonts w:hint="eastAsia" w:ascii="仿宋_GB2312" w:hAnsi="仿宋_GB2312" w:eastAsia="仿宋_GB2312" w:cs="仿宋_GB2312"/>
          <w:sz w:val="32"/>
          <w:szCs w:val="32"/>
          <w:highlight w:val="none"/>
          <w:lang w:val="en-US" w:eastAsia="zh-CN"/>
        </w:rPr>
        <w:t>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Fonts w:hint="default" w:ascii="仿宋_GB2312" w:eastAsia="仿宋_GB2312"/>
          <w:sz w:val="32"/>
          <w:szCs w:val="32"/>
          <w:lang w:val="en-US" w:eastAsia="zh-CN"/>
        </w:rPr>
        <w:t>，弱电监控和网络用的光缆预留长度怎么计算？</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答：除设计有特殊要求和规范有明确规定外，光缆预留长度可参照第五册建筑智能化工程第二章综合布线系统工程工程量计算规则第二条：“光缆布放路由盘留，预留长度为</w:t>
      </w:r>
      <w:r>
        <w:rPr>
          <w:rStyle w:val="7"/>
          <w:rFonts w:hint="eastAsia" w:ascii="仿宋_GB2312" w:hAnsi="仿宋_GB2312" w:eastAsia="仿宋_GB2312" w:cs="仿宋_GB2312"/>
          <w:sz w:val="32"/>
          <w:szCs w:val="32"/>
          <w:highlight w:val="none"/>
          <w:lang w:val="en-US" w:eastAsia="zh-CN"/>
        </w:rPr>
        <w:t>3～5ｍ。</w:t>
      </w:r>
      <w:r>
        <w:rPr>
          <w:rFonts w:hint="eastAsia" w:ascii="仿宋_GB2312" w:eastAsia="仿宋_GB2312"/>
          <w:sz w:val="32"/>
          <w:szCs w:val="32"/>
          <w:lang w:val="en-US" w:eastAsia="zh-CN"/>
        </w:rPr>
        <w:t>光缆在电信间、设备间配线柜处预留长度应为 5～10ｍ，工作区处预留长度应为1.0～1.5ｍ。</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8.2021年《通用安装工程预算消耗量标准》中，第四册电气设备安装工程顶棚嵌入式筒灯子目是否包含吊顶开孔？</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答：顶棚嵌入式筒灯子目不包含吊顶开孔工作内容，按</w:t>
      </w:r>
      <w:r>
        <w:rPr>
          <w:rFonts w:hint="eastAsia" w:ascii="仿宋_GB2312" w:eastAsia="仿宋_GB2312"/>
          <w:sz w:val="32"/>
          <w:szCs w:val="32"/>
          <w:highlight w:val="none"/>
        </w:rPr>
        <w:t>《房屋建筑与装饰工程预算消耗量标准》</w:t>
      </w:r>
      <w:r>
        <w:rPr>
          <w:rFonts w:hint="eastAsia" w:ascii="仿宋_GB2312" w:eastAsia="仿宋_GB2312"/>
          <w:sz w:val="32"/>
          <w:szCs w:val="32"/>
          <w:highlight w:val="none"/>
          <w:lang w:eastAsia="zh-CN"/>
        </w:rPr>
        <w:t>第十三章天棚工程说明“天棚子目已综合石膏板、木板面层上开灯孔、检修孔,在金属板、玻璃、石材面板上开孔,另行计算。”执行。</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Style w:val="7"/>
          <w:rFonts w:hint="eastAsia" w:ascii="仿宋_GB2312" w:hAnsi="仿宋_GB2312" w:eastAsia="仿宋_GB2312" w:cs="仿宋_GB2312"/>
          <w:sz w:val="32"/>
          <w:szCs w:val="32"/>
          <w:highlight w:val="none"/>
          <w:lang w:val="en-US" w:eastAsia="zh-CN"/>
        </w:rPr>
        <w:t>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Fonts w:hint="eastAsia" w:ascii="仿宋_GB2312" w:eastAsia="仿宋_GB2312"/>
          <w:sz w:val="32"/>
          <w:szCs w:val="32"/>
          <w:lang w:val="en-US" w:eastAsia="zh-CN"/>
        </w:rPr>
        <w:t>，第五册建筑智能化工程光缆终端盒子目是否包含光缆与尾纤的熔接工作？</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答：光缆终端盒子目不包含光缆与尾纤的熔接工作，需另执行光纤连接 熔接法子目。</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10.2021年《通用安装工程预算消耗量标准》中，第七册通风空调工程厕所排气扇子目与第四册电气设备安装工程单相排风扇子目有何区别？</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答：第七册通风空调工程厕所排气扇子目适用于厕所安装的与风管直接相连的排气扇的安装；第四册电气设备安装工程单相排风扇子目适用于其它与室外直接相连的排风扇的安装。</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11.2021年《通用安装工程预算消耗量标准》中，采暖、给排水管道与市政的划分界线是什么，埋地管道挖填土方应如何计取？</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采暖、给排水管道以与市政管道碰头点（计量表井、阀门井、碰头井）为界，碰头点到建筑物之间的室外管道执行《通用安装工程预算消耗量标准》，其挖填土方执行《房屋建筑与装饰工程预算消耗量标准》相应子目；碰头点以外的管道及其挖填土方执行《市政工程预算消耗量标准》相应子目。</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w:t>
      </w:r>
      <w:r>
        <w:rPr>
          <w:rStyle w:val="7"/>
          <w:rFonts w:hint="eastAsia" w:ascii="仿宋_GB2312" w:hAnsi="仿宋_GB2312" w:eastAsia="仿宋_GB2312" w:cs="仿宋_GB2312"/>
          <w:sz w:val="32"/>
          <w:szCs w:val="32"/>
          <w:highlight w:val="none"/>
          <w:lang w:val="en-US" w:eastAsia="zh-CN"/>
        </w:rPr>
        <w:t>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Fonts w:hint="eastAsia" w:ascii="仿宋_GB2312" w:eastAsia="仿宋_GB2312"/>
          <w:sz w:val="32"/>
          <w:szCs w:val="32"/>
          <w:lang w:val="en-US" w:eastAsia="zh-CN"/>
        </w:rPr>
        <w:t>，第十二册刷油 防腐蚀 绝热工程通风管道保温外保护层如何计算工程量？</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答：通风管道保温外保护层工程量按实际缠绕表面积计算。</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三、其他</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13.</w:t>
      </w:r>
      <w:r>
        <w:rPr>
          <w:rStyle w:val="7"/>
          <w:rFonts w:hint="eastAsia" w:ascii="仿宋_GB2312" w:hAnsi="仿宋_GB2312" w:eastAsia="仿宋_GB2312" w:cs="仿宋_GB2312"/>
          <w:sz w:val="32"/>
          <w:szCs w:val="32"/>
          <w:highlight w:val="none"/>
          <w:lang w:val="en-US" w:eastAsia="zh-CN"/>
        </w:rPr>
        <w:t>依据2021年《北京市建设工程计价依据——预算消耗量标准》</w:t>
      </w:r>
      <w:r>
        <w:rPr>
          <w:rFonts w:hint="eastAsia" w:ascii="仿宋_GB2312" w:hAnsi="仿宋_GB2312" w:eastAsia="仿宋_GB2312" w:cs="仿宋_GB2312"/>
          <w:sz w:val="32"/>
          <w:szCs w:val="32"/>
          <w:highlight w:val="none"/>
          <w:lang w:val="en-US" w:eastAsia="zh-CN"/>
        </w:rPr>
        <w:t>确定建筑安装工程费的</w:t>
      </w:r>
      <w:r>
        <w:rPr>
          <w:rFonts w:hint="eastAsia" w:ascii="仿宋_GB2312" w:eastAsia="仿宋_GB2312"/>
          <w:sz w:val="32"/>
          <w:szCs w:val="32"/>
          <w:lang w:val="en-US" w:eastAsia="zh-CN"/>
        </w:rPr>
        <w:t>，土石方运输子目材料表中“弃土或渣土消纳”的</w:t>
      </w:r>
      <w:r>
        <w:rPr>
          <w:rFonts w:ascii="Times New Roman" w:hAnsi="Times New Roman" w:eastAsia="仿宋_GB2312"/>
          <w:color w:val="000000"/>
          <w:sz w:val="32"/>
          <w:szCs w:val="32"/>
        </w:rPr>
        <w:t>消纳数量和单价</w:t>
      </w:r>
      <w:r>
        <w:rPr>
          <w:rFonts w:hint="eastAsia" w:ascii="仿宋_GB2312" w:eastAsia="仿宋_GB2312"/>
          <w:sz w:val="32"/>
          <w:szCs w:val="32"/>
          <w:lang w:val="en-US" w:eastAsia="zh-CN"/>
        </w:rPr>
        <w:t>如何确定？</w:t>
      </w:r>
      <w:r>
        <w:rPr>
          <w:rFonts w:ascii="Times New Roman" w:hAnsi="Times New Roman" w:eastAsia="仿宋_GB2312"/>
          <w:color w:val="000000"/>
          <w:sz w:val="32"/>
          <w:szCs w:val="32"/>
        </w:rPr>
        <w:t>外运土石方不</w:t>
      </w:r>
      <w:r>
        <w:rPr>
          <w:rFonts w:hint="eastAsia" w:ascii="Times New Roman" w:hAnsi="Times New Roman" w:eastAsia="仿宋_GB2312"/>
          <w:color w:val="000000"/>
          <w:sz w:val="32"/>
          <w:szCs w:val="32"/>
          <w:lang w:eastAsia="zh-CN"/>
        </w:rPr>
        <w:t>需</w:t>
      </w:r>
      <w:r>
        <w:rPr>
          <w:rFonts w:ascii="Times New Roman" w:hAnsi="Times New Roman" w:eastAsia="仿宋_GB2312"/>
          <w:color w:val="000000"/>
          <w:sz w:val="32"/>
          <w:szCs w:val="32"/>
        </w:rPr>
        <w:t>消纳处置</w:t>
      </w:r>
      <w:r>
        <w:rPr>
          <w:rFonts w:hint="eastAsia" w:ascii="Times New Roman" w:hAnsi="Times New Roman" w:eastAsia="仿宋_GB2312"/>
          <w:color w:val="000000"/>
          <w:sz w:val="32"/>
          <w:szCs w:val="32"/>
          <w:lang w:eastAsia="zh-CN"/>
        </w:rPr>
        <w:t>或暂存土回运</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lang w:eastAsia="zh-CN"/>
        </w:rPr>
        <w:t>，如何执行？</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default"/>
          <w:lang w:val="en-US" w:eastAsia="zh-CN"/>
        </w:rPr>
      </w:pPr>
      <w:r>
        <w:rPr>
          <w:rFonts w:hint="eastAsia" w:ascii="仿宋_GB2312" w:eastAsia="仿宋_GB2312"/>
          <w:sz w:val="32"/>
          <w:szCs w:val="32"/>
          <w:lang w:val="en-US" w:eastAsia="zh-CN"/>
        </w:rPr>
        <w:t>答：</w:t>
      </w:r>
      <w:r>
        <w:rPr>
          <w:rFonts w:ascii="Times New Roman" w:hAnsi="Times New Roman" w:eastAsia="仿宋_GB2312"/>
          <w:color w:val="000000"/>
          <w:sz w:val="32"/>
          <w:szCs w:val="32"/>
        </w:rPr>
        <w:t>土石方工程施工中发生的场外运输土（石）方，经专家论证须消纳处置的弃土（石）方，消纳数量和单价按专家论证通过的弃土（石）运输处置方案和弃土（石）方的密度、《北京市发展和改革委员会 北京市市政市容管理委员会关于调整本市非居民垃圾处理收费有关事项的通知》（京发改〔2013〕2662号）确定。外运土石方不</w:t>
      </w:r>
      <w:r>
        <w:rPr>
          <w:rFonts w:hint="eastAsia" w:ascii="Times New Roman" w:hAnsi="Times New Roman" w:eastAsia="仿宋_GB2312"/>
          <w:color w:val="000000"/>
          <w:sz w:val="32"/>
          <w:szCs w:val="32"/>
          <w:lang w:eastAsia="zh-CN"/>
        </w:rPr>
        <w:t>需</w:t>
      </w:r>
      <w:r>
        <w:rPr>
          <w:rFonts w:ascii="Times New Roman" w:hAnsi="Times New Roman" w:eastAsia="仿宋_GB2312"/>
          <w:color w:val="000000"/>
          <w:sz w:val="32"/>
          <w:szCs w:val="32"/>
        </w:rPr>
        <w:t>消纳处置</w:t>
      </w:r>
      <w:r>
        <w:rPr>
          <w:rFonts w:hint="eastAsia" w:ascii="Times New Roman" w:hAnsi="Times New Roman" w:eastAsia="仿宋_GB2312"/>
          <w:color w:val="000000"/>
          <w:sz w:val="32"/>
          <w:szCs w:val="32"/>
          <w:lang w:eastAsia="zh-CN"/>
        </w:rPr>
        <w:t>或暂存土回运</w:t>
      </w:r>
      <w:r>
        <w:rPr>
          <w:rFonts w:ascii="Times New Roman" w:hAnsi="Times New Roman" w:eastAsia="仿宋_GB2312"/>
          <w:color w:val="000000"/>
          <w:sz w:val="32"/>
          <w:szCs w:val="32"/>
        </w:rPr>
        <w:t>的，弃土或渣土消纳的</w:t>
      </w:r>
      <w:r>
        <w:rPr>
          <w:rFonts w:hint="eastAsia" w:ascii="Times New Roman" w:hAnsi="Times New Roman" w:eastAsia="仿宋_GB2312"/>
          <w:color w:val="000000"/>
          <w:sz w:val="32"/>
          <w:szCs w:val="32"/>
        </w:rPr>
        <w:t>消耗量清零。</w:t>
      </w:r>
    </w:p>
    <w:p>
      <w:pPr>
        <w:keepNext w:val="0"/>
        <w:keepLines w:val="0"/>
        <w:pageBreakBefore w:val="0"/>
        <w:kinsoku/>
        <w:overflowPunct/>
        <w:topLinePunct w:val="0"/>
        <w:autoSpaceDE w:val="0"/>
        <w:autoSpaceDN w:val="0"/>
        <w:bidi w:val="0"/>
        <w:spacing w:line="560" w:lineRule="exact"/>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楷体_GB2312" w:eastAsia="楷体_GB2312" w:hAnsiTheme="minorEastAsia"/>
          <w:sz w:val="32"/>
          <w:szCs w:val="32"/>
          <w:lang w:eastAsia="zh-CN"/>
        </w:rPr>
        <w:t>第二部分</w:t>
      </w:r>
      <w:r>
        <w:rPr>
          <w:rFonts w:hint="eastAsia" w:ascii="楷体_GB2312" w:eastAsia="楷体_GB2312" w:hAnsiTheme="minorEastAsia"/>
          <w:sz w:val="32"/>
          <w:szCs w:val="32"/>
          <w:lang w:val="en-US" w:eastAsia="zh-CN"/>
        </w:rPr>
        <w:t xml:space="preserve">  </w:t>
      </w:r>
      <w:r>
        <w:rPr>
          <w:rFonts w:hint="eastAsia" w:ascii="楷体_GB2312" w:eastAsia="楷体_GB2312" w:hAnsiTheme="minorEastAsia"/>
          <w:sz w:val="32"/>
          <w:szCs w:val="32"/>
          <w:lang w:eastAsia="zh-CN"/>
        </w:rPr>
        <w:t>费用指标</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14.根据《关于印发〈关于执行2021年〈北京市建设工程计价依据——预算消耗量标准〉和〈北京市房屋修缮工程计价依据——预算消耗量标准〉的规定〉的通知》（京建法〔2021〕11号）规定，在编制最高投标限价时，</w:t>
      </w:r>
      <w:r>
        <w:rPr>
          <w:rFonts w:hint="eastAsia" w:ascii="仿宋_GB2312" w:eastAsia="仿宋_GB2312"/>
          <w:sz w:val="32"/>
          <w:szCs w:val="32"/>
        </w:rPr>
        <w:t>《预算消耗量标准》未包括的建筑安装工程费用项目，《北京工程造价信息》发布了相应费用指标的，其费用应依据基准期的费用指标</w:t>
      </w:r>
      <w:r>
        <w:rPr>
          <w:rFonts w:hint="eastAsia" w:ascii="仿宋_GB2312" w:eastAsia="仿宋_GB2312"/>
          <w:sz w:val="32"/>
          <w:szCs w:val="32"/>
          <w:lang w:eastAsia="zh-CN"/>
        </w:rPr>
        <w:t>自主测算，</w:t>
      </w:r>
      <w:r>
        <w:rPr>
          <w:rFonts w:hint="eastAsia" w:ascii="仿宋_GB2312" w:eastAsia="仿宋_GB2312"/>
          <w:sz w:val="32"/>
          <w:szCs w:val="32"/>
        </w:rPr>
        <w:t>合理确定，但不得低于相应费用指标的中间值</w:t>
      </w:r>
      <w:r>
        <w:rPr>
          <w:rFonts w:hint="eastAsia" w:ascii="仿宋_GB2312" w:eastAsia="仿宋_GB2312"/>
          <w:sz w:val="32"/>
          <w:szCs w:val="32"/>
          <w:lang w:eastAsia="zh-CN"/>
        </w:rPr>
        <w:t>。请问：</w:t>
      </w:r>
      <w:r>
        <w:rPr>
          <w:rFonts w:hint="eastAsia" w:ascii="仿宋_GB2312" w:eastAsia="仿宋_GB2312"/>
          <w:sz w:val="32"/>
          <w:szCs w:val="32"/>
          <w:lang w:val="en-US" w:eastAsia="zh-CN"/>
        </w:rPr>
        <w:t>招标人自行供应的材料（</w:t>
      </w:r>
      <w:r>
        <w:rPr>
          <w:rFonts w:hint="eastAsia" w:ascii="仿宋_GB2312" w:eastAsia="仿宋_GB2312"/>
          <w:sz w:val="32"/>
          <w:szCs w:val="32"/>
          <w:lang w:eastAsia="zh-CN"/>
        </w:rPr>
        <w:t>甲供材）是否作为依据</w:t>
      </w:r>
      <w:r>
        <w:rPr>
          <w:rFonts w:hint="eastAsia" w:ascii="仿宋_GB2312" w:eastAsia="仿宋_GB2312"/>
          <w:sz w:val="32"/>
          <w:szCs w:val="32"/>
        </w:rPr>
        <w:t>《北京工程造价信息》</w:t>
      </w:r>
      <w:r>
        <w:rPr>
          <w:rFonts w:hint="eastAsia" w:ascii="仿宋_GB2312" w:eastAsia="仿宋_GB2312"/>
          <w:sz w:val="32"/>
          <w:szCs w:val="32"/>
          <w:lang w:val="en-US" w:eastAsia="zh-CN"/>
        </w:rPr>
        <w:t>费用指标的中间值</w:t>
      </w:r>
      <w:r>
        <w:rPr>
          <w:rFonts w:hint="eastAsia" w:ascii="仿宋_GB2312" w:eastAsia="仿宋_GB2312"/>
          <w:sz w:val="32"/>
          <w:szCs w:val="32"/>
          <w:lang w:eastAsia="zh-CN"/>
        </w:rPr>
        <w:t>计算</w:t>
      </w:r>
      <w:r>
        <w:rPr>
          <w:rStyle w:val="7"/>
          <w:rFonts w:hint="eastAsia" w:ascii="仿宋_GB2312" w:hAnsi="仿宋_GB2312" w:eastAsia="仿宋_GB2312" w:cs="仿宋_GB2312"/>
          <w:sz w:val="32"/>
          <w:szCs w:val="32"/>
          <w:highlight w:val="none"/>
          <w:lang w:val="en-US" w:eastAsia="zh-CN"/>
        </w:rPr>
        <w:t>现场管理费、</w:t>
      </w:r>
      <w:r>
        <w:rPr>
          <w:rFonts w:hint="eastAsia" w:ascii="仿宋_GB2312" w:eastAsia="仿宋_GB2312"/>
          <w:sz w:val="32"/>
          <w:szCs w:val="32"/>
          <w:lang w:val="en-US" w:eastAsia="zh-CN"/>
        </w:rPr>
        <w:t>企业管理费及利润等费用项目的基数？</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w:t>
      </w:r>
      <w:r>
        <w:rPr>
          <w:rFonts w:hint="eastAsia" w:ascii="仿宋_GB2312" w:eastAsia="仿宋_GB2312"/>
          <w:sz w:val="32"/>
          <w:szCs w:val="32"/>
          <w:lang w:eastAsia="zh-CN"/>
        </w:rPr>
        <w:t>依据</w:t>
      </w:r>
      <w:r>
        <w:rPr>
          <w:rFonts w:hint="eastAsia" w:ascii="仿宋_GB2312" w:eastAsia="仿宋_GB2312"/>
          <w:sz w:val="32"/>
          <w:szCs w:val="32"/>
        </w:rPr>
        <w:t>《北京工程造价信息》</w:t>
      </w:r>
      <w:r>
        <w:rPr>
          <w:rFonts w:hint="eastAsia" w:ascii="仿宋_GB2312" w:eastAsia="仿宋_GB2312"/>
          <w:sz w:val="32"/>
          <w:szCs w:val="32"/>
          <w:lang w:val="en-US" w:eastAsia="zh-CN"/>
        </w:rPr>
        <w:t>费用指标的中间值</w:t>
      </w:r>
      <w:r>
        <w:rPr>
          <w:rFonts w:hint="eastAsia" w:ascii="仿宋_GB2312" w:eastAsia="仿宋_GB2312"/>
          <w:sz w:val="32"/>
          <w:szCs w:val="32"/>
          <w:lang w:eastAsia="zh-CN"/>
        </w:rPr>
        <w:t>计算</w:t>
      </w:r>
      <w:r>
        <w:rPr>
          <w:rStyle w:val="7"/>
          <w:rFonts w:hint="eastAsia" w:ascii="仿宋_GB2312" w:hAnsi="仿宋_GB2312" w:eastAsia="仿宋_GB2312" w:cs="仿宋_GB2312"/>
          <w:sz w:val="32"/>
          <w:szCs w:val="32"/>
          <w:highlight w:val="none"/>
          <w:lang w:val="en-US" w:eastAsia="zh-CN"/>
        </w:rPr>
        <w:t>现场管理费、</w:t>
      </w:r>
      <w:r>
        <w:rPr>
          <w:rFonts w:hint="eastAsia" w:ascii="仿宋_GB2312" w:eastAsia="仿宋_GB2312"/>
          <w:sz w:val="32"/>
          <w:szCs w:val="32"/>
          <w:lang w:val="en-US" w:eastAsia="zh-CN"/>
        </w:rPr>
        <w:t>企业管理费及利润等费用时，招标人自行供应的材料（</w:t>
      </w:r>
      <w:r>
        <w:rPr>
          <w:rFonts w:hint="eastAsia" w:ascii="仿宋_GB2312" w:eastAsia="仿宋_GB2312"/>
          <w:sz w:val="32"/>
          <w:szCs w:val="32"/>
          <w:lang w:eastAsia="zh-CN"/>
        </w:rPr>
        <w:t>甲供材）属于</w:t>
      </w:r>
      <w:r>
        <w:rPr>
          <w:rStyle w:val="7"/>
          <w:rFonts w:hint="eastAsia" w:ascii="仿宋_GB2312" w:hAnsi="仿宋_GB2312" w:eastAsia="仿宋_GB2312" w:cs="仿宋_GB2312"/>
          <w:sz w:val="32"/>
          <w:szCs w:val="32"/>
          <w:highlight w:val="none"/>
          <w:lang w:val="en-US" w:eastAsia="zh-CN"/>
        </w:rPr>
        <w:t>在2021年《预算消耗量标准》中列出的材料，作为现场管理费、企业管理费及利润的计算基数；未列出的材料则不作为计算基数。</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default" w:ascii="仿宋_GB2312" w:eastAsia="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E21AC"/>
    <w:rsid w:val="0FBAC6B1"/>
    <w:rsid w:val="1FB50A60"/>
    <w:rsid w:val="1FFDC88B"/>
    <w:rsid w:val="2FBEB853"/>
    <w:rsid w:val="2FFF5FAA"/>
    <w:rsid w:val="33CF73CB"/>
    <w:rsid w:val="5F7F85A3"/>
    <w:rsid w:val="5FDF4C3C"/>
    <w:rsid w:val="63F493AD"/>
    <w:rsid w:val="6BEF74C6"/>
    <w:rsid w:val="6DEA25B9"/>
    <w:rsid w:val="6DF37A46"/>
    <w:rsid w:val="7783A709"/>
    <w:rsid w:val="7D2AC45B"/>
    <w:rsid w:val="7F7CC30C"/>
    <w:rsid w:val="7F7FF551"/>
    <w:rsid w:val="7FEFEE13"/>
    <w:rsid w:val="7FFD6475"/>
    <w:rsid w:val="8BFBBF6A"/>
    <w:rsid w:val="8DFA826B"/>
    <w:rsid w:val="ADBD38ED"/>
    <w:rsid w:val="B6EFD216"/>
    <w:rsid w:val="B7EF9A25"/>
    <w:rsid w:val="BBFE21AC"/>
    <w:rsid w:val="BDFC5C54"/>
    <w:rsid w:val="BEF3AB6D"/>
    <w:rsid w:val="D9CF6F71"/>
    <w:rsid w:val="DFDA010A"/>
    <w:rsid w:val="E3FFF9F8"/>
    <w:rsid w:val="E7FD07CC"/>
    <w:rsid w:val="EEFEAC42"/>
    <w:rsid w:val="F5FE0E19"/>
    <w:rsid w:val="F87F5419"/>
    <w:rsid w:val="F8FEC9FD"/>
    <w:rsid w:val="FA9FFBBB"/>
    <w:rsid w:val="FB1F52B1"/>
    <w:rsid w:val="FBFF3D3C"/>
    <w:rsid w:val="FCBC9AE9"/>
    <w:rsid w:val="FEFFF943"/>
    <w:rsid w:val="FF7FD9E7"/>
    <w:rsid w:val="FFB40A58"/>
    <w:rsid w:val="FFF7E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val="0"/>
      <w:wordWrap w:val="0"/>
      <w:spacing w:beforeLines="0" w:beforeAutospacing="0" w:afterLines="0" w:afterAutospacing="0" w:line="560" w:lineRule="exact"/>
      <w:outlineLvl w:val="0"/>
    </w:pPr>
    <w:rPr>
      <w:rFonts w:eastAsia="方正黑体_GBK"/>
      <w:kern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41"/>
      <w:ind w:left="120"/>
    </w:pPr>
    <w:rPr>
      <w:rFonts w:ascii="宋体" w:hAnsi="宋体" w:cs="宋体"/>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qFormat/>
    <w:uiPriority w:val="0"/>
    <w:rPr>
      <w:color w:val="800080"/>
      <w:u w:val="single"/>
    </w:rPr>
  </w:style>
  <w:style w:type="character" w:styleId="9">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2910</Words>
  <Characters>3292</Characters>
  <Lines>0</Lines>
  <Paragraphs>0</Paragraphs>
  <TotalTime>1</TotalTime>
  <ScaleCrop>false</ScaleCrop>
  <LinksUpToDate>false</LinksUpToDate>
  <CharactersWithSpaces>3331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2022-10-25T00:26:00Z</dcterms:created>
  <dc:creator>uos</dc:creator>
  <cp:lastModifiedBy>uos</cp:lastModifiedBy>
  <cp:lastPrinted>2022-11-15T15:29:00Z</cp:lastPrinted>
  <dcterms:modified xsi:type="dcterms:W3CDTF">2022-11-30T16:44:42Z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