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DE06F">
      <w:pPr>
        <w:jc w:val="center"/>
        <w:rPr>
          <w:rFonts w:ascii="黑体" w:hAnsi="黑体" w:eastAsia="黑体" w:cs="黑体"/>
          <w:b/>
          <w:bCs/>
          <w:sz w:val="44"/>
          <w:szCs w:val="44"/>
        </w:rPr>
      </w:pPr>
      <w:bookmarkStart w:id="15" w:name="_GoBack"/>
      <w:bookmarkEnd w:id="15"/>
    </w:p>
    <w:p w14:paraId="147A41B3">
      <w:pPr>
        <w:jc w:val="center"/>
        <w:rPr>
          <w:rFonts w:ascii="黑体" w:hAnsi="黑体" w:eastAsia="黑体" w:cs="黑体"/>
          <w:b/>
          <w:bCs/>
          <w:sz w:val="44"/>
          <w:szCs w:val="44"/>
        </w:rPr>
      </w:pPr>
    </w:p>
    <w:p w14:paraId="50AE8733">
      <w:pPr>
        <w:spacing w:line="720" w:lineRule="auto"/>
        <w:jc w:val="center"/>
        <w:rPr>
          <w:rFonts w:ascii="黑体" w:hAnsi="黑体" w:eastAsia="黑体" w:cs="黑体"/>
          <w:b/>
          <w:bCs/>
          <w:sz w:val="44"/>
          <w:szCs w:val="44"/>
        </w:rPr>
      </w:pPr>
    </w:p>
    <w:p w14:paraId="40450A9E">
      <w:pPr>
        <w:spacing w:line="720" w:lineRule="auto"/>
        <w:jc w:val="center"/>
        <w:rPr>
          <w:rFonts w:ascii="黑体" w:hAnsi="黑体" w:eastAsia="黑体" w:cs="黑体"/>
          <w:b/>
          <w:bCs/>
          <w:sz w:val="44"/>
          <w:szCs w:val="44"/>
        </w:rPr>
      </w:pPr>
    </w:p>
    <w:p w14:paraId="0CE0E2FD">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北京市装配式建筑项目管理服务平台</w:t>
      </w:r>
    </w:p>
    <w:p w14:paraId="636305AE">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操作手册（企业端）</w:t>
      </w:r>
    </w:p>
    <w:p w14:paraId="05A3AA99">
      <w:pPr>
        <w:jc w:val="center"/>
        <w:rPr>
          <w:rFonts w:ascii="黑体" w:hAnsi="黑体" w:eastAsia="黑体" w:cs="黑体"/>
          <w:b/>
          <w:bCs/>
          <w:sz w:val="44"/>
          <w:szCs w:val="44"/>
        </w:rPr>
      </w:pPr>
    </w:p>
    <w:p w14:paraId="03B95E32">
      <w:pPr>
        <w:jc w:val="center"/>
        <w:rPr>
          <w:rFonts w:ascii="黑体" w:hAnsi="黑体" w:eastAsia="黑体" w:cs="黑体"/>
          <w:b/>
          <w:bCs/>
          <w:sz w:val="44"/>
          <w:szCs w:val="44"/>
        </w:rPr>
      </w:pPr>
    </w:p>
    <w:p w14:paraId="394FCCC8">
      <w:pPr>
        <w:jc w:val="center"/>
        <w:rPr>
          <w:rFonts w:ascii="黑体" w:hAnsi="黑体" w:eastAsia="黑体" w:cs="黑体"/>
          <w:b/>
          <w:bCs/>
          <w:sz w:val="44"/>
          <w:szCs w:val="44"/>
        </w:rPr>
      </w:pPr>
    </w:p>
    <w:p w14:paraId="777BF516">
      <w:pPr>
        <w:rPr>
          <w:rFonts w:ascii="黑体" w:hAnsi="黑体" w:eastAsia="黑体" w:cs="黑体"/>
          <w:b/>
          <w:bCs/>
          <w:sz w:val="44"/>
          <w:szCs w:val="44"/>
        </w:rPr>
      </w:pPr>
    </w:p>
    <w:p w14:paraId="1CC1FC4B">
      <w:pPr>
        <w:jc w:val="center"/>
        <w:rPr>
          <w:rFonts w:ascii="黑体" w:hAnsi="黑体" w:eastAsia="黑体" w:cs="黑体"/>
          <w:b/>
          <w:bCs/>
          <w:sz w:val="44"/>
          <w:szCs w:val="44"/>
        </w:rPr>
      </w:pPr>
    </w:p>
    <w:p w14:paraId="100427DD">
      <w:pPr>
        <w:jc w:val="center"/>
        <w:rPr>
          <w:rFonts w:ascii="黑体" w:hAnsi="黑体" w:eastAsia="黑体" w:cs="黑体"/>
          <w:b/>
          <w:bCs/>
          <w:sz w:val="44"/>
          <w:szCs w:val="44"/>
        </w:rPr>
      </w:pPr>
    </w:p>
    <w:p w14:paraId="2B88AA14">
      <w:pPr>
        <w:rPr>
          <w:rFonts w:ascii="黑体" w:hAnsi="黑体" w:eastAsia="黑体" w:cs="黑体"/>
          <w:b/>
          <w:bCs/>
          <w:sz w:val="44"/>
          <w:szCs w:val="44"/>
        </w:rPr>
      </w:pPr>
    </w:p>
    <w:p w14:paraId="00AE363D">
      <w:pPr>
        <w:jc w:val="center"/>
        <w:rPr>
          <w:rFonts w:ascii="黑体" w:hAnsi="黑体" w:eastAsia="黑体" w:cs="黑体"/>
          <w:b/>
          <w:bCs/>
          <w:sz w:val="44"/>
          <w:szCs w:val="44"/>
        </w:rPr>
      </w:pPr>
    </w:p>
    <w:p w14:paraId="11D90FE1">
      <w:pPr>
        <w:rPr>
          <w:rFonts w:ascii="黑体" w:hAnsi="黑体" w:eastAsia="黑体" w:cs="黑体"/>
          <w:b/>
          <w:bCs/>
          <w:sz w:val="44"/>
          <w:szCs w:val="44"/>
        </w:rPr>
      </w:pPr>
    </w:p>
    <w:p w14:paraId="1326C7AE">
      <w:pPr>
        <w:jc w:val="center"/>
        <w:rPr>
          <w:rFonts w:ascii="黑体" w:hAnsi="黑体" w:eastAsia="黑体" w:cs="黑体"/>
          <w:b/>
          <w:bCs/>
          <w:sz w:val="32"/>
          <w:szCs w:val="32"/>
        </w:rPr>
      </w:pPr>
      <w:r>
        <w:rPr>
          <w:rFonts w:hint="eastAsia" w:ascii="黑体" w:hAnsi="黑体" w:eastAsia="黑体" w:cs="黑体"/>
          <w:b/>
          <w:bCs/>
          <w:sz w:val="32"/>
          <w:szCs w:val="32"/>
        </w:rPr>
        <w:t>北京理正人信息有限公司</w:t>
      </w:r>
    </w:p>
    <w:p w14:paraId="2FD09C33">
      <w:pPr>
        <w:jc w:val="center"/>
        <w:rPr>
          <w:rFonts w:ascii="黑体" w:hAnsi="黑体" w:eastAsia="黑体" w:cs="黑体"/>
          <w:b/>
          <w:bCs/>
          <w:sz w:val="32"/>
          <w:szCs w:val="32"/>
        </w:rPr>
      </w:pPr>
      <w:r>
        <w:rPr>
          <w:rFonts w:hint="eastAsia" w:ascii="黑体" w:hAnsi="黑体" w:eastAsia="黑体" w:cs="黑体"/>
          <w:b/>
          <w:bCs/>
          <w:sz w:val="32"/>
          <w:szCs w:val="32"/>
        </w:rPr>
        <w:t>2023年</w:t>
      </w:r>
      <w:r>
        <w:rPr>
          <w:rFonts w:ascii="黑体" w:hAnsi="黑体" w:eastAsia="黑体" w:cs="黑体"/>
          <w:b/>
          <w:bCs/>
          <w:sz w:val="32"/>
          <w:szCs w:val="32"/>
        </w:rPr>
        <w:t>10</w:t>
      </w:r>
      <w:r>
        <w:rPr>
          <w:rFonts w:hint="eastAsia" w:ascii="黑体" w:hAnsi="黑体" w:eastAsia="黑体" w:cs="黑体"/>
          <w:b/>
          <w:bCs/>
          <w:sz w:val="32"/>
          <w:szCs w:val="32"/>
        </w:rPr>
        <w:t>月</w:t>
      </w:r>
    </w:p>
    <w:p w14:paraId="471D3C99">
      <w:pPr>
        <w:jc w:val="center"/>
        <w:rPr>
          <w:rFonts w:ascii="黑体" w:hAnsi="黑体" w:eastAsia="黑体" w:cs="黑体"/>
          <w:b/>
          <w:bCs/>
          <w:sz w:val="32"/>
          <w:szCs w:val="32"/>
        </w:rPr>
      </w:pPr>
    </w:p>
    <w:p w14:paraId="532F5918">
      <w:pPr>
        <w:jc w:val="center"/>
        <w:rPr>
          <w:rFonts w:ascii="黑体" w:hAnsi="黑体" w:eastAsia="黑体" w:cs="黑体"/>
          <w:b/>
          <w:bCs/>
          <w:sz w:val="32"/>
          <w:szCs w:val="32"/>
        </w:rPr>
      </w:pPr>
    </w:p>
    <w:p w14:paraId="4A87DA52">
      <w:pPr>
        <w:jc w:val="center"/>
        <w:rPr>
          <w:rFonts w:ascii="黑体" w:hAnsi="黑体" w:eastAsia="黑体" w:cs="黑体"/>
          <w:b/>
          <w:bCs/>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黑体"/>
          <w:sz w:val="21"/>
        </w:rPr>
        <w:id w:val="147469412"/>
        <w15:color w:val="DBDBDB"/>
        <w:docPartObj>
          <w:docPartGallery w:val="Table of Contents"/>
          <w:docPartUnique/>
        </w:docPartObj>
      </w:sdtPr>
      <w:sdtEndPr>
        <w:rPr>
          <w:rFonts w:hint="eastAsia" w:ascii="宋体" w:hAnsi="宋体" w:eastAsia="黑体"/>
          <w:sz w:val="21"/>
        </w:rPr>
      </w:sdtEndPr>
      <w:sdtContent>
        <w:p w14:paraId="554ABF5A">
          <w:pPr>
            <w:spacing w:line="240" w:lineRule="auto"/>
            <w:jc w:val="center"/>
          </w:pPr>
          <w:r>
            <w:rPr>
              <w:rFonts w:ascii="宋体" w:hAnsi="宋体"/>
              <w:sz w:val="21"/>
            </w:rPr>
            <w:t>目录</w:t>
          </w:r>
        </w:p>
        <w:p w14:paraId="56FE35F8">
          <w:pPr>
            <w:pStyle w:val="14"/>
            <w:tabs>
              <w:tab w:val="left" w:pos="420"/>
              <w:tab w:val="right" w:leader="dot" w:pos="8296"/>
            </w:tabs>
            <w:rPr>
              <w:rFonts w:eastAsiaTheme="minorEastAsia"/>
              <w:sz w:val="21"/>
              <w:szCs w:val="22"/>
            </w:rPr>
          </w:pPr>
          <w:r>
            <w:rPr>
              <w:rFonts w:hint="eastAsia" w:ascii="黑体" w:hAnsi="黑体" w:cs="黑体"/>
              <w:b/>
              <w:bCs/>
              <w:sz w:val="32"/>
              <w:szCs w:val="32"/>
            </w:rPr>
            <w:fldChar w:fldCharType="begin"/>
          </w:r>
          <w:r>
            <w:rPr>
              <w:rFonts w:hint="eastAsia" w:ascii="黑体" w:hAnsi="黑体" w:cs="黑体"/>
              <w:b/>
              <w:bCs/>
              <w:sz w:val="32"/>
              <w:szCs w:val="32"/>
            </w:rPr>
            <w:instrText xml:space="preserve">TOC \o "1-3" \h \u </w:instrText>
          </w:r>
          <w:r>
            <w:rPr>
              <w:rFonts w:hint="eastAsia" w:ascii="黑体" w:hAnsi="黑体" w:cs="黑体"/>
              <w:b/>
              <w:bCs/>
              <w:sz w:val="32"/>
              <w:szCs w:val="32"/>
            </w:rPr>
            <w:fldChar w:fldCharType="separate"/>
          </w:r>
          <w:r>
            <w:fldChar w:fldCharType="begin"/>
          </w:r>
          <w:r>
            <w:instrText xml:space="preserve"> HYPERLINK \l "_Toc181276506" </w:instrText>
          </w:r>
          <w:r>
            <w:fldChar w:fldCharType="separate"/>
          </w:r>
          <w:r>
            <w:rPr>
              <w:rStyle w:val="20"/>
            </w:rPr>
            <w:t>1.</w:t>
          </w:r>
          <w:r>
            <w:rPr>
              <w:rFonts w:eastAsiaTheme="minorEastAsia"/>
              <w:sz w:val="21"/>
              <w:szCs w:val="22"/>
            </w:rPr>
            <w:tab/>
          </w:r>
          <w:r>
            <w:rPr>
              <w:rStyle w:val="20"/>
            </w:rPr>
            <w:t>系统登录</w:t>
          </w:r>
          <w:r>
            <w:tab/>
          </w:r>
          <w:r>
            <w:fldChar w:fldCharType="begin"/>
          </w:r>
          <w:r>
            <w:instrText xml:space="preserve"> PAGEREF _Toc181276506 \h </w:instrText>
          </w:r>
          <w:r>
            <w:fldChar w:fldCharType="separate"/>
          </w:r>
          <w:r>
            <w:t>1</w:t>
          </w:r>
          <w:r>
            <w:fldChar w:fldCharType="end"/>
          </w:r>
          <w:r>
            <w:fldChar w:fldCharType="end"/>
          </w:r>
        </w:p>
        <w:p w14:paraId="4795E6BA">
          <w:pPr>
            <w:pStyle w:val="14"/>
            <w:tabs>
              <w:tab w:val="left" w:pos="420"/>
              <w:tab w:val="right" w:leader="dot" w:pos="8296"/>
            </w:tabs>
            <w:rPr>
              <w:rFonts w:eastAsiaTheme="minorEastAsia"/>
              <w:sz w:val="21"/>
              <w:szCs w:val="22"/>
            </w:rPr>
          </w:pPr>
          <w:r>
            <w:fldChar w:fldCharType="begin"/>
          </w:r>
          <w:r>
            <w:instrText xml:space="preserve"> HYPERLINK \l "_Toc181276507" </w:instrText>
          </w:r>
          <w:r>
            <w:fldChar w:fldCharType="separate"/>
          </w:r>
          <w:r>
            <w:rPr>
              <w:rStyle w:val="20"/>
            </w:rPr>
            <w:t>2.</w:t>
          </w:r>
          <w:r>
            <w:rPr>
              <w:rFonts w:eastAsiaTheme="minorEastAsia"/>
              <w:sz w:val="21"/>
              <w:szCs w:val="22"/>
            </w:rPr>
            <w:tab/>
          </w:r>
          <w:r>
            <w:rPr>
              <w:rStyle w:val="20"/>
            </w:rPr>
            <w:t>企业端操作说明</w:t>
          </w:r>
          <w:r>
            <w:tab/>
          </w:r>
          <w:r>
            <w:fldChar w:fldCharType="begin"/>
          </w:r>
          <w:r>
            <w:instrText xml:space="preserve"> PAGEREF _Toc181276507 \h </w:instrText>
          </w:r>
          <w:r>
            <w:fldChar w:fldCharType="separate"/>
          </w:r>
          <w:r>
            <w:t>3</w:t>
          </w:r>
          <w:r>
            <w:fldChar w:fldCharType="end"/>
          </w:r>
          <w:r>
            <w:fldChar w:fldCharType="end"/>
          </w:r>
        </w:p>
        <w:p w14:paraId="38E1D95C">
          <w:pPr>
            <w:pStyle w:val="15"/>
            <w:tabs>
              <w:tab w:val="left" w:pos="1050"/>
              <w:tab w:val="right" w:leader="dot" w:pos="8296"/>
            </w:tabs>
            <w:ind w:left="480"/>
            <w:rPr>
              <w:rFonts w:eastAsiaTheme="minorEastAsia"/>
              <w:sz w:val="21"/>
              <w:szCs w:val="22"/>
            </w:rPr>
          </w:pPr>
          <w:r>
            <w:fldChar w:fldCharType="begin"/>
          </w:r>
          <w:r>
            <w:instrText xml:space="preserve"> HYPERLINK \l "_Toc181276508" </w:instrText>
          </w:r>
          <w:r>
            <w:fldChar w:fldCharType="separate"/>
          </w:r>
          <w:r>
            <w:rPr>
              <w:rStyle w:val="20"/>
            </w:rPr>
            <w:t>2.1.</w:t>
          </w:r>
          <w:r>
            <w:rPr>
              <w:rFonts w:eastAsiaTheme="minorEastAsia"/>
              <w:sz w:val="21"/>
              <w:szCs w:val="22"/>
            </w:rPr>
            <w:tab/>
          </w:r>
          <w:r>
            <w:rPr>
              <w:rStyle w:val="20"/>
            </w:rPr>
            <w:t>首页</w:t>
          </w:r>
          <w:r>
            <w:tab/>
          </w:r>
          <w:r>
            <w:fldChar w:fldCharType="begin"/>
          </w:r>
          <w:r>
            <w:instrText xml:space="preserve"> PAGEREF _Toc181276508 \h </w:instrText>
          </w:r>
          <w:r>
            <w:fldChar w:fldCharType="separate"/>
          </w:r>
          <w:r>
            <w:t>3</w:t>
          </w:r>
          <w:r>
            <w:fldChar w:fldCharType="end"/>
          </w:r>
          <w:r>
            <w:fldChar w:fldCharType="end"/>
          </w:r>
        </w:p>
        <w:p w14:paraId="7EC59E2A">
          <w:pPr>
            <w:pStyle w:val="15"/>
            <w:tabs>
              <w:tab w:val="left" w:pos="1050"/>
              <w:tab w:val="right" w:leader="dot" w:pos="8296"/>
            </w:tabs>
            <w:ind w:left="480"/>
            <w:rPr>
              <w:rFonts w:eastAsiaTheme="minorEastAsia"/>
              <w:sz w:val="21"/>
              <w:szCs w:val="22"/>
            </w:rPr>
          </w:pPr>
          <w:r>
            <w:fldChar w:fldCharType="begin"/>
          </w:r>
          <w:r>
            <w:instrText xml:space="preserve"> HYPERLINK \l "_Toc181276509" </w:instrText>
          </w:r>
          <w:r>
            <w:fldChar w:fldCharType="separate"/>
          </w:r>
          <w:r>
            <w:rPr>
              <w:rStyle w:val="20"/>
            </w:rPr>
            <w:t>2.2.</w:t>
          </w:r>
          <w:r>
            <w:rPr>
              <w:rFonts w:eastAsiaTheme="minorEastAsia"/>
              <w:sz w:val="21"/>
              <w:szCs w:val="22"/>
            </w:rPr>
            <w:tab/>
          </w:r>
          <w:r>
            <w:rPr>
              <w:rStyle w:val="20"/>
            </w:rPr>
            <w:t>项目评审</w:t>
          </w:r>
          <w:r>
            <w:tab/>
          </w:r>
          <w:r>
            <w:fldChar w:fldCharType="begin"/>
          </w:r>
          <w:r>
            <w:instrText xml:space="preserve"> PAGEREF _Toc181276509 \h </w:instrText>
          </w:r>
          <w:r>
            <w:fldChar w:fldCharType="separate"/>
          </w:r>
          <w:r>
            <w:t>4</w:t>
          </w:r>
          <w:r>
            <w:fldChar w:fldCharType="end"/>
          </w:r>
          <w:r>
            <w:fldChar w:fldCharType="end"/>
          </w:r>
        </w:p>
        <w:p w14:paraId="6AB47563">
          <w:pPr>
            <w:pStyle w:val="11"/>
            <w:tabs>
              <w:tab w:val="left" w:pos="1680"/>
              <w:tab w:val="right" w:leader="dot" w:pos="8296"/>
            </w:tabs>
            <w:ind w:left="960"/>
            <w:rPr>
              <w:rFonts w:eastAsiaTheme="minorEastAsia"/>
              <w:sz w:val="21"/>
              <w:szCs w:val="22"/>
            </w:rPr>
          </w:pPr>
          <w:r>
            <w:fldChar w:fldCharType="begin"/>
          </w:r>
          <w:r>
            <w:instrText xml:space="preserve"> HYPERLINK \l "_Toc181276510" </w:instrText>
          </w:r>
          <w:r>
            <w:fldChar w:fldCharType="separate"/>
          </w:r>
          <w:r>
            <w:rPr>
              <w:rStyle w:val="20"/>
            </w:rPr>
            <w:t>2.2.1.</w:t>
          </w:r>
          <w:r>
            <w:rPr>
              <w:rFonts w:eastAsiaTheme="minorEastAsia"/>
              <w:sz w:val="21"/>
              <w:szCs w:val="22"/>
            </w:rPr>
            <w:tab/>
          </w:r>
          <w:r>
            <w:rPr>
              <w:rStyle w:val="20"/>
            </w:rPr>
            <w:t>实施技术方案评审</w:t>
          </w:r>
          <w:r>
            <w:tab/>
          </w:r>
          <w:r>
            <w:fldChar w:fldCharType="begin"/>
          </w:r>
          <w:r>
            <w:instrText xml:space="preserve"> PAGEREF _Toc181276510 \h </w:instrText>
          </w:r>
          <w:r>
            <w:fldChar w:fldCharType="separate"/>
          </w:r>
          <w:r>
            <w:t>5</w:t>
          </w:r>
          <w:r>
            <w:fldChar w:fldCharType="end"/>
          </w:r>
          <w:r>
            <w:fldChar w:fldCharType="end"/>
          </w:r>
        </w:p>
        <w:p w14:paraId="3B87077B">
          <w:pPr>
            <w:pStyle w:val="11"/>
            <w:tabs>
              <w:tab w:val="left" w:pos="1680"/>
              <w:tab w:val="right" w:leader="dot" w:pos="8296"/>
            </w:tabs>
            <w:ind w:left="960"/>
            <w:rPr>
              <w:rFonts w:eastAsiaTheme="minorEastAsia"/>
              <w:sz w:val="21"/>
              <w:szCs w:val="22"/>
            </w:rPr>
          </w:pPr>
          <w:r>
            <w:fldChar w:fldCharType="begin"/>
          </w:r>
          <w:r>
            <w:instrText xml:space="preserve"> HYPERLINK \l "_Toc181276511" </w:instrText>
          </w:r>
          <w:r>
            <w:fldChar w:fldCharType="separate"/>
          </w:r>
          <w:r>
            <w:rPr>
              <w:rStyle w:val="20"/>
            </w:rPr>
            <w:t>2.2.2.</w:t>
          </w:r>
          <w:r>
            <w:rPr>
              <w:rFonts w:eastAsiaTheme="minorEastAsia"/>
              <w:sz w:val="21"/>
              <w:szCs w:val="22"/>
            </w:rPr>
            <w:tab/>
          </w:r>
          <w:r>
            <w:rPr>
              <w:rStyle w:val="20"/>
            </w:rPr>
            <w:t>施工组织设计评审</w:t>
          </w:r>
          <w:r>
            <w:tab/>
          </w:r>
          <w:r>
            <w:fldChar w:fldCharType="begin"/>
          </w:r>
          <w:r>
            <w:instrText xml:space="preserve"> PAGEREF _Toc181276511 \h </w:instrText>
          </w:r>
          <w:r>
            <w:fldChar w:fldCharType="separate"/>
          </w:r>
          <w:r>
            <w:t>10</w:t>
          </w:r>
          <w:r>
            <w:fldChar w:fldCharType="end"/>
          </w:r>
          <w:r>
            <w:fldChar w:fldCharType="end"/>
          </w:r>
        </w:p>
        <w:p w14:paraId="17739C04">
          <w:pPr>
            <w:pStyle w:val="15"/>
            <w:tabs>
              <w:tab w:val="left" w:pos="1050"/>
              <w:tab w:val="right" w:leader="dot" w:pos="8296"/>
            </w:tabs>
            <w:ind w:left="480"/>
            <w:rPr>
              <w:rFonts w:eastAsiaTheme="minorEastAsia"/>
              <w:sz w:val="21"/>
              <w:szCs w:val="22"/>
            </w:rPr>
          </w:pPr>
          <w:r>
            <w:fldChar w:fldCharType="begin"/>
          </w:r>
          <w:r>
            <w:instrText xml:space="preserve"> HYPERLINK \l "_Toc181276512" </w:instrText>
          </w:r>
          <w:r>
            <w:fldChar w:fldCharType="separate"/>
          </w:r>
          <w:r>
            <w:rPr>
              <w:rStyle w:val="20"/>
            </w:rPr>
            <w:t>2.3.</w:t>
          </w:r>
          <w:r>
            <w:rPr>
              <w:rFonts w:eastAsiaTheme="minorEastAsia"/>
              <w:sz w:val="21"/>
              <w:szCs w:val="22"/>
            </w:rPr>
            <w:tab/>
          </w:r>
          <w:r>
            <w:rPr>
              <w:rStyle w:val="20"/>
            </w:rPr>
            <w:t>财政奖励</w:t>
          </w:r>
          <w:r>
            <w:tab/>
          </w:r>
          <w:r>
            <w:fldChar w:fldCharType="begin"/>
          </w:r>
          <w:r>
            <w:instrText xml:space="preserve"> PAGEREF _Toc181276512 \h </w:instrText>
          </w:r>
          <w:r>
            <w:fldChar w:fldCharType="separate"/>
          </w:r>
          <w:r>
            <w:t>15</w:t>
          </w:r>
          <w:r>
            <w:fldChar w:fldCharType="end"/>
          </w:r>
          <w:r>
            <w:fldChar w:fldCharType="end"/>
          </w:r>
        </w:p>
        <w:p w14:paraId="079C89B2">
          <w:pPr>
            <w:pStyle w:val="11"/>
            <w:tabs>
              <w:tab w:val="left" w:pos="1680"/>
              <w:tab w:val="right" w:leader="dot" w:pos="8296"/>
            </w:tabs>
            <w:ind w:left="960"/>
            <w:rPr>
              <w:rFonts w:eastAsiaTheme="minorEastAsia"/>
              <w:sz w:val="21"/>
              <w:szCs w:val="22"/>
            </w:rPr>
          </w:pPr>
          <w:r>
            <w:fldChar w:fldCharType="begin"/>
          </w:r>
          <w:r>
            <w:instrText xml:space="preserve"> HYPERLINK \l "_Toc181276513" </w:instrText>
          </w:r>
          <w:r>
            <w:fldChar w:fldCharType="separate"/>
          </w:r>
          <w:r>
            <w:rPr>
              <w:rStyle w:val="20"/>
            </w:rPr>
            <w:t>2.3.1.</w:t>
          </w:r>
          <w:r>
            <w:rPr>
              <w:rFonts w:eastAsiaTheme="minorEastAsia"/>
              <w:sz w:val="21"/>
              <w:szCs w:val="22"/>
            </w:rPr>
            <w:tab/>
          </w:r>
          <w:r>
            <w:rPr>
              <w:rStyle w:val="20"/>
            </w:rPr>
            <w:t>待办</w:t>
          </w:r>
          <w:r>
            <w:tab/>
          </w:r>
          <w:r>
            <w:fldChar w:fldCharType="begin"/>
          </w:r>
          <w:r>
            <w:instrText xml:space="preserve"> PAGEREF _Toc181276513 \h </w:instrText>
          </w:r>
          <w:r>
            <w:fldChar w:fldCharType="separate"/>
          </w:r>
          <w:r>
            <w:t>15</w:t>
          </w:r>
          <w:r>
            <w:fldChar w:fldCharType="end"/>
          </w:r>
          <w:r>
            <w:fldChar w:fldCharType="end"/>
          </w:r>
        </w:p>
        <w:p w14:paraId="1B2A5758">
          <w:pPr>
            <w:pStyle w:val="11"/>
            <w:tabs>
              <w:tab w:val="left" w:pos="1680"/>
              <w:tab w:val="right" w:leader="dot" w:pos="8296"/>
            </w:tabs>
            <w:ind w:left="960"/>
            <w:rPr>
              <w:rFonts w:eastAsiaTheme="minorEastAsia"/>
              <w:sz w:val="21"/>
              <w:szCs w:val="22"/>
            </w:rPr>
          </w:pPr>
          <w:r>
            <w:fldChar w:fldCharType="begin"/>
          </w:r>
          <w:r>
            <w:instrText xml:space="preserve"> HYPERLINK \l "_Toc181276514" </w:instrText>
          </w:r>
          <w:r>
            <w:fldChar w:fldCharType="separate"/>
          </w:r>
          <w:r>
            <w:rPr>
              <w:rStyle w:val="20"/>
            </w:rPr>
            <w:t>2.3.2.</w:t>
          </w:r>
          <w:r>
            <w:rPr>
              <w:rFonts w:eastAsiaTheme="minorEastAsia"/>
              <w:sz w:val="21"/>
              <w:szCs w:val="22"/>
            </w:rPr>
            <w:tab/>
          </w:r>
          <w:r>
            <w:rPr>
              <w:rStyle w:val="20"/>
            </w:rPr>
            <w:t>已办</w:t>
          </w:r>
          <w:r>
            <w:tab/>
          </w:r>
          <w:r>
            <w:fldChar w:fldCharType="begin"/>
          </w:r>
          <w:r>
            <w:instrText xml:space="preserve"> PAGEREF _Toc181276514 \h </w:instrText>
          </w:r>
          <w:r>
            <w:fldChar w:fldCharType="separate"/>
          </w:r>
          <w:r>
            <w:t>19</w:t>
          </w:r>
          <w:r>
            <w:fldChar w:fldCharType="end"/>
          </w:r>
          <w:r>
            <w:fldChar w:fldCharType="end"/>
          </w:r>
        </w:p>
        <w:p w14:paraId="5848E425">
          <w:pPr>
            <w:pStyle w:val="15"/>
            <w:tabs>
              <w:tab w:val="left" w:pos="1050"/>
              <w:tab w:val="right" w:leader="dot" w:pos="8296"/>
            </w:tabs>
            <w:ind w:left="480"/>
            <w:rPr>
              <w:rFonts w:eastAsiaTheme="minorEastAsia"/>
              <w:sz w:val="21"/>
              <w:szCs w:val="22"/>
            </w:rPr>
          </w:pPr>
          <w:r>
            <w:fldChar w:fldCharType="begin"/>
          </w:r>
          <w:r>
            <w:instrText xml:space="preserve"> HYPERLINK \l "_Toc181276515" </w:instrText>
          </w:r>
          <w:r>
            <w:fldChar w:fldCharType="separate"/>
          </w:r>
          <w:r>
            <w:rPr>
              <w:rStyle w:val="20"/>
            </w:rPr>
            <w:t>2.4.</w:t>
          </w:r>
          <w:r>
            <w:rPr>
              <w:rFonts w:eastAsiaTheme="minorEastAsia"/>
              <w:sz w:val="21"/>
              <w:szCs w:val="22"/>
            </w:rPr>
            <w:tab/>
          </w:r>
          <w:r>
            <w:rPr>
              <w:rStyle w:val="20"/>
            </w:rPr>
            <w:t>技术申报</w:t>
          </w:r>
          <w:r>
            <w:tab/>
          </w:r>
          <w:r>
            <w:fldChar w:fldCharType="begin"/>
          </w:r>
          <w:r>
            <w:instrText xml:space="preserve"> PAGEREF _Toc181276515 \h </w:instrText>
          </w:r>
          <w:r>
            <w:fldChar w:fldCharType="separate"/>
          </w:r>
          <w:r>
            <w:t>20</w:t>
          </w:r>
          <w:r>
            <w:fldChar w:fldCharType="end"/>
          </w:r>
          <w:r>
            <w:fldChar w:fldCharType="end"/>
          </w:r>
        </w:p>
        <w:p w14:paraId="08D55DE9">
          <w:pPr>
            <w:pStyle w:val="11"/>
            <w:tabs>
              <w:tab w:val="left" w:pos="1680"/>
              <w:tab w:val="right" w:leader="dot" w:pos="8296"/>
            </w:tabs>
            <w:ind w:left="960"/>
            <w:rPr>
              <w:rFonts w:eastAsiaTheme="minorEastAsia"/>
              <w:sz w:val="21"/>
              <w:szCs w:val="22"/>
            </w:rPr>
          </w:pPr>
          <w:r>
            <w:fldChar w:fldCharType="begin"/>
          </w:r>
          <w:r>
            <w:instrText xml:space="preserve"> HYPERLINK \l "_Toc181276516" </w:instrText>
          </w:r>
          <w:r>
            <w:fldChar w:fldCharType="separate"/>
          </w:r>
          <w:r>
            <w:rPr>
              <w:rStyle w:val="20"/>
            </w:rPr>
            <w:t>2.4.1.</w:t>
          </w:r>
          <w:r>
            <w:rPr>
              <w:rFonts w:eastAsiaTheme="minorEastAsia"/>
              <w:sz w:val="21"/>
              <w:szCs w:val="22"/>
            </w:rPr>
            <w:tab/>
          </w:r>
          <w:r>
            <w:rPr>
              <w:rStyle w:val="20"/>
            </w:rPr>
            <w:t>待办</w:t>
          </w:r>
          <w:r>
            <w:tab/>
          </w:r>
          <w:r>
            <w:fldChar w:fldCharType="begin"/>
          </w:r>
          <w:r>
            <w:instrText xml:space="preserve"> PAGEREF _Toc181276516 \h </w:instrText>
          </w:r>
          <w:r>
            <w:fldChar w:fldCharType="separate"/>
          </w:r>
          <w:r>
            <w:t>20</w:t>
          </w:r>
          <w:r>
            <w:fldChar w:fldCharType="end"/>
          </w:r>
          <w:r>
            <w:fldChar w:fldCharType="end"/>
          </w:r>
        </w:p>
        <w:p w14:paraId="080A3777">
          <w:pPr>
            <w:pStyle w:val="11"/>
            <w:tabs>
              <w:tab w:val="left" w:pos="1680"/>
              <w:tab w:val="right" w:leader="dot" w:pos="8296"/>
            </w:tabs>
            <w:ind w:left="960"/>
            <w:rPr>
              <w:rFonts w:eastAsiaTheme="minorEastAsia"/>
              <w:sz w:val="21"/>
              <w:szCs w:val="22"/>
            </w:rPr>
          </w:pPr>
          <w:r>
            <w:fldChar w:fldCharType="begin"/>
          </w:r>
          <w:r>
            <w:instrText xml:space="preserve"> HYPERLINK \l "_Toc181276517" </w:instrText>
          </w:r>
          <w:r>
            <w:fldChar w:fldCharType="separate"/>
          </w:r>
          <w:r>
            <w:rPr>
              <w:rStyle w:val="20"/>
            </w:rPr>
            <w:t>2.4.2.</w:t>
          </w:r>
          <w:r>
            <w:rPr>
              <w:rFonts w:eastAsiaTheme="minorEastAsia"/>
              <w:sz w:val="21"/>
              <w:szCs w:val="22"/>
            </w:rPr>
            <w:tab/>
          </w:r>
          <w:r>
            <w:rPr>
              <w:rStyle w:val="20"/>
            </w:rPr>
            <w:t>已办</w:t>
          </w:r>
          <w:r>
            <w:tab/>
          </w:r>
          <w:r>
            <w:fldChar w:fldCharType="begin"/>
          </w:r>
          <w:r>
            <w:instrText xml:space="preserve"> PAGEREF _Toc181276517 \h </w:instrText>
          </w:r>
          <w:r>
            <w:fldChar w:fldCharType="separate"/>
          </w:r>
          <w:r>
            <w:t>22</w:t>
          </w:r>
          <w:r>
            <w:fldChar w:fldCharType="end"/>
          </w:r>
          <w:r>
            <w:fldChar w:fldCharType="end"/>
          </w:r>
        </w:p>
        <w:p w14:paraId="325335D0">
          <w:pPr>
            <w:pStyle w:val="15"/>
            <w:tabs>
              <w:tab w:val="left" w:pos="1050"/>
              <w:tab w:val="right" w:leader="dot" w:pos="8296"/>
            </w:tabs>
            <w:ind w:left="480"/>
            <w:rPr>
              <w:rFonts w:eastAsiaTheme="minorEastAsia"/>
              <w:sz w:val="21"/>
              <w:szCs w:val="22"/>
            </w:rPr>
          </w:pPr>
          <w:r>
            <w:fldChar w:fldCharType="begin"/>
          </w:r>
          <w:r>
            <w:instrText xml:space="preserve"> HYPERLINK \l "_Toc181276518" </w:instrText>
          </w:r>
          <w:r>
            <w:fldChar w:fldCharType="separate"/>
          </w:r>
          <w:r>
            <w:rPr>
              <w:rStyle w:val="20"/>
            </w:rPr>
            <w:t>2.5.</w:t>
          </w:r>
          <w:r>
            <w:rPr>
              <w:rFonts w:eastAsiaTheme="minorEastAsia"/>
              <w:sz w:val="21"/>
              <w:szCs w:val="22"/>
            </w:rPr>
            <w:tab/>
          </w:r>
          <w:r>
            <w:rPr>
              <w:rStyle w:val="20"/>
            </w:rPr>
            <w:t>示范项目</w:t>
          </w:r>
          <w:r>
            <w:tab/>
          </w:r>
          <w:r>
            <w:fldChar w:fldCharType="begin"/>
          </w:r>
          <w:r>
            <w:instrText xml:space="preserve"> PAGEREF _Toc181276518 \h </w:instrText>
          </w:r>
          <w:r>
            <w:fldChar w:fldCharType="separate"/>
          </w:r>
          <w:r>
            <w:t>23</w:t>
          </w:r>
          <w:r>
            <w:fldChar w:fldCharType="end"/>
          </w:r>
          <w:r>
            <w:fldChar w:fldCharType="end"/>
          </w:r>
        </w:p>
        <w:p w14:paraId="404190BD">
          <w:pPr>
            <w:pStyle w:val="11"/>
            <w:tabs>
              <w:tab w:val="left" w:pos="1680"/>
              <w:tab w:val="right" w:leader="dot" w:pos="8296"/>
            </w:tabs>
            <w:ind w:left="960"/>
            <w:rPr>
              <w:rFonts w:eastAsiaTheme="minorEastAsia"/>
              <w:sz w:val="21"/>
              <w:szCs w:val="22"/>
            </w:rPr>
          </w:pPr>
          <w:r>
            <w:fldChar w:fldCharType="begin"/>
          </w:r>
          <w:r>
            <w:instrText xml:space="preserve"> HYPERLINK \l "_Toc181276519" </w:instrText>
          </w:r>
          <w:r>
            <w:fldChar w:fldCharType="separate"/>
          </w:r>
          <w:r>
            <w:rPr>
              <w:rStyle w:val="20"/>
            </w:rPr>
            <w:t>2.5.1.</w:t>
          </w:r>
          <w:r>
            <w:rPr>
              <w:rFonts w:eastAsiaTheme="minorEastAsia"/>
              <w:sz w:val="21"/>
              <w:szCs w:val="22"/>
            </w:rPr>
            <w:tab/>
          </w:r>
          <w:r>
            <w:rPr>
              <w:rStyle w:val="20"/>
            </w:rPr>
            <w:t>示范工程</w:t>
          </w:r>
          <w:r>
            <w:tab/>
          </w:r>
          <w:r>
            <w:fldChar w:fldCharType="begin"/>
          </w:r>
          <w:r>
            <w:instrText xml:space="preserve"> PAGEREF _Toc181276519 \h </w:instrText>
          </w:r>
          <w:r>
            <w:fldChar w:fldCharType="separate"/>
          </w:r>
          <w:r>
            <w:t>23</w:t>
          </w:r>
          <w:r>
            <w:fldChar w:fldCharType="end"/>
          </w:r>
          <w:r>
            <w:fldChar w:fldCharType="end"/>
          </w:r>
        </w:p>
        <w:p w14:paraId="01CBE18A">
          <w:pPr>
            <w:pStyle w:val="15"/>
            <w:tabs>
              <w:tab w:val="left" w:pos="1050"/>
              <w:tab w:val="right" w:leader="dot" w:pos="8296"/>
            </w:tabs>
            <w:ind w:left="480"/>
            <w:rPr>
              <w:rFonts w:eastAsiaTheme="minorEastAsia"/>
              <w:sz w:val="21"/>
              <w:szCs w:val="22"/>
            </w:rPr>
          </w:pPr>
          <w:r>
            <w:fldChar w:fldCharType="begin"/>
          </w:r>
          <w:r>
            <w:instrText xml:space="preserve"> HYPERLINK \l "_Toc181276520" </w:instrText>
          </w:r>
          <w:r>
            <w:fldChar w:fldCharType="separate"/>
          </w:r>
          <w:r>
            <w:rPr>
              <w:rStyle w:val="20"/>
            </w:rPr>
            <w:t>2.6.</w:t>
          </w:r>
          <w:r>
            <w:rPr>
              <w:rFonts w:eastAsiaTheme="minorEastAsia"/>
              <w:sz w:val="21"/>
              <w:szCs w:val="22"/>
            </w:rPr>
            <w:tab/>
          </w:r>
          <w:r>
            <w:rPr>
              <w:rStyle w:val="20"/>
            </w:rPr>
            <w:t>建材信息查阅</w:t>
          </w:r>
          <w:r>
            <w:tab/>
          </w:r>
          <w:r>
            <w:fldChar w:fldCharType="begin"/>
          </w:r>
          <w:r>
            <w:instrText xml:space="preserve"> PAGEREF _Toc181276520 \h </w:instrText>
          </w:r>
          <w:r>
            <w:fldChar w:fldCharType="separate"/>
          </w:r>
          <w:r>
            <w:t>26</w:t>
          </w:r>
          <w:r>
            <w:fldChar w:fldCharType="end"/>
          </w:r>
          <w:r>
            <w:fldChar w:fldCharType="end"/>
          </w:r>
        </w:p>
        <w:p w14:paraId="6486BA37">
          <w:pPr>
            <w:pStyle w:val="14"/>
            <w:rPr>
              <w:rFonts w:ascii="黑体" w:hAnsi="黑体" w:cs="黑体"/>
              <w:b/>
              <w:bCs/>
              <w:sz w:val="32"/>
              <w:szCs w:val="32"/>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14:paraId="29FF2449">
      <w:pPr>
        <w:pStyle w:val="2"/>
      </w:pPr>
      <w:bookmarkStart w:id="0" w:name="_Toc181276506"/>
      <w:r>
        <w:rPr>
          <w:rFonts w:hint="eastAsia"/>
        </w:rPr>
        <w:t>系统登录</w:t>
      </w:r>
      <w:bookmarkEnd w:id="0"/>
    </w:p>
    <w:p w14:paraId="2D3E0388">
      <w:pPr>
        <w:ind w:firstLine="560" w:firstLineChars="200"/>
        <w:rPr>
          <w:rFonts w:ascii="宋体" w:hAnsi="宋体"/>
          <w:sz w:val="28"/>
          <w:szCs w:val="28"/>
        </w:rPr>
      </w:pPr>
      <w:r>
        <w:rPr>
          <w:rFonts w:hint="eastAsia" w:ascii="宋体" w:hAnsi="宋体"/>
          <w:color w:val="000000"/>
          <w:sz w:val="28"/>
          <w:szCs w:val="28"/>
        </w:rPr>
        <w:t>第一步：输入地址：http</w:t>
      </w:r>
      <w:r>
        <w:rPr>
          <w:rFonts w:ascii="宋体" w:hAnsi="宋体"/>
          <w:color w:val="000000"/>
          <w:sz w:val="28"/>
          <w:szCs w:val="28"/>
        </w:rPr>
        <w:t>://zjw.beijing.gov.</w:t>
      </w:r>
      <w:r>
        <w:rPr>
          <w:rFonts w:hint="eastAsia" w:ascii="宋体" w:hAnsi="宋体"/>
          <w:color w:val="000000"/>
          <w:sz w:val="28"/>
          <w:szCs w:val="28"/>
        </w:rPr>
        <w:t>c</w:t>
      </w:r>
      <w:r>
        <w:rPr>
          <w:rFonts w:ascii="宋体" w:hAnsi="宋体"/>
          <w:color w:val="000000"/>
          <w:sz w:val="28"/>
          <w:szCs w:val="28"/>
        </w:rPr>
        <w:t>n/</w:t>
      </w:r>
      <w:r>
        <w:rPr>
          <w:rFonts w:hint="eastAsia" w:ascii="宋体" w:hAnsi="宋体"/>
          <w:color w:val="000000"/>
          <w:sz w:val="28"/>
          <w:szCs w:val="28"/>
        </w:rPr>
        <w:t>，打开北京市住房和城乡建设委员会办事大厅页面，点击办事大厅系统，在企业登录页面点击“确认”按钮</w:t>
      </w:r>
      <w:r>
        <w:rPr>
          <w:rFonts w:hint="eastAsia" w:ascii="宋体" w:hAnsi="宋体"/>
          <w:sz w:val="28"/>
          <w:szCs w:val="28"/>
        </w:rPr>
        <w:t>显示首都之窗北京市统一身份认证平台登录页面，注册过首都之窗北京市统一身份认证平台账号的用户可使用正确的用户名、密码以及验证码进行登录，进入业务申报页面，未注册过首都之窗北京市统一身份认证平台账号的用户，需要在首都之窗北京市统一身份认证平台进行注册，注册后进行登录。</w:t>
      </w:r>
    </w:p>
    <w:p w14:paraId="3D0CE2AC">
      <w:pPr>
        <w:jc w:val="center"/>
      </w:pPr>
      <w:r>
        <w:drawing>
          <wp:inline distT="0" distB="0" distL="114300" distR="114300">
            <wp:extent cx="5043805" cy="2712720"/>
            <wp:effectExtent l="0" t="0" r="444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043805" cy="2712720"/>
                    </a:xfrm>
                    <a:prstGeom prst="rect">
                      <a:avLst/>
                    </a:prstGeom>
                    <a:noFill/>
                    <a:ln>
                      <a:noFill/>
                    </a:ln>
                  </pic:spPr>
                </pic:pic>
              </a:graphicData>
            </a:graphic>
          </wp:inline>
        </w:drawing>
      </w:r>
    </w:p>
    <w:p w14:paraId="57AC1588">
      <w:pPr>
        <w:jc w:val="center"/>
      </w:pPr>
      <w:r>
        <w:drawing>
          <wp:inline distT="0" distB="0" distL="114300" distR="114300">
            <wp:extent cx="4552315" cy="3577590"/>
            <wp:effectExtent l="0" t="0" r="63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4552315" cy="3577590"/>
                    </a:xfrm>
                    <a:prstGeom prst="rect">
                      <a:avLst/>
                    </a:prstGeom>
                    <a:noFill/>
                    <a:ln>
                      <a:noFill/>
                    </a:ln>
                  </pic:spPr>
                </pic:pic>
              </a:graphicData>
            </a:graphic>
          </wp:inline>
        </w:drawing>
      </w:r>
    </w:p>
    <w:p w14:paraId="1DB041AB">
      <w:pPr>
        <w:jc w:val="center"/>
        <w:rPr>
          <w:rFonts w:ascii="宋体" w:hAnsi="宋体"/>
          <w:sz w:val="28"/>
          <w:szCs w:val="28"/>
        </w:rPr>
      </w:pPr>
      <w:r>
        <w:rPr>
          <w:rFonts w:ascii="宋体" w:hAnsi="宋体"/>
          <w:sz w:val="28"/>
          <w:szCs w:val="28"/>
        </w:rPr>
        <w:drawing>
          <wp:inline distT="0" distB="0" distL="114300" distR="114300">
            <wp:extent cx="5264785" cy="2595245"/>
            <wp:effectExtent l="0" t="0" r="1206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4785" cy="2595245"/>
                    </a:xfrm>
                    <a:prstGeom prst="rect">
                      <a:avLst/>
                    </a:prstGeom>
                    <a:noFill/>
                    <a:ln>
                      <a:noFill/>
                    </a:ln>
                  </pic:spPr>
                </pic:pic>
              </a:graphicData>
            </a:graphic>
          </wp:inline>
        </w:drawing>
      </w:r>
    </w:p>
    <w:p w14:paraId="5C61D51E">
      <w:pPr>
        <w:ind w:firstLine="480"/>
        <w:rPr>
          <w:rFonts w:ascii="宋体" w:hAnsi="宋体"/>
          <w:color w:val="000000"/>
          <w:sz w:val="28"/>
          <w:szCs w:val="28"/>
        </w:rPr>
      </w:pPr>
      <w:r>
        <w:rPr>
          <w:rFonts w:hint="eastAsia" w:ascii="宋体" w:hAnsi="宋体"/>
          <w:color w:val="000000"/>
          <w:sz w:val="28"/>
          <w:szCs w:val="28"/>
        </w:rPr>
        <w:t>第二步：登录后进入业务申报页面后，点击“(393)北京市装配式建筑项目管理服务平台”链接，进入主导航页面再点击“(2)北京市装配式建筑项目综合管理服务平台（试运行）”链接即可进入北京市装配式建筑项目综合管理服务平台办理页面。</w:t>
      </w:r>
    </w:p>
    <w:p w14:paraId="13C00228">
      <w:r>
        <w:drawing>
          <wp:inline distT="0" distB="0" distL="114300" distR="114300">
            <wp:extent cx="5267960" cy="2254885"/>
            <wp:effectExtent l="0" t="0" r="889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67960" cy="2254885"/>
                    </a:xfrm>
                    <a:prstGeom prst="rect">
                      <a:avLst/>
                    </a:prstGeom>
                    <a:noFill/>
                    <a:ln>
                      <a:noFill/>
                    </a:ln>
                  </pic:spPr>
                </pic:pic>
              </a:graphicData>
            </a:graphic>
          </wp:inline>
        </w:drawing>
      </w:r>
    </w:p>
    <w:p w14:paraId="396FC50A">
      <w:r>
        <w:drawing>
          <wp:inline distT="0" distB="0" distL="114300" distR="114300">
            <wp:extent cx="5260340" cy="2004695"/>
            <wp:effectExtent l="0" t="0" r="16510"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60340" cy="2004695"/>
                    </a:xfrm>
                    <a:prstGeom prst="rect">
                      <a:avLst/>
                    </a:prstGeom>
                    <a:noFill/>
                    <a:ln>
                      <a:noFill/>
                    </a:ln>
                  </pic:spPr>
                </pic:pic>
              </a:graphicData>
            </a:graphic>
          </wp:inline>
        </w:drawing>
      </w:r>
    </w:p>
    <w:p w14:paraId="20A4C76D">
      <w:pPr>
        <w:pStyle w:val="2"/>
      </w:pPr>
      <w:bookmarkStart w:id="1" w:name="_Toc181276507"/>
      <w:r>
        <w:rPr>
          <w:rFonts w:hint="eastAsia"/>
        </w:rPr>
        <w:t>企业端操作说明</w:t>
      </w:r>
      <w:bookmarkEnd w:id="1"/>
    </w:p>
    <w:p w14:paraId="7F6B538A">
      <w:pPr>
        <w:ind w:firstLine="480" w:firstLineChars="200"/>
      </w:pPr>
      <w:r>
        <w:rPr>
          <w:rFonts w:hint="eastAsia" w:ascii="宋体" w:hAnsi="宋体"/>
        </w:rPr>
        <w:t>企业用户可在线申报“实施技术方案评审”、“施工组织设计评审”、“装配式财政奖励申报”、“装配式技术申报”，此外平台还可实现随机抽选专家、展示装配式建筑相关政策等功能，方便装配式建筑企业办理业务、了解政策。</w:t>
      </w:r>
    </w:p>
    <w:p w14:paraId="64AD619F">
      <w:pPr>
        <w:pStyle w:val="3"/>
      </w:pPr>
      <w:bookmarkStart w:id="2" w:name="_Toc181276508"/>
      <w:r>
        <w:rPr>
          <w:rFonts w:hint="eastAsia"/>
        </w:rPr>
        <w:t>首页</w:t>
      </w:r>
      <w:bookmarkEnd w:id="2"/>
    </w:p>
    <w:p w14:paraId="5F3DF899">
      <w:pPr>
        <w:ind w:firstLine="480" w:firstLineChars="200"/>
      </w:pPr>
      <w:r>
        <w:rPr>
          <w:rFonts w:hint="eastAsia"/>
        </w:rPr>
        <w:t>可查看操作指引、政策文件、资料下载、技术支持。政策文件栏目可查看装配式建筑相关的政策文件信息，资料下载栏目可下载系统操作手册等相关资料。</w:t>
      </w:r>
    </w:p>
    <w:p w14:paraId="35F8B6E8">
      <w:r>
        <w:drawing>
          <wp:inline distT="0" distB="0" distL="114300" distR="114300">
            <wp:extent cx="5257800" cy="2009140"/>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57800" cy="2009140"/>
                    </a:xfrm>
                    <a:prstGeom prst="rect">
                      <a:avLst/>
                    </a:prstGeom>
                    <a:noFill/>
                    <a:ln>
                      <a:noFill/>
                    </a:ln>
                  </pic:spPr>
                </pic:pic>
              </a:graphicData>
            </a:graphic>
          </wp:inline>
        </w:drawing>
      </w:r>
    </w:p>
    <w:p w14:paraId="12D61293">
      <w:pPr>
        <w:pStyle w:val="3"/>
      </w:pPr>
      <w:bookmarkStart w:id="3" w:name="_Toc181276509"/>
      <w:r>
        <w:rPr>
          <w:rFonts w:hint="eastAsia"/>
        </w:rPr>
        <w:t>项目评审</w:t>
      </w:r>
      <w:bookmarkEnd w:id="3"/>
    </w:p>
    <w:p w14:paraId="3B8435E0">
      <w:pPr>
        <w:pStyle w:val="21"/>
        <w:snapToGrid w:val="0"/>
        <w:ind w:left="0" w:firstLine="480"/>
      </w:pPr>
      <w:r>
        <w:rPr>
          <w:rFonts w:hint="eastAsia" w:ascii="宋体" w:hAnsi="宋体"/>
        </w:rPr>
        <w:t>建设单位申请“实施技术方案评审”，施工单位或总承包单位申请“施工组织设计评审”</w:t>
      </w:r>
      <w:r>
        <w:rPr>
          <w:rFonts w:hint="eastAsia"/>
        </w:rPr>
        <w:t>（表1）</w:t>
      </w:r>
      <w:r>
        <w:rPr>
          <w:rFonts w:hint="eastAsia" w:ascii="宋体" w:hAnsi="宋体"/>
        </w:rPr>
        <w:t>。</w:t>
      </w:r>
      <w:r>
        <w:rPr>
          <w:rFonts w:hint="eastAsia"/>
          <w:b/>
          <w:color w:val="C55A11" w:themeColor="accent2" w:themeShade="BF"/>
        </w:rPr>
        <w:t>评审具体要求，请参照表1中相应政策执行</w:t>
      </w:r>
      <w:r>
        <w:rPr>
          <w:rFonts w:hint="eastAsia"/>
        </w:rPr>
        <w:t>（如企业用户不了解相应政策，可在“首页-&gt;政策文件”模块查询和下载）。两类评审的流程基本类似（图：项目评审流程），仅要填写的项目信息表不同。</w:t>
      </w:r>
    </w:p>
    <w:p w14:paraId="7308DE9B">
      <w:pPr>
        <w:pStyle w:val="16"/>
        <w:spacing w:beforeAutospacing="0" w:afterAutospacing="0"/>
        <w:jc w:val="center"/>
      </w:pPr>
      <w:r>
        <w:rPr>
          <w:rFonts w:hint="eastAsia"/>
        </w:rPr>
        <w:t>表1  普通项目评审分类</w:t>
      </w:r>
    </w:p>
    <w:tbl>
      <w:tblPr>
        <w:tblStyle w:val="18"/>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1275"/>
        <w:gridCol w:w="4555"/>
      </w:tblGrid>
      <w:tr w14:paraId="18AC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452" w:type="dxa"/>
            <w:vAlign w:val="center"/>
          </w:tcPr>
          <w:p w14:paraId="6D62170E">
            <w:pPr>
              <w:pStyle w:val="16"/>
              <w:spacing w:beforeAutospacing="0" w:afterAutospacing="0"/>
              <w:jc w:val="center"/>
              <w:rPr>
                <w:rFonts w:cs="Arial"/>
              </w:rPr>
            </w:pPr>
            <w:r>
              <w:rPr>
                <w:rFonts w:hint="eastAsia" w:cs="Arial"/>
                <w:kern w:val="24"/>
              </w:rPr>
              <w:t>业务分类</w:t>
            </w:r>
          </w:p>
        </w:tc>
        <w:tc>
          <w:tcPr>
            <w:tcW w:w="1275" w:type="dxa"/>
            <w:vAlign w:val="center"/>
          </w:tcPr>
          <w:p w14:paraId="0C034C6E">
            <w:pPr>
              <w:pStyle w:val="16"/>
              <w:spacing w:beforeAutospacing="0" w:afterAutospacing="0"/>
              <w:jc w:val="center"/>
              <w:rPr>
                <w:rFonts w:cs="Arial"/>
              </w:rPr>
            </w:pPr>
            <w:r>
              <w:rPr>
                <w:rFonts w:hint="eastAsia" w:cs="Arial"/>
                <w:kern w:val="24"/>
              </w:rPr>
              <w:t>办理主体</w:t>
            </w:r>
          </w:p>
        </w:tc>
        <w:tc>
          <w:tcPr>
            <w:tcW w:w="4555" w:type="dxa"/>
            <w:vAlign w:val="center"/>
          </w:tcPr>
          <w:p w14:paraId="4630C085">
            <w:pPr>
              <w:pStyle w:val="16"/>
              <w:spacing w:beforeAutospacing="0" w:afterAutospacing="0"/>
              <w:jc w:val="center"/>
              <w:rPr>
                <w:rFonts w:cs="Arial"/>
              </w:rPr>
            </w:pPr>
            <w:r>
              <w:rPr>
                <w:rFonts w:hint="eastAsia" w:cs="Arial"/>
                <w:kern w:val="24"/>
              </w:rPr>
              <w:t>政策依据</w:t>
            </w:r>
          </w:p>
        </w:tc>
      </w:tr>
      <w:tr w14:paraId="121C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525E3324">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实施技术方案评审</w:t>
            </w:r>
          </w:p>
        </w:tc>
        <w:tc>
          <w:tcPr>
            <w:tcW w:w="1275" w:type="dxa"/>
            <w:vAlign w:val="center"/>
          </w:tcPr>
          <w:p w14:paraId="6E45D12C">
            <w:pPr>
              <w:pStyle w:val="16"/>
              <w:spacing w:beforeAutospacing="0" w:afterAutospacing="0" w:line="360" w:lineRule="exact"/>
              <w:jc w:val="center"/>
              <w:rPr>
                <w:rFonts w:cs="Arial"/>
                <w:b/>
                <w:sz w:val="21"/>
                <w:szCs w:val="21"/>
              </w:rPr>
            </w:pPr>
            <w:r>
              <w:rPr>
                <w:rFonts w:hint="eastAsia" w:cs="Arial"/>
                <w:b/>
                <w:color w:val="C55A11" w:themeColor="accent2" w:themeShade="BF"/>
                <w:kern w:val="24"/>
                <w:sz w:val="21"/>
                <w:szCs w:val="21"/>
              </w:rPr>
              <w:t>建设单位</w:t>
            </w:r>
          </w:p>
        </w:tc>
        <w:tc>
          <w:tcPr>
            <w:tcW w:w="4555" w:type="dxa"/>
            <w:vAlign w:val="center"/>
          </w:tcPr>
          <w:p w14:paraId="1F82C453">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关于印发《北京市装配式建筑项目设计管理办法》的通知（市规划国土发〔2017〕407号）</w:t>
            </w:r>
          </w:p>
        </w:tc>
      </w:tr>
      <w:tr w14:paraId="1810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76022AC3">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施工组织设计评审</w:t>
            </w:r>
          </w:p>
        </w:tc>
        <w:tc>
          <w:tcPr>
            <w:tcW w:w="1275" w:type="dxa"/>
            <w:vAlign w:val="center"/>
          </w:tcPr>
          <w:p w14:paraId="48F7ABA5">
            <w:pPr>
              <w:pStyle w:val="16"/>
              <w:spacing w:beforeAutospacing="0" w:afterAutospacing="0" w:line="360" w:lineRule="exact"/>
              <w:jc w:val="center"/>
              <w:rPr>
                <w:rFonts w:cs="Arial"/>
                <w:b/>
                <w:color w:val="C55A11" w:themeColor="accent2" w:themeShade="BF"/>
                <w:kern w:val="24"/>
                <w:sz w:val="21"/>
                <w:szCs w:val="21"/>
              </w:rPr>
            </w:pPr>
            <w:r>
              <w:rPr>
                <w:rFonts w:hint="eastAsia" w:cs="Arial"/>
                <w:b/>
                <w:color w:val="C55A11" w:themeColor="accent2" w:themeShade="BF"/>
                <w:kern w:val="24"/>
                <w:sz w:val="21"/>
                <w:szCs w:val="21"/>
              </w:rPr>
              <w:t>施工单位</w:t>
            </w:r>
          </w:p>
          <w:p w14:paraId="3AE7E9AD">
            <w:pPr>
              <w:pStyle w:val="16"/>
              <w:spacing w:beforeAutospacing="0" w:afterAutospacing="0" w:line="360" w:lineRule="exact"/>
              <w:jc w:val="center"/>
              <w:rPr>
                <w:rFonts w:cs="Arial"/>
                <w:b/>
                <w:sz w:val="13"/>
                <w:szCs w:val="13"/>
              </w:rPr>
            </w:pPr>
            <w:r>
              <w:rPr>
                <w:rFonts w:hint="eastAsia" w:cs="Arial"/>
                <w:b/>
                <w:color w:val="C55A11" w:themeColor="accent2" w:themeShade="BF"/>
                <w:kern w:val="24"/>
                <w:sz w:val="13"/>
                <w:szCs w:val="13"/>
              </w:rPr>
              <w:t>（或总承包单位）</w:t>
            </w:r>
          </w:p>
        </w:tc>
        <w:tc>
          <w:tcPr>
            <w:tcW w:w="4555" w:type="dxa"/>
            <w:vAlign w:val="center"/>
          </w:tcPr>
          <w:p w14:paraId="7AFD2C25">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《关于加强装配式混凝土建筑工程设计施工质量全过程管控的通知》（京建法〔2018〕6号）</w:t>
            </w:r>
          </w:p>
        </w:tc>
      </w:tr>
    </w:tbl>
    <w:p w14:paraId="09C7B6C1">
      <w:pPr>
        <w:pStyle w:val="21"/>
        <w:snapToGrid w:val="0"/>
        <w:ind w:left="0" w:firstLine="0" w:firstLineChars="0"/>
      </w:pPr>
    </w:p>
    <w:p w14:paraId="0381ACE4">
      <w:pPr>
        <w:pStyle w:val="21"/>
        <w:snapToGrid w:val="0"/>
        <w:ind w:left="0" w:firstLine="0" w:firstLineChars="0"/>
      </w:pPr>
      <w:r>
        <w:object>
          <v:shape id="_x0000_i1025" o:spt="75" type="#_x0000_t75" style="height:85.3pt;width:415.0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23E98B98">
      <w:pPr>
        <w:pStyle w:val="21"/>
        <w:snapToGrid w:val="0"/>
        <w:ind w:firstLineChars="0"/>
        <w:jc w:val="center"/>
      </w:pPr>
      <w:r>
        <w:rPr>
          <w:rFonts w:hint="eastAsia"/>
        </w:rPr>
        <w:t>图：项目评审流程</w:t>
      </w:r>
    </w:p>
    <w:p w14:paraId="17D29BE9"/>
    <w:p w14:paraId="453E8747">
      <w:pPr>
        <w:pStyle w:val="4"/>
      </w:pPr>
      <w:bookmarkStart w:id="4" w:name="_Toc181276510"/>
      <w:r>
        <w:rPr>
          <w:rFonts w:hint="eastAsia"/>
        </w:rPr>
        <w:t>实施技术方案评审</w:t>
      </w:r>
      <w:bookmarkEnd w:id="4"/>
    </w:p>
    <w:p w14:paraId="34B0477E">
      <w:pPr>
        <w:pStyle w:val="5"/>
      </w:pPr>
      <w:r>
        <w:rPr>
          <w:rFonts w:hint="eastAsia"/>
        </w:rPr>
        <w:t>填写项目信息</w:t>
      </w:r>
    </w:p>
    <w:p w14:paraId="52E56D92">
      <w:pPr>
        <w:pStyle w:val="22"/>
        <w:numPr>
          <w:ilvl w:val="0"/>
          <w:numId w:val="2"/>
        </w:numPr>
        <w:ind w:firstLineChars="0"/>
      </w:pPr>
      <w:r>
        <w:rPr>
          <w:rFonts w:hint="eastAsia"/>
          <w:b/>
        </w:rPr>
        <w:t>新增项目：</w:t>
      </w:r>
      <w:r>
        <w:rPr>
          <w:rFonts w:hint="eastAsia"/>
        </w:rPr>
        <w:t>点击“新增项目”按钮，选择企业类型，打开申报信息页面。</w:t>
      </w:r>
    </w:p>
    <w:p w14:paraId="26AA7BC5">
      <w:r>
        <w:drawing>
          <wp:inline distT="0" distB="0" distL="114300" distR="114300">
            <wp:extent cx="5271770" cy="1590675"/>
            <wp:effectExtent l="0" t="0" r="508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1770" cy="1590675"/>
                    </a:xfrm>
                    <a:prstGeom prst="rect">
                      <a:avLst/>
                    </a:prstGeom>
                    <a:noFill/>
                    <a:ln>
                      <a:noFill/>
                    </a:ln>
                  </pic:spPr>
                </pic:pic>
              </a:graphicData>
            </a:graphic>
          </wp:inline>
        </w:drawing>
      </w:r>
    </w:p>
    <w:p w14:paraId="120BA799">
      <w:pPr>
        <w:pStyle w:val="22"/>
        <w:numPr>
          <w:ilvl w:val="0"/>
          <w:numId w:val="2"/>
        </w:numPr>
        <w:ind w:firstLineChars="0"/>
      </w:pPr>
      <w:r>
        <w:rPr>
          <w:rFonts w:hint="eastAsia"/>
          <w:b/>
        </w:rPr>
        <w:t>填写评审申请表信息：</w:t>
      </w:r>
      <w:r>
        <w:rPr>
          <w:rFonts w:hint="eastAsia"/>
        </w:rPr>
        <w:t>包含</w:t>
      </w:r>
      <w:r>
        <w:t>建设单位信息</w:t>
      </w:r>
      <w:r>
        <w:rPr>
          <w:rFonts w:hint="eastAsia"/>
        </w:rPr>
        <w:t>、</w:t>
      </w:r>
      <w:r>
        <w:t>项目基本信息</w:t>
      </w:r>
      <w:r>
        <w:rPr>
          <w:rFonts w:hint="eastAsia"/>
        </w:rPr>
        <w:t>、</w:t>
      </w:r>
      <w:r>
        <w:t>规划条件（选址意见书）</w:t>
      </w:r>
      <w:r>
        <w:rPr>
          <w:rFonts w:hint="eastAsia"/>
        </w:rPr>
        <w:t>、</w:t>
      </w:r>
      <w:r>
        <w:t>执行标准</w:t>
      </w:r>
      <w:r>
        <w:rPr>
          <w:rFonts w:hint="eastAsia"/>
        </w:rPr>
        <w:t>、</w:t>
      </w:r>
      <w:r>
        <w:t>设计单位</w:t>
      </w:r>
      <w:r>
        <w:rPr>
          <w:rFonts w:hint="eastAsia"/>
        </w:rPr>
        <w:t>，填写完成后点击“保存”。</w:t>
      </w:r>
    </w:p>
    <w:p w14:paraId="39B7DAAE">
      <w:r>
        <w:drawing>
          <wp:inline distT="0" distB="0" distL="114300" distR="114300">
            <wp:extent cx="5264785" cy="2266315"/>
            <wp:effectExtent l="0" t="0" r="1206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264785" cy="2266315"/>
                    </a:xfrm>
                    <a:prstGeom prst="rect">
                      <a:avLst/>
                    </a:prstGeom>
                    <a:noFill/>
                    <a:ln>
                      <a:noFill/>
                    </a:ln>
                  </pic:spPr>
                </pic:pic>
              </a:graphicData>
            </a:graphic>
          </wp:inline>
        </w:drawing>
      </w:r>
    </w:p>
    <w:p w14:paraId="7AE59068">
      <w:pPr>
        <w:pStyle w:val="22"/>
        <w:numPr>
          <w:ilvl w:val="0"/>
          <w:numId w:val="2"/>
        </w:numPr>
        <w:ind w:firstLineChars="0"/>
      </w:pPr>
      <w:r>
        <w:rPr>
          <w:rFonts w:hint="eastAsia"/>
          <w:b/>
        </w:rPr>
        <w:t>上传项目资料：</w:t>
      </w:r>
      <w:r>
        <w:rPr>
          <w:rFonts w:hint="eastAsia"/>
        </w:rPr>
        <w:t>可对项目资料进行上传、下载、删除等操作。</w:t>
      </w:r>
    </w:p>
    <w:p w14:paraId="42A73B44">
      <w:pPr>
        <w:rPr>
          <w:b/>
        </w:rPr>
      </w:pPr>
      <w:r>
        <w:drawing>
          <wp:inline distT="0" distB="0" distL="0" distR="0">
            <wp:extent cx="5274310" cy="8985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898525"/>
                    </a:xfrm>
                    <a:prstGeom prst="rect">
                      <a:avLst/>
                    </a:prstGeom>
                  </pic:spPr>
                </pic:pic>
              </a:graphicData>
            </a:graphic>
          </wp:inline>
        </w:drawing>
      </w:r>
    </w:p>
    <w:p w14:paraId="527A0E6C">
      <w:pPr>
        <w:pStyle w:val="5"/>
      </w:pPr>
      <w:r>
        <w:rPr>
          <w:rFonts w:hint="eastAsia"/>
        </w:rPr>
        <w:t>组织会议及选专家</w:t>
      </w:r>
    </w:p>
    <w:p w14:paraId="2B54E586">
      <w:pPr>
        <w:pStyle w:val="22"/>
        <w:numPr>
          <w:ilvl w:val="0"/>
          <w:numId w:val="3"/>
        </w:numPr>
        <w:ind w:firstLineChars="0"/>
        <w:rPr>
          <w:b/>
        </w:rPr>
      </w:pPr>
      <w:r>
        <w:rPr>
          <w:rFonts w:hint="eastAsia"/>
          <w:b/>
        </w:rPr>
        <w:t>填写会议日程安排</w:t>
      </w:r>
    </w:p>
    <w:p w14:paraId="57F4A925">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628BD86C">
      <w:r>
        <w:drawing>
          <wp:inline distT="0" distB="0" distL="114300" distR="114300">
            <wp:extent cx="5271770" cy="1590675"/>
            <wp:effectExtent l="0" t="0" r="508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71770" cy="1590675"/>
                    </a:xfrm>
                    <a:prstGeom prst="rect">
                      <a:avLst/>
                    </a:prstGeom>
                    <a:noFill/>
                    <a:ln>
                      <a:noFill/>
                    </a:ln>
                  </pic:spPr>
                </pic:pic>
              </a:graphicData>
            </a:graphic>
          </wp:inline>
        </w:drawing>
      </w:r>
    </w:p>
    <w:p w14:paraId="52D097ED">
      <w:r>
        <w:drawing>
          <wp:inline distT="0" distB="0" distL="114300" distR="114300">
            <wp:extent cx="5269865" cy="2161540"/>
            <wp:effectExtent l="0" t="0" r="698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735B1AFB">
      <w:pPr>
        <w:pStyle w:val="22"/>
        <w:numPr>
          <w:ilvl w:val="0"/>
          <w:numId w:val="3"/>
        </w:numPr>
        <w:ind w:firstLineChars="0"/>
        <w:rPr>
          <w:b/>
        </w:rPr>
      </w:pPr>
      <w:r>
        <w:rPr>
          <w:rFonts w:hint="eastAsia"/>
          <w:b/>
        </w:rPr>
        <w:t>抽选专家</w:t>
      </w:r>
    </w:p>
    <w:p w14:paraId="561B79B1">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66A12842">
      <w:pPr>
        <w:adjustRightInd w:val="0"/>
        <w:snapToGrid w:val="0"/>
        <w:ind w:firstLine="480" w:firstLineChars="200"/>
        <w:rPr>
          <w:rFonts w:ascii="宋体" w:hAnsi="宋体"/>
          <w:color w:val="FF0000"/>
        </w:rPr>
      </w:pPr>
      <w:r>
        <w:rPr>
          <w:rFonts w:hint="eastAsia" w:ascii="宋体" w:hAnsi="宋体"/>
          <w:color w:val="FF0000"/>
        </w:rPr>
        <w:t>提示：</w:t>
      </w:r>
    </w:p>
    <w:p w14:paraId="6905E854">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5F4D1C24">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5DADFE34">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00673B4A">
      <w:r>
        <w:drawing>
          <wp:inline distT="0" distB="0" distL="0" distR="0">
            <wp:extent cx="5274310" cy="23298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79C66800">
      <w:r>
        <w:drawing>
          <wp:inline distT="0" distB="0" distL="0" distR="0">
            <wp:extent cx="5274310" cy="31578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1678DCAD">
      <w:pPr>
        <w:ind w:left="8160" w:leftChars="3400"/>
      </w:pPr>
      <w:r>
        <w:t xml:space="preserve">                                                                                                                                                                                                                                                                                                                                                                                                                                                                                                                                                                                                                                                                                                                                                                                                                                                                                                                                                                                                                                                                                                                                                                                                                                                                                                                                                                                                                                                                                                                                                                                                                                                                                                                                                                                                                                                                                                                                                                                                                                                                                                                                                                                                                                                                                                                                                                                                                                                                                                                                                                                                                                                                                                                                                                                                                                                                                                                                                                                                                                                                                                                                                                                                                                                                                                                                                                                                                                                                                                                                                                                                                                                                                                                                                                                                                                                                                                                                                                                                                                                                                                                                                                                                                </w:t>
      </w:r>
      <w:r>
        <w:t xml:space="preserve">                                                                                                                                                                                                                                                                                                                                                                                                                                                                                                                                                                                                                                                                                                                                                                                                                                                                                                                                                                                                                                                                                                                                                                                                                                                                                                                                                                                                                                                                                                                                                                                                                                                                                                                                                                                                                                                                                                                                                                                                                                                                                                                                                                                                                                                                                                                                                                                                                                                                                                                                                                                                                                                                                                                                                                                                                                                                                                                                                                                                                                                                                                                                                                                                                                                                                                                                                                                                                                                                                                                                                                                                                                                                                                                                                                                                                                                                                                                                                                                                                                                                                                                                                                                                                </w:t>
      </w:r>
      <w:r>
        <w:t xml:space="preserve">                                                                                                                                                                                                                                                                                                                                                                                                                                                                                                                                                                                                                                                                                                                                                                                                                                                                                                                                                                                                                                                                                                                                                                                               </w:t>
      </w:r>
    </w:p>
    <w:p w14:paraId="4A310F72">
      <w:pPr>
        <w:pStyle w:val="22"/>
        <w:numPr>
          <w:ilvl w:val="0"/>
          <w:numId w:val="3"/>
        </w:numPr>
        <w:ind w:firstLineChars="0"/>
        <w:rPr>
          <w:b/>
        </w:rPr>
      </w:pPr>
      <w:r>
        <w:rPr>
          <w:rFonts w:hint="eastAsia"/>
          <w:b/>
        </w:rPr>
        <w:t xml:space="preserve"> 查看专家回复状态</w:t>
      </w:r>
    </w:p>
    <w:p w14:paraId="68F7BBD3">
      <w:pPr>
        <w:pStyle w:val="22"/>
        <w:ind w:left="420" w:firstLine="0" w:firstLineChars="0"/>
      </w:pPr>
      <w:r>
        <w:rPr>
          <w:rFonts w:hint="eastAsia"/>
        </w:rPr>
        <w:t>在抽取专家列表的回复状态列，可查看专家的回复情况。</w:t>
      </w:r>
    </w:p>
    <w:p w14:paraId="7F8293EC">
      <w:pPr>
        <w:pStyle w:val="22"/>
        <w:numPr>
          <w:ilvl w:val="0"/>
          <w:numId w:val="3"/>
        </w:numPr>
        <w:ind w:firstLineChars="0"/>
        <w:rPr>
          <w:b/>
        </w:rPr>
      </w:pPr>
      <w:r>
        <w:rPr>
          <w:rFonts w:hint="eastAsia"/>
          <w:b/>
        </w:rPr>
        <w:t>下载论证意见表模板</w:t>
      </w:r>
    </w:p>
    <w:p w14:paraId="5E3F07BC">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672FBAD9">
      <w:pPr>
        <w:pStyle w:val="22"/>
        <w:numPr>
          <w:ilvl w:val="0"/>
          <w:numId w:val="3"/>
        </w:numPr>
        <w:ind w:firstLineChars="0"/>
        <w:rPr>
          <w:b/>
        </w:rPr>
      </w:pPr>
      <w:r>
        <w:rPr>
          <w:rFonts w:hint="eastAsia"/>
          <w:b/>
        </w:rPr>
        <w:t>取消会议</w:t>
      </w:r>
    </w:p>
    <w:p w14:paraId="4B63E1D7">
      <w:pPr>
        <w:ind w:firstLine="480" w:firstLineChars="200"/>
      </w:pPr>
      <w:r>
        <w:rPr>
          <w:rFonts w:hint="eastAsia"/>
        </w:rPr>
        <w:t>未开始的会议，在会议日常安排页面，点击“取消会议”按钮即可取消。</w:t>
      </w:r>
    </w:p>
    <w:p w14:paraId="28B51455">
      <w:r>
        <w:drawing>
          <wp:inline distT="0" distB="0" distL="114300" distR="114300">
            <wp:extent cx="5264785" cy="2253615"/>
            <wp:effectExtent l="0" t="0" r="12065"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054A7E85">
      <w:pPr>
        <w:pStyle w:val="5"/>
      </w:pPr>
      <w:r>
        <w:rPr>
          <w:rFonts w:hint="eastAsia"/>
        </w:rPr>
        <w:t>确认会议完成</w:t>
      </w:r>
    </w:p>
    <w:p w14:paraId="3ECA0A59">
      <w:pPr>
        <w:ind w:firstLine="480" w:firstLineChars="200"/>
      </w:pPr>
      <w:r>
        <w:rPr>
          <w:rFonts w:hint="eastAsia"/>
        </w:rPr>
        <w:t>线下组织评审会议，会议结束后，在会议完成情况列点击“确认完成”按钮即完成会议。</w:t>
      </w:r>
    </w:p>
    <w:p w14:paraId="2A0497EC">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.2.1.4</w:t>
      </w:r>
      <w:r>
        <w:rPr>
          <w:rFonts w:hint="eastAsia"/>
          <w:b/>
          <w:bCs/>
          <w:color w:val="FF0000"/>
        </w:rPr>
        <w:t>上传论证意见和办件（专家操作）。</w:t>
      </w:r>
    </w:p>
    <w:p w14:paraId="17E554D6">
      <w:r>
        <w:drawing>
          <wp:inline distT="0" distB="0" distL="114300" distR="114300">
            <wp:extent cx="5271770" cy="1590675"/>
            <wp:effectExtent l="0" t="0" r="508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5271770" cy="1590675"/>
                    </a:xfrm>
                    <a:prstGeom prst="rect">
                      <a:avLst/>
                    </a:prstGeom>
                    <a:noFill/>
                    <a:ln>
                      <a:noFill/>
                    </a:ln>
                  </pic:spPr>
                </pic:pic>
              </a:graphicData>
            </a:graphic>
          </wp:inline>
        </w:drawing>
      </w:r>
    </w:p>
    <w:p w14:paraId="679DD7BF">
      <w:pPr>
        <w:pStyle w:val="5"/>
      </w:pPr>
      <w:r>
        <w:rPr>
          <w:rFonts w:hint="eastAsia"/>
        </w:rPr>
        <w:t>上传论证意见和办结（专家操作）</w:t>
      </w:r>
    </w:p>
    <w:p w14:paraId="1DCCFD92">
      <w:pPr>
        <w:ind w:firstLine="480" w:firstLineChars="200"/>
      </w:pPr>
      <w:r>
        <w:rPr>
          <w:rFonts w:hint="eastAsia"/>
        </w:rPr>
        <w:t>在“上传论证意见”栏目下，选择需要上传的项目，点击操作列“上传论证意见”链接，打开专家论证意见上传页面。</w:t>
      </w:r>
    </w:p>
    <w:p w14:paraId="0F0F200A">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663314CA">
      <w:pPr>
        <w:ind w:firstLine="482" w:firstLineChars="200"/>
      </w:pPr>
      <w:r>
        <w:rPr>
          <w:rFonts w:hint="eastAsia"/>
          <w:b/>
        </w:rPr>
        <w:t>上传专家个人论证意见：</w:t>
      </w:r>
      <w:r>
        <w:rPr>
          <w:rFonts w:hint="eastAsia"/>
        </w:rPr>
        <w:t>专家个人点击自己姓名后的“上传”链接，上传专家个人评审意见。</w:t>
      </w:r>
    </w:p>
    <w:p w14:paraId="31600F66">
      <w:pPr>
        <w:ind w:firstLine="482" w:firstLineChars="200"/>
      </w:pPr>
      <w:r>
        <w:rPr>
          <w:rFonts w:hint="eastAsia"/>
          <w:b/>
        </w:rPr>
        <w:t>上传专家组论证意见：</w:t>
      </w:r>
      <w:r>
        <w:rPr>
          <w:rFonts w:hint="eastAsia"/>
        </w:rPr>
        <w:t>专家组长，在论证结果处，点击“上传”按钮，上传专家组意见。</w:t>
      </w:r>
    </w:p>
    <w:p w14:paraId="467C5AC3">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58BD5F72">
      <w:pPr>
        <w:ind w:firstLine="422" w:firstLineChars="200"/>
        <w:rPr>
          <w:b/>
          <w:color w:val="FF0000"/>
          <w:sz w:val="21"/>
        </w:rPr>
      </w:pPr>
      <w:r>
        <w:rPr>
          <w:rFonts w:hint="eastAsia"/>
          <w:b/>
          <w:color w:val="FF0000"/>
          <w:sz w:val="21"/>
        </w:rPr>
        <w:t>提示：</w:t>
      </w:r>
    </w:p>
    <w:p w14:paraId="1889DA94">
      <w:pPr>
        <w:pStyle w:val="22"/>
        <w:numPr>
          <w:ilvl w:val="0"/>
          <w:numId w:val="4"/>
        </w:numPr>
        <w:ind w:firstLineChars="0"/>
        <w:rPr>
          <w:color w:val="FF0000"/>
          <w:sz w:val="21"/>
        </w:rPr>
      </w:pPr>
      <w:r>
        <w:rPr>
          <w:rFonts w:hint="eastAsia"/>
          <w:color w:val="FF0000"/>
          <w:sz w:val="21"/>
        </w:rPr>
        <w:t>专家组员上传本人的专家论证意见附件；</w:t>
      </w:r>
    </w:p>
    <w:p w14:paraId="566DF73D">
      <w:pPr>
        <w:pStyle w:val="22"/>
        <w:numPr>
          <w:ilvl w:val="0"/>
          <w:numId w:val="4"/>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575E7DF3">
      <w:pPr>
        <w:pStyle w:val="22"/>
        <w:numPr>
          <w:ilvl w:val="0"/>
          <w:numId w:val="4"/>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69A4844A">
      <w:r>
        <w:drawing>
          <wp:inline distT="0" distB="0" distL="0" distR="0">
            <wp:extent cx="5274310" cy="19100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1910080"/>
                    </a:xfrm>
                    <a:prstGeom prst="rect">
                      <a:avLst/>
                    </a:prstGeom>
                  </pic:spPr>
                </pic:pic>
              </a:graphicData>
            </a:graphic>
          </wp:inline>
        </w:drawing>
      </w:r>
    </w:p>
    <w:p w14:paraId="64A32929">
      <w:r>
        <w:drawing>
          <wp:inline distT="0" distB="0" distL="0" distR="0">
            <wp:extent cx="5274310" cy="2584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359D1450">
      <w:pPr>
        <w:pStyle w:val="4"/>
      </w:pPr>
      <w:bookmarkStart w:id="5" w:name="_Toc181276511"/>
      <w:r>
        <w:rPr>
          <w:rFonts w:hint="eastAsia"/>
        </w:rPr>
        <w:t>施工组织设计评审</w:t>
      </w:r>
      <w:bookmarkEnd w:id="5"/>
    </w:p>
    <w:p w14:paraId="5960789E">
      <w:pPr>
        <w:pStyle w:val="5"/>
      </w:pPr>
      <w:r>
        <w:rPr>
          <w:rFonts w:hint="eastAsia"/>
        </w:rPr>
        <w:t>填写项目信息</w:t>
      </w:r>
    </w:p>
    <w:p w14:paraId="0035776D">
      <w:pPr>
        <w:pStyle w:val="22"/>
        <w:numPr>
          <w:ilvl w:val="0"/>
          <w:numId w:val="5"/>
        </w:numPr>
        <w:ind w:firstLineChars="0"/>
      </w:pPr>
      <w:r>
        <w:rPr>
          <w:rFonts w:hint="eastAsia"/>
          <w:b/>
        </w:rPr>
        <w:t>新增项目：</w:t>
      </w:r>
      <w:r>
        <w:rPr>
          <w:rFonts w:hint="eastAsia"/>
        </w:rPr>
        <w:t>点击“新增项目”按钮，选择企业类型，打开申报信息页面。</w:t>
      </w:r>
    </w:p>
    <w:p w14:paraId="2D9DA545">
      <w:r>
        <w:drawing>
          <wp:inline distT="0" distB="0" distL="114300" distR="114300">
            <wp:extent cx="5259070" cy="1604645"/>
            <wp:effectExtent l="0" t="0" r="17780" b="1460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59070" cy="1604645"/>
                    </a:xfrm>
                    <a:prstGeom prst="rect">
                      <a:avLst/>
                    </a:prstGeom>
                    <a:noFill/>
                    <a:ln>
                      <a:noFill/>
                    </a:ln>
                  </pic:spPr>
                </pic:pic>
              </a:graphicData>
            </a:graphic>
          </wp:inline>
        </w:drawing>
      </w:r>
    </w:p>
    <w:p w14:paraId="07F99E4E">
      <w:pPr>
        <w:pStyle w:val="22"/>
        <w:numPr>
          <w:ilvl w:val="0"/>
          <w:numId w:val="5"/>
        </w:numPr>
        <w:ind w:firstLineChars="0"/>
      </w:pPr>
      <w:r>
        <w:rPr>
          <w:rFonts w:hint="eastAsia"/>
          <w:b/>
        </w:rPr>
        <w:t>填写评审申请表信息：</w:t>
      </w:r>
      <w:r>
        <w:rPr>
          <w:rFonts w:hint="eastAsia"/>
        </w:rPr>
        <w:t>包含施工</w:t>
      </w:r>
      <w:r>
        <w:t>单位信息</w:t>
      </w:r>
      <w:r>
        <w:rPr>
          <w:rFonts w:hint="eastAsia"/>
        </w:rPr>
        <w:t>、施工许可证</w:t>
      </w:r>
      <w:r>
        <w:t>信息</w:t>
      </w:r>
      <w:r>
        <w:rPr>
          <w:rFonts w:hint="eastAsia"/>
        </w:rPr>
        <w:t>、项目基本信息、</w:t>
      </w:r>
      <w:r>
        <w:t>规划条件</w:t>
      </w:r>
      <w:r>
        <w:rPr>
          <w:rFonts w:hint="eastAsia"/>
        </w:rPr>
        <w:t>、</w:t>
      </w:r>
      <w:r>
        <w:t>执行标准</w:t>
      </w:r>
      <w:r>
        <w:rPr>
          <w:rFonts w:hint="eastAsia"/>
        </w:rPr>
        <w:t>、参建</w:t>
      </w:r>
      <w:r>
        <w:t>单位</w:t>
      </w:r>
      <w:r>
        <w:rPr>
          <w:rFonts w:hint="eastAsia"/>
        </w:rPr>
        <w:t>，填写完成后点击“保存”。</w:t>
      </w:r>
    </w:p>
    <w:p w14:paraId="10CBBDEB">
      <w:r>
        <w:drawing>
          <wp:inline distT="0" distB="0" distL="114300" distR="114300">
            <wp:extent cx="5274310" cy="2734945"/>
            <wp:effectExtent l="0" t="0" r="2540" b="825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7"/>
                    <a:stretch>
                      <a:fillRect/>
                    </a:stretch>
                  </pic:blipFill>
                  <pic:spPr>
                    <a:xfrm>
                      <a:off x="0" y="0"/>
                      <a:ext cx="5274310" cy="2734945"/>
                    </a:xfrm>
                    <a:prstGeom prst="rect">
                      <a:avLst/>
                    </a:prstGeom>
                    <a:noFill/>
                    <a:ln>
                      <a:noFill/>
                    </a:ln>
                  </pic:spPr>
                </pic:pic>
              </a:graphicData>
            </a:graphic>
          </wp:inline>
        </w:drawing>
      </w:r>
    </w:p>
    <w:p w14:paraId="051DFEF5">
      <w:pPr>
        <w:ind w:firstLine="480" w:firstLineChars="200"/>
      </w:pPr>
    </w:p>
    <w:p w14:paraId="54FD3F03">
      <w:pPr>
        <w:pStyle w:val="22"/>
        <w:numPr>
          <w:ilvl w:val="0"/>
          <w:numId w:val="5"/>
        </w:numPr>
        <w:ind w:firstLineChars="0"/>
        <w:rPr>
          <w:b/>
        </w:rPr>
      </w:pPr>
      <w:r>
        <w:rPr>
          <w:rFonts w:hint="eastAsia"/>
          <w:b/>
        </w:rPr>
        <w:t>填写单体信息：</w:t>
      </w:r>
      <w:r>
        <w:rPr>
          <w:rFonts w:hint="eastAsia"/>
        </w:rPr>
        <w:t>在单体信息表中点击“选择单体”按钮选择单体后，补充单体装配式信息，可取消选择和查看。</w:t>
      </w:r>
    </w:p>
    <w:p w14:paraId="50F1205E">
      <w:r>
        <w:drawing>
          <wp:inline distT="0" distB="0" distL="114300" distR="114300">
            <wp:extent cx="5258435" cy="2574925"/>
            <wp:effectExtent l="0" t="0" r="18415" b="15875"/>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8"/>
                    <a:stretch>
                      <a:fillRect/>
                    </a:stretch>
                  </pic:blipFill>
                  <pic:spPr>
                    <a:xfrm>
                      <a:off x="0" y="0"/>
                      <a:ext cx="5258435" cy="2574925"/>
                    </a:xfrm>
                    <a:prstGeom prst="rect">
                      <a:avLst/>
                    </a:prstGeom>
                    <a:noFill/>
                    <a:ln>
                      <a:noFill/>
                    </a:ln>
                  </pic:spPr>
                </pic:pic>
              </a:graphicData>
            </a:graphic>
          </wp:inline>
        </w:drawing>
      </w:r>
    </w:p>
    <w:p w14:paraId="38D6ADF0">
      <w:pPr>
        <w:pStyle w:val="22"/>
        <w:numPr>
          <w:ilvl w:val="0"/>
          <w:numId w:val="5"/>
        </w:numPr>
        <w:ind w:firstLineChars="0"/>
      </w:pPr>
      <w:r>
        <w:rPr>
          <w:rFonts w:hint="eastAsia"/>
          <w:b/>
        </w:rPr>
        <w:t>上传项目资料：</w:t>
      </w:r>
      <w:r>
        <w:rPr>
          <w:rFonts w:hint="eastAsia"/>
        </w:rPr>
        <w:t>可对项目资料进行上传、下载、删除等操作。</w:t>
      </w:r>
    </w:p>
    <w:p w14:paraId="3F07EE24">
      <w:r>
        <w:drawing>
          <wp:inline distT="0" distB="0" distL="0" distR="0">
            <wp:extent cx="5274310" cy="8642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5274310" cy="864235"/>
                    </a:xfrm>
                    <a:prstGeom prst="rect">
                      <a:avLst/>
                    </a:prstGeom>
                  </pic:spPr>
                </pic:pic>
              </a:graphicData>
            </a:graphic>
          </wp:inline>
        </w:drawing>
      </w:r>
    </w:p>
    <w:p w14:paraId="1460ED81">
      <w:pPr>
        <w:pStyle w:val="5"/>
      </w:pPr>
      <w:r>
        <w:rPr>
          <w:rFonts w:hint="eastAsia"/>
        </w:rPr>
        <w:t>组织会议及选专家</w:t>
      </w:r>
    </w:p>
    <w:p w14:paraId="18734FB7">
      <w:pPr>
        <w:pStyle w:val="22"/>
        <w:numPr>
          <w:ilvl w:val="0"/>
          <w:numId w:val="6"/>
        </w:numPr>
        <w:ind w:firstLineChars="0"/>
        <w:rPr>
          <w:b/>
        </w:rPr>
      </w:pPr>
      <w:r>
        <w:rPr>
          <w:rFonts w:hint="eastAsia"/>
          <w:b/>
        </w:rPr>
        <w:t>填写会议日程安排</w:t>
      </w:r>
    </w:p>
    <w:p w14:paraId="3AE2986E">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2551342B">
      <w:r>
        <w:drawing>
          <wp:inline distT="0" distB="0" distL="114300" distR="114300">
            <wp:extent cx="5259070" cy="1604645"/>
            <wp:effectExtent l="0" t="0" r="17780" b="146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59070" cy="1604645"/>
                    </a:xfrm>
                    <a:prstGeom prst="rect">
                      <a:avLst/>
                    </a:prstGeom>
                    <a:noFill/>
                    <a:ln>
                      <a:noFill/>
                    </a:ln>
                  </pic:spPr>
                </pic:pic>
              </a:graphicData>
            </a:graphic>
          </wp:inline>
        </w:drawing>
      </w:r>
    </w:p>
    <w:p w14:paraId="4EFDEC8E">
      <w:r>
        <w:drawing>
          <wp:inline distT="0" distB="0" distL="114300" distR="114300">
            <wp:extent cx="5269865" cy="2161540"/>
            <wp:effectExtent l="0" t="0" r="6985" b="1016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37B1E403">
      <w:pPr>
        <w:pStyle w:val="22"/>
        <w:numPr>
          <w:ilvl w:val="0"/>
          <w:numId w:val="6"/>
        </w:numPr>
        <w:ind w:firstLineChars="0"/>
        <w:rPr>
          <w:b/>
        </w:rPr>
      </w:pPr>
      <w:r>
        <w:rPr>
          <w:rFonts w:hint="eastAsia"/>
          <w:b/>
        </w:rPr>
        <w:t>抽选专家</w:t>
      </w:r>
    </w:p>
    <w:p w14:paraId="0309C778">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703F211A">
      <w:pPr>
        <w:adjustRightInd w:val="0"/>
        <w:snapToGrid w:val="0"/>
        <w:ind w:firstLine="480" w:firstLineChars="200"/>
        <w:rPr>
          <w:rFonts w:ascii="宋体" w:hAnsi="宋体"/>
          <w:color w:val="FF0000"/>
        </w:rPr>
      </w:pPr>
      <w:r>
        <w:rPr>
          <w:rFonts w:hint="eastAsia" w:ascii="宋体" w:hAnsi="宋体"/>
          <w:color w:val="FF0000"/>
        </w:rPr>
        <w:t>提示：</w:t>
      </w:r>
    </w:p>
    <w:p w14:paraId="31FA0E2F">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3C3489A3">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699FB380">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5A777EE0">
      <w:r>
        <w:drawing>
          <wp:inline distT="0" distB="0" distL="0" distR="0">
            <wp:extent cx="5274310" cy="232981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185F1C48">
      <w:r>
        <w:drawing>
          <wp:inline distT="0" distB="0" distL="0" distR="0">
            <wp:extent cx="5274310" cy="315785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10EE8E85">
      <w:pPr>
        <w:ind w:left="8160" w:leftChars="3400"/>
      </w:pPr>
      <w:r>
        <w:t xml:space="preserve">                                                                                                                                                                                                                                                                                                                                                                                                                                                                                                                                                                                                                                                                                                                                                                                                                                                                                                                                                                                                                                                                                                                                                                                                                                                                                                                                                                                                                                                                                                                                                                                                                                                                                                                                                                                                                                                                                                                                                                                                                                                                                                                                                                                                                                                                                                                                                                                                                                                                                                                                                                                                                                                                                                                                                                                                                                                                                                                                                                                                                                                                                                                                                                                                                                                                                                                                                                                                                                                                                                                                                                                                                                                                                                                                                                                                                                                                                                                                                                                                                                                                                                                                                                                                                </w:t>
      </w:r>
      <w:r>
        <w:t xml:space="preserve">                                                                                                                                                                                                                                                                                                                                                                                                                                                                                                                                                                                                                                                                                                                                                                                                                                                                                                                                                                                                                                                                                                                                                                                                                                                                                                                                                                                                                                                                                                                                                                                                                                                                                                                                                                                                                                                                                                                                                                                                                                                                                                                                                                                                                                                                                                                                                                                                                                                                                                                                                                                                                                                                                                                                                                                                                                                                                                                                                                                                                                                                                                                                                                                                                                                                                                                                                                                                                                                                                                                                                                                                                                                                                                                                                                                                                                                                                                                                                                                                                                                                                                                                                                                                                </w:t>
      </w:r>
      <w:r>
        <w:t xml:space="preserve">                                                                                                                                                                                                                                                                                                                                                                                                                                                                                                                                                                                                                                                                                                                                                                                                                                                                                                                                                                                                                                                                                                                                                                                               </w:t>
      </w:r>
    </w:p>
    <w:p w14:paraId="406730E6">
      <w:pPr>
        <w:pStyle w:val="22"/>
        <w:numPr>
          <w:ilvl w:val="0"/>
          <w:numId w:val="6"/>
        </w:numPr>
        <w:ind w:firstLineChars="0"/>
        <w:rPr>
          <w:b/>
        </w:rPr>
      </w:pPr>
      <w:r>
        <w:rPr>
          <w:rFonts w:hint="eastAsia"/>
          <w:b/>
        </w:rPr>
        <w:t xml:space="preserve"> 查看专家回复状态</w:t>
      </w:r>
    </w:p>
    <w:p w14:paraId="5CBFC1F8">
      <w:pPr>
        <w:pStyle w:val="22"/>
        <w:ind w:left="420" w:firstLine="0" w:firstLineChars="0"/>
      </w:pPr>
      <w:r>
        <w:rPr>
          <w:rFonts w:hint="eastAsia"/>
        </w:rPr>
        <w:t>在抽取专家列表的回复状态列，可查看专家的回复情况。</w:t>
      </w:r>
    </w:p>
    <w:p w14:paraId="277A3DAA">
      <w:pPr>
        <w:pStyle w:val="22"/>
        <w:numPr>
          <w:ilvl w:val="0"/>
          <w:numId w:val="6"/>
        </w:numPr>
        <w:ind w:firstLineChars="0"/>
        <w:rPr>
          <w:b/>
        </w:rPr>
      </w:pPr>
      <w:r>
        <w:rPr>
          <w:rFonts w:hint="eastAsia"/>
          <w:b/>
        </w:rPr>
        <w:t>下载论证意见表模板</w:t>
      </w:r>
    </w:p>
    <w:p w14:paraId="1FD6A52D">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76BD7420">
      <w:pPr>
        <w:pStyle w:val="22"/>
        <w:numPr>
          <w:ilvl w:val="0"/>
          <w:numId w:val="6"/>
        </w:numPr>
        <w:ind w:firstLineChars="0"/>
        <w:rPr>
          <w:b/>
        </w:rPr>
      </w:pPr>
      <w:r>
        <w:rPr>
          <w:rFonts w:hint="eastAsia"/>
          <w:b/>
        </w:rPr>
        <w:t>取消会议</w:t>
      </w:r>
    </w:p>
    <w:p w14:paraId="0FB535D6">
      <w:pPr>
        <w:ind w:firstLine="480" w:firstLineChars="200"/>
      </w:pPr>
      <w:r>
        <w:rPr>
          <w:rFonts w:hint="eastAsia"/>
        </w:rPr>
        <w:t>未开始的会议，在会议日常安排页面，点击“取消会议”按钮即可取消。</w:t>
      </w:r>
    </w:p>
    <w:p w14:paraId="51103CB2">
      <w:r>
        <w:drawing>
          <wp:inline distT="0" distB="0" distL="114300" distR="114300">
            <wp:extent cx="5264785" cy="2253615"/>
            <wp:effectExtent l="0" t="0" r="12065" b="1333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1B951A78">
      <w:pPr>
        <w:pStyle w:val="5"/>
      </w:pPr>
      <w:r>
        <w:rPr>
          <w:rFonts w:hint="eastAsia"/>
        </w:rPr>
        <w:t>确认会议完成</w:t>
      </w:r>
    </w:p>
    <w:p w14:paraId="54B3DD47">
      <w:pPr>
        <w:ind w:firstLine="480" w:firstLineChars="200"/>
      </w:pPr>
      <w:r>
        <w:rPr>
          <w:rFonts w:hint="eastAsia"/>
        </w:rPr>
        <w:t>线下组织评审会议，会议结束后，在会议完成情况列点击“确认完成”按钮即完成会议。</w:t>
      </w:r>
    </w:p>
    <w:p w14:paraId="480EE1A6">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.2.2.4</w:t>
      </w:r>
      <w:r>
        <w:rPr>
          <w:rFonts w:hint="eastAsia"/>
          <w:b/>
          <w:bCs/>
          <w:color w:val="FF0000"/>
        </w:rPr>
        <w:t>上传论证意见和办件（专家操作）。</w:t>
      </w:r>
    </w:p>
    <w:p w14:paraId="2DAE3487">
      <w:r>
        <w:drawing>
          <wp:inline distT="0" distB="0" distL="114300" distR="114300">
            <wp:extent cx="5259070" cy="1604645"/>
            <wp:effectExtent l="0" t="0" r="17780" b="146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tretch>
                      <a:fillRect/>
                    </a:stretch>
                  </pic:blipFill>
                  <pic:spPr>
                    <a:xfrm>
                      <a:off x="0" y="0"/>
                      <a:ext cx="5259070" cy="1604645"/>
                    </a:xfrm>
                    <a:prstGeom prst="rect">
                      <a:avLst/>
                    </a:prstGeom>
                    <a:noFill/>
                    <a:ln>
                      <a:noFill/>
                    </a:ln>
                  </pic:spPr>
                </pic:pic>
              </a:graphicData>
            </a:graphic>
          </wp:inline>
        </w:drawing>
      </w:r>
    </w:p>
    <w:p w14:paraId="264A3608">
      <w:pPr>
        <w:pStyle w:val="5"/>
      </w:pPr>
      <w:r>
        <w:rPr>
          <w:rFonts w:hint="eastAsia"/>
        </w:rPr>
        <w:t>上传论证意见和办结（专家操作）</w:t>
      </w:r>
    </w:p>
    <w:p w14:paraId="06BF77E6">
      <w:pPr>
        <w:ind w:firstLine="480" w:firstLineChars="200"/>
      </w:pPr>
      <w:r>
        <w:rPr>
          <w:rFonts w:hint="eastAsia"/>
        </w:rPr>
        <w:t>在“上传论证意见”栏目下，选择需要上传的项目，点击操作列“上传论证意见”链接，打开专家论证意见上传页面。</w:t>
      </w:r>
    </w:p>
    <w:p w14:paraId="75A35E82">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527740B5">
      <w:pPr>
        <w:ind w:firstLine="482" w:firstLineChars="200"/>
      </w:pPr>
      <w:r>
        <w:rPr>
          <w:rFonts w:hint="eastAsia"/>
          <w:b/>
        </w:rPr>
        <w:t>上传专家个人论证意见：</w:t>
      </w:r>
      <w:r>
        <w:rPr>
          <w:rFonts w:hint="eastAsia"/>
        </w:rPr>
        <w:t>专家个人点击自己姓名后的“上传”链接，上传专家个人评审意见。</w:t>
      </w:r>
    </w:p>
    <w:p w14:paraId="15B430B9">
      <w:pPr>
        <w:ind w:firstLine="482" w:firstLineChars="200"/>
      </w:pPr>
      <w:r>
        <w:rPr>
          <w:rFonts w:hint="eastAsia"/>
          <w:b/>
        </w:rPr>
        <w:t>上传专家组论证意见：</w:t>
      </w:r>
      <w:r>
        <w:rPr>
          <w:rFonts w:hint="eastAsia"/>
        </w:rPr>
        <w:t>专家组长，在论证结果处，点击“上传”按钮，上传专家组意见。</w:t>
      </w:r>
    </w:p>
    <w:p w14:paraId="578354FD">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08A829DA">
      <w:pPr>
        <w:ind w:firstLine="422" w:firstLineChars="200"/>
        <w:rPr>
          <w:b/>
          <w:color w:val="FF0000"/>
          <w:sz w:val="21"/>
        </w:rPr>
      </w:pPr>
      <w:r>
        <w:rPr>
          <w:rFonts w:hint="eastAsia"/>
          <w:b/>
          <w:color w:val="FF0000"/>
          <w:sz w:val="21"/>
        </w:rPr>
        <w:t>提示：</w:t>
      </w:r>
    </w:p>
    <w:p w14:paraId="275EFA03">
      <w:pPr>
        <w:pStyle w:val="22"/>
        <w:numPr>
          <w:ilvl w:val="0"/>
          <w:numId w:val="7"/>
        </w:numPr>
        <w:ind w:firstLineChars="0"/>
        <w:rPr>
          <w:color w:val="FF0000"/>
          <w:sz w:val="21"/>
        </w:rPr>
      </w:pPr>
      <w:r>
        <w:rPr>
          <w:rFonts w:hint="eastAsia"/>
          <w:color w:val="FF0000"/>
          <w:sz w:val="21"/>
        </w:rPr>
        <w:t>专家组员上传本人的专家论证意见附件；</w:t>
      </w:r>
    </w:p>
    <w:p w14:paraId="5B36FB83">
      <w:pPr>
        <w:pStyle w:val="22"/>
        <w:numPr>
          <w:ilvl w:val="0"/>
          <w:numId w:val="7"/>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43F9DBFB">
      <w:pPr>
        <w:pStyle w:val="22"/>
        <w:numPr>
          <w:ilvl w:val="0"/>
          <w:numId w:val="7"/>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7EF8E819">
      <w:r>
        <w:drawing>
          <wp:inline distT="0" distB="0" distL="0" distR="0">
            <wp:extent cx="5274310" cy="19100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274310" cy="1910080"/>
                    </a:xfrm>
                    <a:prstGeom prst="rect">
                      <a:avLst/>
                    </a:prstGeom>
                  </pic:spPr>
                </pic:pic>
              </a:graphicData>
            </a:graphic>
          </wp:inline>
        </w:drawing>
      </w:r>
    </w:p>
    <w:p w14:paraId="320CD36E">
      <w:r>
        <w:drawing>
          <wp:inline distT="0" distB="0" distL="0" distR="0">
            <wp:extent cx="5274310" cy="25844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76BDDA03">
      <w:pPr>
        <w:pStyle w:val="3"/>
      </w:pPr>
      <w:bookmarkStart w:id="6" w:name="_Toc181276512"/>
      <w:r>
        <w:rPr>
          <w:rFonts w:hint="eastAsia"/>
        </w:rPr>
        <w:t>财政奖励</w:t>
      </w:r>
      <w:bookmarkEnd w:id="6"/>
    </w:p>
    <w:p w14:paraId="5E98EE71">
      <w:r>
        <w:rPr>
          <w:rFonts w:hint="eastAsia"/>
        </w:rPr>
        <w:t xml:space="preserve"> </w:t>
      </w:r>
      <w:r>
        <w:t xml:space="preserve">  </w:t>
      </w:r>
      <w:r>
        <w:rPr>
          <w:rFonts w:hint="eastAsia"/>
        </w:rPr>
        <w:t>在“待办”列表进行财政奖励申报，在“已办”列表中查看办理进度和办理结果。</w:t>
      </w:r>
    </w:p>
    <w:p w14:paraId="194367D3">
      <w:pPr>
        <w:pStyle w:val="4"/>
      </w:pPr>
      <w:bookmarkStart w:id="7" w:name="_Toc181276513"/>
      <w:r>
        <w:rPr>
          <w:rFonts w:hint="eastAsia"/>
        </w:rPr>
        <w:t>待办</w:t>
      </w:r>
      <w:bookmarkEnd w:id="7"/>
    </w:p>
    <w:p w14:paraId="7CB8FC2B">
      <w:pPr>
        <w:pStyle w:val="22"/>
        <w:numPr>
          <w:ilvl w:val="0"/>
          <w:numId w:val="8"/>
        </w:numPr>
        <w:ind w:firstLineChars="0"/>
        <w:rPr>
          <w:b/>
        </w:rPr>
      </w:pPr>
      <w:r>
        <w:rPr>
          <w:rFonts w:hint="eastAsia"/>
          <w:b/>
        </w:rPr>
        <w:t>填写申报信息</w:t>
      </w:r>
    </w:p>
    <w:p w14:paraId="386C136A">
      <w:pPr>
        <w:ind w:firstLine="480" w:firstLineChars="200"/>
      </w:pPr>
      <w:r>
        <w:rPr>
          <w:rFonts w:hint="eastAsia"/>
        </w:rPr>
        <w:t>点击“新增申报”按钮，填写财政奖励申请表、财政奖励单体信息，上传项目资料。</w:t>
      </w:r>
    </w:p>
    <w:p w14:paraId="4104FCDE">
      <w:r>
        <w:drawing>
          <wp:inline distT="0" distB="0" distL="114300" distR="114300">
            <wp:extent cx="5266690" cy="1671320"/>
            <wp:effectExtent l="0" t="0" r="1016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3"/>
                    <a:stretch>
                      <a:fillRect/>
                    </a:stretch>
                  </pic:blipFill>
                  <pic:spPr>
                    <a:xfrm>
                      <a:off x="0" y="0"/>
                      <a:ext cx="5266690" cy="1671320"/>
                    </a:xfrm>
                    <a:prstGeom prst="rect">
                      <a:avLst/>
                    </a:prstGeom>
                    <a:noFill/>
                    <a:ln>
                      <a:noFill/>
                    </a:ln>
                  </pic:spPr>
                </pic:pic>
              </a:graphicData>
            </a:graphic>
          </wp:inline>
        </w:drawing>
      </w:r>
    </w:p>
    <w:p w14:paraId="0C1A6982">
      <w:pPr>
        <w:pStyle w:val="22"/>
        <w:numPr>
          <w:ilvl w:val="0"/>
          <w:numId w:val="9"/>
        </w:numPr>
        <w:ind w:firstLineChars="0"/>
      </w:pPr>
      <w:r>
        <w:rPr>
          <w:rFonts w:hint="eastAsia"/>
        </w:rPr>
        <w:t>财政奖励申请表</w:t>
      </w:r>
    </w:p>
    <w:p w14:paraId="758FDCBA">
      <w:pPr>
        <w:ind w:firstLine="480" w:firstLineChars="200"/>
      </w:pPr>
      <w:r>
        <w:rPr>
          <w:rFonts w:hint="eastAsia"/>
        </w:rPr>
        <w:t>包含</w:t>
      </w:r>
      <w:r>
        <w:t>单位信息</w:t>
      </w:r>
      <w:r>
        <w:rPr>
          <w:rFonts w:hint="eastAsia"/>
        </w:rPr>
        <w:t>、施工许可证、项目概括，填写完成后点击“保存”。</w:t>
      </w:r>
    </w:p>
    <w:p w14:paraId="16A0F485">
      <w:r>
        <w:drawing>
          <wp:inline distT="0" distB="0" distL="114300" distR="114300">
            <wp:extent cx="5273040" cy="1935480"/>
            <wp:effectExtent l="0" t="0" r="3810" b="762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4"/>
                    <a:stretch>
                      <a:fillRect/>
                    </a:stretch>
                  </pic:blipFill>
                  <pic:spPr>
                    <a:xfrm>
                      <a:off x="0" y="0"/>
                      <a:ext cx="5273040" cy="1935480"/>
                    </a:xfrm>
                    <a:prstGeom prst="rect">
                      <a:avLst/>
                    </a:prstGeom>
                    <a:noFill/>
                    <a:ln>
                      <a:noFill/>
                    </a:ln>
                  </pic:spPr>
                </pic:pic>
              </a:graphicData>
            </a:graphic>
          </wp:inline>
        </w:drawing>
      </w:r>
    </w:p>
    <w:p w14:paraId="59481CFC">
      <w:pPr>
        <w:pStyle w:val="22"/>
        <w:numPr>
          <w:ilvl w:val="0"/>
          <w:numId w:val="9"/>
        </w:numPr>
        <w:ind w:firstLineChars="0"/>
      </w:pPr>
      <w:r>
        <w:rPr>
          <w:rFonts w:hint="eastAsia"/>
        </w:rPr>
        <w:t>财政奖励单体信息</w:t>
      </w:r>
    </w:p>
    <w:p w14:paraId="6A5284C4">
      <w:pPr>
        <w:ind w:firstLine="480" w:firstLineChars="200"/>
      </w:pPr>
      <w:r>
        <w:rPr>
          <w:rFonts w:hint="eastAsia"/>
        </w:rPr>
        <w:t>在财政奖励单体信息页面，点击“选择单体”按钮选择单体，补充单体装配式信息，可取消选择、查看填写信息。</w:t>
      </w:r>
    </w:p>
    <w:p w14:paraId="3D594FC8">
      <w:pPr>
        <w:ind w:firstLine="480" w:firstLineChars="200"/>
      </w:pPr>
      <w:r>
        <w:rPr>
          <w:rFonts w:hint="eastAsia"/>
        </w:rPr>
        <w:t>填写</w:t>
      </w:r>
      <w:r>
        <w:t>评价等级信息表</w:t>
      </w:r>
      <w:r>
        <w:rPr>
          <w:rFonts w:hint="eastAsia"/>
        </w:rPr>
        <w:t>：在装配式单体信息页面，点击“单体评价等级信息”，打开“北京市建筑绿色发展奖励资金申报项目单体评价等级信息表”填写页面，进行信息的填写和保存。</w:t>
      </w:r>
    </w:p>
    <w:p w14:paraId="7F260B4C">
      <w:pPr>
        <w:ind w:firstLine="480" w:firstLineChars="200"/>
      </w:pPr>
      <w:r>
        <w:rPr>
          <w:rFonts w:hint="eastAsia"/>
        </w:rPr>
        <w:t>导出申报书：点击“导出申报书”按钮下载</w:t>
      </w:r>
      <w:r>
        <w:t>北京市装配式建筑项目财政奖励资金申报书</w:t>
      </w:r>
      <w:r>
        <w:rPr>
          <w:rFonts w:hint="eastAsia"/>
        </w:rPr>
        <w:t>。</w:t>
      </w:r>
    </w:p>
    <w:p w14:paraId="29DE4648">
      <w:r>
        <w:drawing>
          <wp:inline distT="0" distB="0" distL="114300" distR="114300">
            <wp:extent cx="5263515" cy="2262505"/>
            <wp:effectExtent l="0" t="0" r="13335" b="44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5"/>
                    <a:stretch>
                      <a:fillRect/>
                    </a:stretch>
                  </pic:blipFill>
                  <pic:spPr>
                    <a:xfrm>
                      <a:off x="0" y="0"/>
                      <a:ext cx="5263515" cy="2262505"/>
                    </a:xfrm>
                    <a:prstGeom prst="rect">
                      <a:avLst/>
                    </a:prstGeom>
                    <a:noFill/>
                    <a:ln>
                      <a:noFill/>
                    </a:ln>
                  </pic:spPr>
                </pic:pic>
              </a:graphicData>
            </a:graphic>
          </wp:inline>
        </w:drawing>
      </w:r>
    </w:p>
    <w:p w14:paraId="3A9BE59A">
      <w:r>
        <w:drawing>
          <wp:inline distT="0" distB="0" distL="0" distR="0">
            <wp:extent cx="5274310" cy="38989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stretch>
                      <a:fillRect/>
                    </a:stretch>
                  </pic:blipFill>
                  <pic:spPr>
                    <a:xfrm>
                      <a:off x="0" y="0"/>
                      <a:ext cx="5274310" cy="3898900"/>
                    </a:xfrm>
                    <a:prstGeom prst="rect">
                      <a:avLst/>
                    </a:prstGeom>
                  </pic:spPr>
                </pic:pic>
              </a:graphicData>
            </a:graphic>
          </wp:inline>
        </w:drawing>
      </w:r>
    </w:p>
    <w:p w14:paraId="38181242">
      <w:r>
        <w:drawing>
          <wp:inline distT="0" distB="0" distL="0" distR="0">
            <wp:extent cx="5274310" cy="367855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5274310" cy="3678555"/>
                    </a:xfrm>
                    <a:prstGeom prst="rect">
                      <a:avLst/>
                    </a:prstGeom>
                  </pic:spPr>
                </pic:pic>
              </a:graphicData>
            </a:graphic>
          </wp:inline>
        </w:drawing>
      </w:r>
    </w:p>
    <w:p w14:paraId="48FFB661">
      <w:r>
        <w:rPr>
          <w:rFonts w:hint="eastAsia"/>
        </w:rPr>
        <w:t>（3）上传项目资料：可对项目资料进行上传、下载、删除等操作。</w:t>
      </w:r>
    </w:p>
    <w:p w14:paraId="42C73D53">
      <w:r>
        <w:drawing>
          <wp:inline distT="0" distB="0" distL="0" distR="0">
            <wp:extent cx="5274310" cy="2395855"/>
            <wp:effectExtent l="0" t="0" r="254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8"/>
                    <a:stretch>
                      <a:fillRect/>
                    </a:stretch>
                  </pic:blipFill>
                  <pic:spPr>
                    <a:xfrm>
                      <a:off x="0" y="0"/>
                      <a:ext cx="5274310" cy="2395855"/>
                    </a:xfrm>
                    <a:prstGeom prst="rect">
                      <a:avLst/>
                    </a:prstGeom>
                  </pic:spPr>
                </pic:pic>
              </a:graphicData>
            </a:graphic>
          </wp:inline>
        </w:drawing>
      </w:r>
    </w:p>
    <w:p w14:paraId="000E45CF">
      <w:pPr>
        <w:pStyle w:val="22"/>
        <w:numPr>
          <w:ilvl w:val="0"/>
          <w:numId w:val="8"/>
        </w:numPr>
        <w:ind w:firstLineChars="0"/>
        <w:rPr>
          <w:b/>
        </w:rPr>
      </w:pPr>
      <w:r>
        <w:rPr>
          <w:rFonts w:hint="eastAsia"/>
          <w:b/>
        </w:rPr>
        <w:t>申报信息提交</w:t>
      </w:r>
    </w:p>
    <w:p w14:paraId="49004F65">
      <w:pPr>
        <w:ind w:firstLine="480" w:firstLineChars="200"/>
      </w:pPr>
      <w:r>
        <w:rPr>
          <w:rFonts w:hint="eastAsia"/>
        </w:rPr>
        <w:t>在列表操作列点击“提交”按钮，确认提交后，申报信息不允许修改。</w:t>
      </w:r>
    </w:p>
    <w:p w14:paraId="0464EA6A">
      <w:r>
        <w:drawing>
          <wp:inline distT="0" distB="0" distL="114300" distR="114300">
            <wp:extent cx="5257800" cy="1682750"/>
            <wp:effectExtent l="0" t="0" r="0" b="1270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9"/>
                    <a:stretch>
                      <a:fillRect/>
                    </a:stretch>
                  </pic:blipFill>
                  <pic:spPr>
                    <a:xfrm>
                      <a:off x="0" y="0"/>
                      <a:ext cx="5257800" cy="1682750"/>
                    </a:xfrm>
                    <a:prstGeom prst="rect">
                      <a:avLst/>
                    </a:prstGeom>
                    <a:noFill/>
                    <a:ln>
                      <a:noFill/>
                    </a:ln>
                  </pic:spPr>
                </pic:pic>
              </a:graphicData>
            </a:graphic>
          </wp:inline>
        </w:drawing>
      </w:r>
    </w:p>
    <w:p w14:paraId="267CAB12">
      <w:pPr>
        <w:pStyle w:val="22"/>
        <w:numPr>
          <w:ilvl w:val="0"/>
          <w:numId w:val="8"/>
        </w:numPr>
        <w:ind w:firstLineChars="0"/>
        <w:rPr>
          <w:b/>
        </w:rPr>
      </w:pPr>
      <w:r>
        <w:rPr>
          <w:rFonts w:hint="eastAsia"/>
          <w:b/>
        </w:rPr>
        <w:t>申报信息删除</w:t>
      </w:r>
    </w:p>
    <w:p w14:paraId="44185D2F">
      <w:pPr>
        <w:ind w:firstLine="480" w:firstLineChars="200"/>
      </w:pPr>
      <w:r>
        <w:rPr>
          <w:rFonts w:hint="eastAsia"/>
          <w:bCs/>
        </w:rPr>
        <w:t>未提交的申报信息，</w:t>
      </w:r>
      <w:r>
        <w:rPr>
          <w:rFonts w:hint="eastAsia"/>
        </w:rPr>
        <w:t>在列表操作列点击“删除”，可删除申报信息。</w:t>
      </w:r>
    </w:p>
    <w:p w14:paraId="15FE3F0F">
      <w:r>
        <w:drawing>
          <wp:inline distT="0" distB="0" distL="114300" distR="114300">
            <wp:extent cx="5257800" cy="1682750"/>
            <wp:effectExtent l="0" t="0" r="0" b="1270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0"/>
                    <a:stretch>
                      <a:fillRect/>
                    </a:stretch>
                  </pic:blipFill>
                  <pic:spPr>
                    <a:xfrm>
                      <a:off x="0" y="0"/>
                      <a:ext cx="5257800" cy="1682750"/>
                    </a:xfrm>
                    <a:prstGeom prst="rect">
                      <a:avLst/>
                    </a:prstGeom>
                    <a:noFill/>
                    <a:ln>
                      <a:noFill/>
                    </a:ln>
                  </pic:spPr>
                </pic:pic>
              </a:graphicData>
            </a:graphic>
          </wp:inline>
        </w:drawing>
      </w:r>
    </w:p>
    <w:p w14:paraId="216FEE7F">
      <w:pPr>
        <w:pStyle w:val="22"/>
        <w:numPr>
          <w:ilvl w:val="0"/>
          <w:numId w:val="8"/>
        </w:numPr>
        <w:ind w:firstLineChars="0"/>
        <w:rPr>
          <w:b/>
        </w:rPr>
      </w:pPr>
      <w:r>
        <w:rPr>
          <w:rFonts w:hint="eastAsia"/>
          <w:b/>
        </w:rPr>
        <w:t>查看退回原因</w:t>
      </w:r>
    </w:p>
    <w:p w14:paraId="181C0710">
      <w:pPr>
        <w:ind w:firstLine="480" w:firstLineChars="200"/>
      </w:pPr>
      <w:r>
        <w:rPr>
          <w:rFonts w:hint="eastAsia"/>
        </w:rPr>
        <w:t>在列表操作列点击“退回原因”，查看退回原因，根据退回原因修改申报材料，修改完成后，点击“提交”可重新提交申报信息。</w:t>
      </w:r>
    </w:p>
    <w:p w14:paraId="7423C0AD">
      <w:r>
        <w:drawing>
          <wp:inline distT="0" distB="0" distL="114300" distR="114300">
            <wp:extent cx="5266055" cy="1687195"/>
            <wp:effectExtent l="0" t="0" r="10795" b="825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6540A397">
      <w:pPr>
        <w:pStyle w:val="4"/>
      </w:pPr>
      <w:bookmarkStart w:id="8" w:name="_Toc181276514"/>
      <w:r>
        <w:rPr>
          <w:rFonts w:hint="eastAsia"/>
        </w:rPr>
        <w:t>已办</w:t>
      </w:r>
      <w:bookmarkEnd w:id="8"/>
    </w:p>
    <w:p w14:paraId="72849C3E">
      <w:pPr>
        <w:ind w:firstLine="480" w:firstLineChars="200"/>
      </w:pPr>
      <w:r>
        <w:rPr>
          <w:rFonts w:hint="eastAsia"/>
        </w:rPr>
        <w:t>在已办列表中查看办理进度和办理结果。</w:t>
      </w:r>
    </w:p>
    <w:p w14:paraId="690DBB20">
      <w:r>
        <w:drawing>
          <wp:inline distT="0" distB="0" distL="114300" distR="114300">
            <wp:extent cx="5273040" cy="1955800"/>
            <wp:effectExtent l="0" t="0" r="3810" b="635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2"/>
                    <a:stretch>
                      <a:fillRect/>
                    </a:stretch>
                  </pic:blipFill>
                  <pic:spPr>
                    <a:xfrm>
                      <a:off x="0" y="0"/>
                      <a:ext cx="5273040" cy="1955800"/>
                    </a:xfrm>
                    <a:prstGeom prst="rect">
                      <a:avLst/>
                    </a:prstGeom>
                    <a:noFill/>
                    <a:ln>
                      <a:noFill/>
                    </a:ln>
                  </pic:spPr>
                </pic:pic>
              </a:graphicData>
            </a:graphic>
          </wp:inline>
        </w:drawing>
      </w:r>
    </w:p>
    <w:p w14:paraId="5EAB0429">
      <w:pPr>
        <w:pStyle w:val="3"/>
      </w:pPr>
      <w:bookmarkStart w:id="9" w:name="_Toc181276515"/>
      <w:r>
        <w:rPr>
          <w:rFonts w:hint="eastAsia"/>
        </w:rPr>
        <w:t>技术申报</w:t>
      </w:r>
      <w:bookmarkEnd w:id="9"/>
    </w:p>
    <w:p w14:paraId="3B67305D">
      <w:r>
        <w:t xml:space="preserve">   </w:t>
      </w:r>
      <w:r>
        <w:rPr>
          <w:rFonts w:hint="eastAsia"/>
        </w:rPr>
        <w:t>在“待办”列表进行财政奖励申报，在“已办”列表中查看办理进度和办理结果。</w:t>
      </w:r>
    </w:p>
    <w:p w14:paraId="35633519">
      <w:pPr>
        <w:pStyle w:val="4"/>
      </w:pPr>
      <w:bookmarkStart w:id="10" w:name="_Toc181276516"/>
      <w:r>
        <w:rPr>
          <w:rFonts w:hint="eastAsia"/>
        </w:rPr>
        <w:t>待办</w:t>
      </w:r>
      <w:bookmarkEnd w:id="10"/>
    </w:p>
    <w:p w14:paraId="17F97BF0">
      <w:pPr>
        <w:pStyle w:val="22"/>
        <w:numPr>
          <w:ilvl w:val="0"/>
          <w:numId w:val="10"/>
        </w:numPr>
        <w:ind w:firstLineChars="0"/>
        <w:rPr>
          <w:b/>
        </w:rPr>
      </w:pPr>
      <w:r>
        <w:rPr>
          <w:rFonts w:hint="eastAsia"/>
          <w:b/>
        </w:rPr>
        <w:t>填写申报信息</w:t>
      </w:r>
    </w:p>
    <w:p w14:paraId="4AED040F">
      <w:pPr>
        <w:ind w:firstLine="480" w:firstLineChars="200"/>
      </w:pPr>
      <w:r>
        <w:rPr>
          <w:rFonts w:hint="eastAsia"/>
        </w:rPr>
        <w:t>点击“新增申报”按钮，填写项目基本信息、适用技术内容、推广应用分析等信息后点击保存即可保存成功。</w:t>
      </w:r>
    </w:p>
    <w:p w14:paraId="78B26DC4">
      <w:r>
        <w:drawing>
          <wp:inline distT="0" distB="0" distL="114300" distR="114300">
            <wp:extent cx="5266055" cy="1687195"/>
            <wp:effectExtent l="0" t="0" r="10795" b="825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3"/>
                    <a:stretch>
                      <a:fillRect/>
                    </a:stretch>
                  </pic:blipFill>
                  <pic:spPr>
                    <a:xfrm>
                      <a:off x="0" y="0"/>
                      <a:ext cx="5266055" cy="1687195"/>
                    </a:xfrm>
                    <a:prstGeom prst="rect">
                      <a:avLst/>
                    </a:prstGeom>
                    <a:noFill/>
                    <a:ln>
                      <a:noFill/>
                    </a:ln>
                  </pic:spPr>
                </pic:pic>
              </a:graphicData>
            </a:graphic>
          </wp:inline>
        </w:drawing>
      </w:r>
    </w:p>
    <w:p w14:paraId="7104C66D">
      <w:r>
        <w:drawing>
          <wp:inline distT="0" distB="0" distL="114300" distR="114300">
            <wp:extent cx="5258435" cy="2471420"/>
            <wp:effectExtent l="0" t="0" r="18415" b="508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4"/>
                    <a:stretch>
                      <a:fillRect/>
                    </a:stretch>
                  </pic:blipFill>
                  <pic:spPr>
                    <a:xfrm>
                      <a:off x="0" y="0"/>
                      <a:ext cx="5258435" cy="2471420"/>
                    </a:xfrm>
                    <a:prstGeom prst="rect">
                      <a:avLst/>
                    </a:prstGeom>
                    <a:noFill/>
                    <a:ln>
                      <a:noFill/>
                    </a:ln>
                  </pic:spPr>
                </pic:pic>
              </a:graphicData>
            </a:graphic>
          </wp:inline>
        </w:drawing>
      </w:r>
    </w:p>
    <w:p w14:paraId="7748BDBC">
      <w:pPr>
        <w:ind w:firstLine="482" w:firstLineChars="200"/>
      </w:pPr>
      <w:r>
        <w:rPr>
          <w:rFonts w:hint="eastAsia"/>
          <w:b/>
          <w:bCs/>
        </w:rPr>
        <w:t>下载申报书</w:t>
      </w:r>
      <w:r>
        <w:rPr>
          <w:rFonts w:hint="eastAsia"/>
        </w:rPr>
        <w:t>：点击“下载申报书”按钮下</w:t>
      </w:r>
      <w:r>
        <w:rPr>
          <w:rFonts w:ascii="宋体" w:hAnsi="宋体" w:cs="宋体"/>
        </w:rPr>
        <w:t>北京市装配式建筑技术项目申报书</w:t>
      </w:r>
      <w:r>
        <w:rPr>
          <w:rFonts w:hint="eastAsia"/>
        </w:rPr>
        <w:t>。</w:t>
      </w:r>
    </w:p>
    <w:p w14:paraId="63352EE5">
      <w:r>
        <w:drawing>
          <wp:inline distT="0" distB="0" distL="114300" distR="114300">
            <wp:extent cx="5256530" cy="2439035"/>
            <wp:effectExtent l="0" t="0" r="1270" b="1841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5"/>
                    <a:stretch>
                      <a:fillRect/>
                    </a:stretch>
                  </pic:blipFill>
                  <pic:spPr>
                    <a:xfrm>
                      <a:off x="0" y="0"/>
                      <a:ext cx="5256530" cy="2439035"/>
                    </a:xfrm>
                    <a:prstGeom prst="rect">
                      <a:avLst/>
                    </a:prstGeom>
                    <a:noFill/>
                    <a:ln>
                      <a:noFill/>
                    </a:ln>
                  </pic:spPr>
                </pic:pic>
              </a:graphicData>
            </a:graphic>
          </wp:inline>
        </w:drawing>
      </w:r>
    </w:p>
    <w:p w14:paraId="13461512">
      <w:pPr>
        <w:ind w:firstLine="482" w:firstLineChars="200"/>
      </w:pPr>
      <w:r>
        <w:rPr>
          <w:rFonts w:hint="eastAsia"/>
          <w:b/>
        </w:rPr>
        <w:t>材料上传：</w:t>
      </w:r>
      <w:r>
        <w:rPr>
          <w:rFonts w:hint="eastAsia"/>
        </w:rPr>
        <w:t>可对项目资料进行上传、下载、删除等操作。</w:t>
      </w:r>
    </w:p>
    <w:p w14:paraId="1B253F0F">
      <w:pPr>
        <w:pStyle w:val="22"/>
        <w:numPr>
          <w:ilvl w:val="0"/>
          <w:numId w:val="10"/>
        </w:numPr>
        <w:ind w:firstLineChars="0"/>
        <w:rPr>
          <w:b/>
        </w:rPr>
      </w:pPr>
      <w:r>
        <w:rPr>
          <w:rFonts w:hint="eastAsia"/>
          <w:b/>
        </w:rPr>
        <w:t>申报信息提交</w:t>
      </w:r>
    </w:p>
    <w:p w14:paraId="674A8B5F">
      <w:pPr>
        <w:ind w:firstLine="480" w:firstLineChars="200"/>
      </w:pPr>
      <w:r>
        <w:rPr>
          <w:rFonts w:hint="eastAsia"/>
        </w:rPr>
        <w:t>在列表操作列点击“提交”按钮，确认提交后，申报信息不允许修改。</w:t>
      </w:r>
    </w:p>
    <w:p w14:paraId="6B347624">
      <w:r>
        <w:drawing>
          <wp:inline distT="0" distB="0" distL="114300" distR="114300">
            <wp:extent cx="5266055" cy="1687195"/>
            <wp:effectExtent l="0" t="0" r="10795" b="825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6"/>
                    <a:stretch>
                      <a:fillRect/>
                    </a:stretch>
                  </pic:blipFill>
                  <pic:spPr>
                    <a:xfrm>
                      <a:off x="0" y="0"/>
                      <a:ext cx="5266055" cy="1687195"/>
                    </a:xfrm>
                    <a:prstGeom prst="rect">
                      <a:avLst/>
                    </a:prstGeom>
                    <a:noFill/>
                    <a:ln>
                      <a:noFill/>
                    </a:ln>
                  </pic:spPr>
                </pic:pic>
              </a:graphicData>
            </a:graphic>
          </wp:inline>
        </w:drawing>
      </w:r>
    </w:p>
    <w:p w14:paraId="22DC214E">
      <w:pPr>
        <w:pStyle w:val="22"/>
        <w:numPr>
          <w:ilvl w:val="0"/>
          <w:numId w:val="10"/>
        </w:numPr>
        <w:ind w:firstLineChars="0"/>
        <w:rPr>
          <w:b/>
        </w:rPr>
      </w:pPr>
      <w:r>
        <w:rPr>
          <w:rFonts w:hint="eastAsia"/>
          <w:b/>
        </w:rPr>
        <w:t>申报信息删除</w:t>
      </w:r>
    </w:p>
    <w:p w14:paraId="3EBA7A7B">
      <w:pPr>
        <w:ind w:firstLine="480" w:firstLineChars="200"/>
        <w:rPr>
          <w:bCs/>
        </w:rPr>
      </w:pPr>
      <w:r>
        <w:rPr>
          <w:rFonts w:hint="eastAsia"/>
          <w:bCs/>
        </w:rPr>
        <w:t>未提交的申报信息，在列表操作列点击“删除”，可删除申报信息。</w:t>
      </w:r>
    </w:p>
    <w:p w14:paraId="75D89ADF">
      <w:r>
        <w:drawing>
          <wp:inline distT="0" distB="0" distL="114300" distR="114300">
            <wp:extent cx="5266055" cy="1687195"/>
            <wp:effectExtent l="0" t="0" r="10795" b="825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7"/>
                    <a:stretch>
                      <a:fillRect/>
                    </a:stretch>
                  </pic:blipFill>
                  <pic:spPr>
                    <a:xfrm>
                      <a:off x="0" y="0"/>
                      <a:ext cx="5266055" cy="1687195"/>
                    </a:xfrm>
                    <a:prstGeom prst="rect">
                      <a:avLst/>
                    </a:prstGeom>
                    <a:noFill/>
                    <a:ln>
                      <a:noFill/>
                    </a:ln>
                  </pic:spPr>
                </pic:pic>
              </a:graphicData>
            </a:graphic>
          </wp:inline>
        </w:drawing>
      </w:r>
    </w:p>
    <w:p w14:paraId="3B865EC2">
      <w:pPr>
        <w:pStyle w:val="22"/>
        <w:numPr>
          <w:ilvl w:val="0"/>
          <w:numId w:val="10"/>
        </w:numPr>
        <w:ind w:firstLineChars="0"/>
        <w:rPr>
          <w:b/>
        </w:rPr>
      </w:pPr>
      <w:r>
        <w:rPr>
          <w:rFonts w:hint="eastAsia"/>
          <w:b/>
        </w:rPr>
        <w:t>查看退回原因</w:t>
      </w:r>
    </w:p>
    <w:p w14:paraId="569FDE6A">
      <w:pPr>
        <w:ind w:firstLine="480" w:firstLineChars="200"/>
        <w:rPr>
          <w:bCs/>
        </w:rPr>
      </w:pPr>
      <w:r>
        <w:rPr>
          <w:rFonts w:hint="eastAsia"/>
          <w:bCs/>
        </w:rPr>
        <w:t>在列表操作列点击“退回原因”，查看退回原因，根据退回原因修改申报材料，修改完成后，点击“提交”可重新提交申报信息。</w:t>
      </w:r>
    </w:p>
    <w:p w14:paraId="69F239DF">
      <w:r>
        <w:drawing>
          <wp:inline distT="0" distB="0" distL="114300" distR="114300">
            <wp:extent cx="5266055" cy="1687195"/>
            <wp:effectExtent l="0" t="0" r="10795" b="825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49049E98">
      <w:pPr>
        <w:pStyle w:val="4"/>
      </w:pPr>
      <w:bookmarkStart w:id="11" w:name="_Toc181276517"/>
      <w:r>
        <w:rPr>
          <w:rFonts w:hint="eastAsia"/>
        </w:rPr>
        <w:t>已办</w:t>
      </w:r>
      <w:bookmarkEnd w:id="11"/>
    </w:p>
    <w:p w14:paraId="74E14E99">
      <w:pPr>
        <w:ind w:firstLine="480" w:firstLineChars="200"/>
      </w:pPr>
      <w:r>
        <w:rPr>
          <w:rFonts w:hint="eastAsia"/>
        </w:rPr>
        <w:t>在已办列表中查看办理进度和办理结果。</w:t>
      </w:r>
    </w:p>
    <w:p w14:paraId="534FA867">
      <w:r>
        <w:drawing>
          <wp:inline distT="0" distB="0" distL="114300" distR="114300">
            <wp:extent cx="5267325" cy="1962785"/>
            <wp:effectExtent l="0" t="0" r="9525" b="18415"/>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48"/>
                    <a:stretch>
                      <a:fillRect/>
                    </a:stretch>
                  </pic:blipFill>
                  <pic:spPr>
                    <a:xfrm>
                      <a:off x="0" y="0"/>
                      <a:ext cx="5267325" cy="1962785"/>
                    </a:xfrm>
                    <a:prstGeom prst="rect">
                      <a:avLst/>
                    </a:prstGeom>
                    <a:noFill/>
                    <a:ln>
                      <a:noFill/>
                    </a:ln>
                  </pic:spPr>
                </pic:pic>
              </a:graphicData>
            </a:graphic>
          </wp:inline>
        </w:drawing>
      </w:r>
    </w:p>
    <w:p w14:paraId="5C49657D">
      <w:pPr>
        <w:pStyle w:val="3"/>
      </w:pPr>
      <w:bookmarkStart w:id="12" w:name="_Toc181276518"/>
      <w:r>
        <w:rPr>
          <w:rFonts w:hint="eastAsia"/>
        </w:rPr>
        <w:t>示范项目</w:t>
      </w:r>
      <w:bookmarkEnd w:id="12"/>
    </w:p>
    <w:p w14:paraId="5694BB83">
      <w:pPr>
        <w:pStyle w:val="4"/>
      </w:pPr>
      <w:bookmarkStart w:id="13" w:name="_Toc181276519"/>
      <w:r>
        <w:rPr>
          <w:rFonts w:hint="eastAsia"/>
        </w:rPr>
        <w:t>示范工程</w:t>
      </w:r>
      <w:bookmarkEnd w:id="13"/>
    </w:p>
    <w:p w14:paraId="0550F1A4">
      <w:pPr>
        <w:pStyle w:val="22"/>
        <w:numPr>
          <w:ilvl w:val="0"/>
          <w:numId w:val="11"/>
        </w:numPr>
        <w:ind w:firstLineChars="0"/>
        <w:rPr>
          <w:b/>
        </w:rPr>
      </w:pPr>
      <w:r>
        <w:rPr>
          <w:rFonts w:hint="eastAsia"/>
          <w:b/>
        </w:rPr>
        <w:t>填写申报信息</w:t>
      </w:r>
    </w:p>
    <w:p w14:paraId="5DB5A952">
      <w:pPr>
        <w:ind w:firstLine="480" w:firstLineChars="200"/>
      </w:pPr>
      <w:r>
        <w:rPr>
          <w:rFonts w:hint="eastAsia"/>
        </w:rPr>
        <w:t>点击“新增申报”按钮，填写项目基本信息、申报单位信息、申报单体信息、工程主要参与人员以及上传项目证明材料等信息，填写每个模块信息后需点击保存按钮进行保存相应的信息详情。</w:t>
      </w:r>
    </w:p>
    <w:p w14:paraId="4626F3F8">
      <w:pPr>
        <w:rPr>
          <w:rFonts w:hint="eastAsia"/>
        </w:rPr>
      </w:pPr>
      <w:r>
        <w:drawing>
          <wp:inline distT="0" distB="0" distL="0" distR="0">
            <wp:extent cx="5274310" cy="1787525"/>
            <wp:effectExtent l="0" t="0" r="254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274310" cy="1787525"/>
                    </a:xfrm>
                    <a:prstGeom prst="rect">
                      <a:avLst/>
                    </a:prstGeom>
                  </pic:spPr>
                </pic:pic>
              </a:graphicData>
            </a:graphic>
          </wp:inline>
        </w:drawing>
      </w:r>
    </w:p>
    <w:p w14:paraId="7B707186">
      <w:pPr>
        <w:rPr>
          <w:rFonts w:hint="eastAsia"/>
        </w:rPr>
      </w:pPr>
      <w:r>
        <w:drawing>
          <wp:inline distT="0" distB="0" distL="0" distR="0">
            <wp:extent cx="5274310" cy="26022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274310" cy="2602230"/>
                    </a:xfrm>
                    <a:prstGeom prst="rect">
                      <a:avLst/>
                    </a:prstGeom>
                  </pic:spPr>
                </pic:pic>
              </a:graphicData>
            </a:graphic>
          </wp:inline>
        </w:drawing>
      </w:r>
    </w:p>
    <w:p w14:paraId="0B3B8702">
      <w:pPr>
        <w:ind w:firstLine="482" w:firstLineChars="200"/>
      </w:pPr>
      <w:r>
        <w:rPr>
          <w:rFonts w:hint="eastAsia"/>
          <w:b/>
          <w:bCs/>
        </w:rPr>
        <w:t>预览和下载申报书</w:t>
      </w:r>
      <w:r>
        <w:rPr>
          <w:rFonts w:hint="eastAsia"/>
        </w:rPr>
        <w:t>：示范工程的项目基本信息、申报单位信息、申报单体信息以及工程主要参与人员等信息填写完成后，才可进行预览或下载</w:t>
      </w:r>
      <w:r>
        <w:rPr>
          <w:rFonts w:hint="eastAsia" w:ascii="宋体" w:hAnsi="宋体" w:cs="宋体"/>
        </w:rPr>
        <w:t>北京市装配式建筑示范工程申报书</w:t>
      </w:r>
      <w:r>
        <w:rPr>
          <w:rFonts w:hint="eastAsia"/>
        </w:rPr>
        <w:t>。</w:t>
      </w:r>
    </w:p>
    <w:p w14:paraId="4D9B6C8E">
      <w:pPr>
        <w:ind w:firstLine="480" w:firstLineChars="200"/>
        <w:rPr>
          <w:rFonts w:ascii="宋体" w:hAnsi="宋体" w:cs="宋体"/>
        </w:rPr>
      </w:pPr>
      <w:r>
        <w:rPr>
          <w:rFonts w:hint="eastAsia"/>
        </w:rPr>
        <w:t>点击“预览申报书”按钮，可以预览</w:t>
      </w:r>
      <w:r>
        <w:rPr>
          <w:rFonts w:hint="eastAsia" w:ascii="宋体" w:hAnsi="宋体" w:cs="宋体"/>
        </w:rPr>
        <w:t>北京市装配式建筑示范工程申报书；</w:t>
      </w:r>
    </w:p>
    <w:p w14:paraId="09DA65FF">
      <w:pPr>
        <w:ind w:firstLine="480" w:firstLineChars="200"/>
      </w:pPr>
      <w:r>
        <w:rPr>
          <w:rFonts w:hint="eastAsia"/>
        </w:rPr>
        <w:t>点击“下载申报书”按钮，可以下载</w:t>
      </w:r>
      <w:r>
        <w:rPr>
          <w:rFonts w:hint="eastAsia" w:ascii="宋体" w:hAnsi="宋体" w:cs="宋体"/>
        </w:rPr>
        <w:t>北京市装配式建筑示范工程申报书</w:t>
      </w:r>
      <w:r>
        <w:rPr>
          <w:rFonts w:hint="eastAsia"/>
        </w:rPr>
        <w:t>。</w:t>
      </w:r>
    </w:p>
    <w:p w14:paraId="03877534">
      <w:r>
        <w:drawing>
          <wp:inline distT="0" distB="0" distL="0" distR="0">
            <wp:extent cx="5274310" cy="24053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a:stretch>
                      <a:fillRect/>
                    </a:stretch>
                  </pic:blipFill>
                  <pic:spPr>
                    <a:xfrm>
                      <a:off x="0" y="0"/>
                      <a:ext cx="5274310" cy="2405380"/>
                    </a:xfrm>
                    <a:prstGeom prst="rect">
                      <a:avLst/>
                    </a:prstGeom>
                  </pic:spPr>
                </pic:pic>
              </a:graphicData>
            </a:graphic>
          </wp:inline>
        </w:drawing>
      </w:r>
    </w:p>
    <w:p w14:paraId="4462242F">
      <w:pPr>
        <w:ind w:firstLine="482" w:firstLineChars="200"/>
      </w:pPr>
      <w:r>
        <w:rPr>
          <w:rFonts w:hint="eastAsia"/>
          <w:b/>
        </w:rPr>
        <w:t>项目证明材料上传：</w:t>
      </w:r>
      <w:r>
        <w:rPr>
          <w:rFonts w:hint="eastAsia"/>
        </w:rPr>
        <w:t>可对项目证明材料进行上传、下载、删除等操作。</w:t>
      </w:r>
    </w:p>
    <w:p w14:paraId="15165323">
      <w:pPr>
        <w:rPr>
          <w:rFonts w:hint="eastAsia"/>
        </w:rPr>
      </w:pPr>
      <w:r>
        <w:drawing>
          <wp:inline distT="0" distB="0" distL="0" distR="0">
            <wp:extent cx="5274310" cy="258572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tretch>
                      <a:fillRect/>
                    </a:stretch>
                  </pic:blipFill>
                  <pic:spPr>
                    <a:xfrm>
                      <a:off x="0" y="0"/>
                      <a:ext cx="5274310" cy="2585720"/>
                    </a:xfrm>
                    <a:prstGeom prst="rect">
                      <a:avLst/>
                    </a:prstGeom>
                  </pic:spPr>
                </pic:pic>
              </a:graphicData>
            </a:graphic>
          </wp:inline>
        </w:drawing>
      </w:r>
    </w:p>
    <w:p w14:paraId="3C964C65">
      <w:pPr>
        <w:pStyle w:val="22"/>
        <w:numPr>
          <w:ilvl w:val="0"/>
          <w:numId w:val="11"/>
        </w:numPr>
        <w:ind w:firstLineChars="0"/>
        <w:rPr>
          <w:b/>
        </w:rPr>
      </w:pPr>
      <w:r>
        <w:rPr>
          <w:rFonts w:hint="eastAsia"/>
          <w:b/>
        </w:rPr>
        <w:t>申报信息提交</w:t>
      </w:r>
    </w:p>
    <w:p w14:paraId="75AA4164">
      <w:pPr>
        <w:ind w:firstLine="480" w:firstLineChars="200"/>
      </w:pPr>
      <w:r>
        <w:rPr>
          <w:rFonts w:hint="eastAsia"/>
        </w:rPr>
        <w:t>在列表操作列点击“提交”按钮，确认提交后，申报信息不允许修改。</w:t>
      </w:r>
    </w:p>
    <w:p w14:paraId="66359536">
      <w:r>
        <w:drawing>
          <wp:inline distT="0" distB="0" distL="0" distR="0">
            <wp:extent cx="5274310" cy="21355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stretch>
                      <a:fillRect/>
                    </a:stretch>
                  </pic:blipFill>
                  <pic:spPr>
                    <a:xfrm>
                      <a:off x="0" y="0"/>
                      <a:ext cx="5274310" cy="2135505"/>
                    </a:xfrm>
                    <a:prstGeom prst="rect">
                      <a:avLst/>
                    </a:prstGeom>
                  </pic:spPr>
                </pic:pic>
              </a:graphicData>
            </a:graphic>
          </wp:inline>
        </w:drawing>
      </w:r>
    </w:p>
    <w:p w14:paraId="741B4DD3">
      <w:pPr>
        <w:pStyle w:val="22"/>
        <w:numPr>
          <w:ilvl w:val="0"/>
          <w:numId w:val="11"/>
        </w:numPr>
        <w:ind w:firstLineChars="0"/>
        <w:rPr>
          <w:b/>
        </w:rPr>
      </w:pPr>
      <w:r>
        <w:rPr>
          <w:rFonts w:hint="eastAsia"/>
          <w:b/>
        </w:rPr>
        <w:t>申报信息删除</w:t>
      </w:r>
    </w:p>
    <w:p w14:paraId="01A9EAD9">
      <w:pPr>
        <w:ind w:firstLine="480" w:firstLineChars="200"/>
        <w:rPr>
          <w:bCs/>
        </w:rPr>
      </w:pPr>
      <w:r>
        <w:rPr>
          <w:rFonts w:hint="eastAsia"/>
          <w:bCs/>
        </w:rPr>
        <w:t>未提交的申报信息，在列表操作列点击“删除”，可删除申报信息。</w:t>
      </w:r>
    </w:p>
    <w:p w14:paraId="45319331">
      <w:r>
        <w:drawing>
          <wp:inline distT="0" distB="0" distL="0" distR="0">
            <wp:extent cx="5274310" cy="21355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2135505"/>
                    </a:xfrm>
                    <a:prstGeom prst="rect">
                      <a:avLst/>
                    </a:prstGeom>
                  </pic:spPr>
                </pic:pic>
              </a:graphicData>
            </a:graphic>
          </wp:inline>
        </w:drawing>
      </w:r>
    </w:p>
    <w:p w14:paraId="3A7A5A47">
      <w:pPr>
        <w:pStyle w:val="22"/>
        <w:numPr>
          <w:ilvl w:val="0"/>
          <w:numId w:val="11"/>
        </w:numPr>
        <w:ind w:firstLineChars="0"/>
        <w:rPr>
          <w:b/>
        </w:rPr>
      </w:pPr>
      <w:r>
        <w:rPr>
          <w:rFonts w:hint="eastAsia"/>
          <w:b/>
        </w:rPr>
        <w:t>查看退回原因</w:t>
      </w:r>
    </w:p>
    <w:p w14:paraId="2FDB6F47">
      <w:pPr>
        <w:ind w:firstLine="480" w:firstLineChars="200"/>
        <w:rPr>
          <w:bCs/>
        </w:rPr>
      </w:pPr>
      <w:r>
        <w:rPr>
          <w:rFonts w:hint="eastAsia"/>
          <w:bCs/>
        </w:rPr>
        <w:t>在列表操作列点击“退回原因”，查看退回原因，根据退回原因修改申报材料，修改完成后，点击“提交”可重新提交申报信息。</w:t>
      </w:r>
    </w:p>
    <w:p w14:paraId="2F055869">
      <w:r>
        <w:drawing>
          <wp:inline distT="0" distB="0" distL="0" distR="0">
            <wp:extent cx="5274310" cy="213550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274310" cy="2135505"/>
                    </a:xfrm>
                    <a:prstGeom prst="rect">
                      <a:avLst/>
                    </a:prstGeom>
                  </pic:spPr>
                </pic:pic>
              </a:graphicData>
            </a:graphic>
          </wp:inline>
        </w:drawing>
      </w:r>
    </w:p>
    <w:p w14:paraId="2B4E2365">
      <w:pPr>
        <w:pStyle w:val="22"/>
        <w:numPr>
          <w:ilvl w:val="0"/>
          <w:numId w:val="11"/>
        </w:numPr>
        <w:ind w:firstLineChars="0"/>
        <w:rPr>
          <w:b/>
        </w:rPr>
      </w:pPr>
      <w:r>
        <w:rPr>
          <w:rFonts w:hint="eastAsia"/>
          <w:b/>
        </w:rPr>
        <w:t>查看不予受理原因</w:t>
      </w:r>
    </w:p>
    <w:p w14:paraId="57C2F4FC">
      <w:pPr>
        <w:ind w:firstLine="480" w:firstLineChars="200"/>
        <w:rPr>
          <w:rFonts w:hint="eastAsia"/>
          <w:bCs/>
        </w:rPr>
      </w:pPr>
      <w:r>
        <w:rPr>
          <w:rFonts w:hint="eastAsia"/>
          <w:bCs/>
        </w:rPr>
        <w:t>在列表操作列点击“不予受理原因”，查看不予受理原因详情。</w:t>
      </w:r>
    </w:p>
    <w:p w14:paraId="43855266">
      <w:r>
        <w:drawing>
          <wp:inline distT="0" distB="0" distL="0" distR="0">
            <wp:extent cx="5274310" cy="11620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5274310" cy="1162050"/>
                    </a:xfrm>
                    <a:prstGeom prst="rect">
                      <a:avLst/>
                    </a:prstGeom>
                  </pic:spPr>
                </pic:pic>
              </a:graphicData>
            </a:graphic>
          </wp:inline>
        </w:drawing>
      </w:r>
    </w:p>
    <w:p w14:paraId="3715D9A0">
      <w:pPr>
        <w:pStyle w:val="22"/>
        <w:numPr>
          <w:ilvl w:val="0"/>
          <w:numId w:val="11"/>
        </w:numPr>
        <w:ind w:firstLineChars="0"/>
        <w:rPr>
          <w:b/>
        </w:rPr>
      </w:pPr>
      <w:r>
        <w:rPr>
          <w:rFonts w:hint="eastAsia"/>
          <w:b/>
        </w:rPr>
        <w:t>查看专家评审不通过原因</w:t>
      </w:r>
    </w:p>
    <w:p w14:paraId="423AE1F0">
      <w:pPr>
        <w:ind w:firstLine="480" w:firstLineChars="200"/>
        <w:rPr>
          <w:bCs/>
        </w:rPr>
      </w:pPr>
      <w:r>
        <w:rPr>
          <w:rFonts w:hint="eastAsia"/>
          <w:bCs/>
        </w:rPr>
        <w:t>在列表操作列点击“专家评审不通过原因”，查看专家评审不通过原因详情。</w:t>
      </w:r>
    </w:p>
    <w:p w14:paraId="01BBEB64">
      <w:pPr>
        <w:rPr>
          <w:rFonts w:hint="eastAsia"/>
        </w:rPr>
      </w:pPr>
      <w:r>
        <w:drawing>
          <wp:inline distT="0" distB="0" distL="0" distR="0">
            <wp:extent cx="5274310" cy="9658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5274310" cy="965835"/>
                    </a:xfrm>
                    <a:prstGeom prst="rect">
                      <a:avLst/>
                    </a:prstGeom>
                  </pic:spPr>
                </pic:pic>
              </a:graphicData>
            </a:graphic>
          </wp:inline>
        </w:drawing>
      </w:r>
    </w:p>
    <w:p w14:paraId="451CB9F6">
      <w:pPr>
        <w:pStyle w:val="3"/>
      </w:pPr>
      <w:bookmarkStart w:id="14" w:name="_Toc181276520"/>
      <w:r>
        <w:rPr>
          <w:rFonts w:hint="eastAsia"/>
        </w:rPr>
        <w:t>建材信息查阅</w:t>
      </w:r>
      <w:bookmarkEnd w:id="14"/>
    </w:p>
    <w:p w14:paraId="61003881">
      <w:pPr>
        <w:ind w:firstLine="480" w:firstLineChars="200"/>
      </w:pPr>
      <w:r>
        <w:rPr>
          <w:rFonts w:hint="eastAsia"/>
        </w:rPr>
        <w:t>列表可查看文件的名称、发布单位、发布日期，点击文件名称可查看文件内容。</w:t>
      </w:r>
    </w:p>
    <w:p w14:paraId="420C205D">
      <w:r>
        <w:drawing>
          <wp:inline distT="0" distB="0" distL="114300" distR="114300">
            <wp:extent cx="5273675" cy="1430020"/>
            <wp:effectExtent l="0" t="0" r="3175" b="1778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8"/>
                    <a:stretch>
                      <a:fillRect/>
                    </a:stretch>
                  </pic:blipFill>
                  <pic:spPr>
                    <a:xfrm>
                      <a:off x="0" y="0"/>
                      <a:ext cx="5273675" cy="1430020"/>
                    </a:xfrm>
                    <a:prstGeom prst="rect">
                      <a:avLst/>
                    </a:prstGeom>
                    <a:noFill/>
                    <a:ln>
                      <a:noFill/>
                    </a:ln>
                  </pic:spPr>
                </pic:pic>
              </a:graphicData>
            </a:graphic>
          </wp:inline>
        </w:drawing>
      </w:r>
    </w:p>
    <w:p w14:paraId="5E3CF59A"/>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CC49">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94E68">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2A94E68">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152F3"/>
    <w:multiLevelType w:val="multilevel"/>
    <w:tmpl w:val="AB8152F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183A0CCE"/>
    <w:multiLevelType w:val="multilevel"/>
    <w:tmpl w:val="183A0CCE"/>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197F6441"/>
    <w:multiLevelType w:val="multilevel"/>
    <w:tmpl w:val="197F64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0633C4"/>
    <w:multiLevelType w:val="multilevel"/>
    <w:tmpl w:val="2B0633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7767CB"/>
    <w:multiLevelType w:val="multilevel"/>
    <w:tmpl w:val="317767CB"/>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1EC78D8"/>
    <w:multiLevelType w:val="multilevel"/>
    <w:tmpl w:val="31EC78D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3F3B95"/>
    <w:multiLevelType w:val="multilevel"/>
    <w:tmpl w:val="423F3B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ED3009"/>
    <w:multiLevelType w:val="multilevel"/>
    <w:tmpl w:val="60ED30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6CB3E38"/>
    <w:multiLevelType w:val="multilevel"/>
    <w:tmpl w:val="66CB3E3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ED4C67"/>
    <w:multiLevelType w:val="multilevel"/>
    <w:tmpl w:val="66ED4C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FA5B06"/>
    <w:multiLevelType w:val="multilevel"/>
    <w:tmpl w:val="75FA5B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9"/>
  </w:num>
  <w:num w:numId="4">
    <w:abstractNumId w:val="1"/>
  </w:num>
  <w:num w:numId="5">
    <w:abstractNumId w:val="7"/>
  </w:num>
  <w:num w:numId="6">
    <w:abstractNumId w:val="5"/>
  </w:num>
  <w:num w:numId="7">
    <w:abstractNumId w:val="4"/>
  </w:num>
  <w:num w:numId="8">
    <w:abstractNumId w:val="10"/>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C41E7B"/>
    <w:rsid w:val="000458ED"/>
    <w:rsid w:val="000809B4"/>
    <w:rsid w:val="000B1CD1"/>
    <w:rsid w:val="00132238"/>
    <w:rsid w:val="00171CA2"/>
    <w:rsid w:val="00174676"/>
    <w:rsid w:val="001A4A6B"/>
    <w:rsid w:val="001E5F53"/>
    <w:rsid w:val="002179C1"/>
    <w:rsid w:val="002403F2"/>
    <w:rsid w:val="00242463"/>
    <w:rsid w:val="00243458"/>
    <w:rsid w:val="002766FB"/>
    <w:rsid w:val="00277F10"/>
    <w:rsid w:val="00294079"/>
    <w:rsid w:val="00324C2E"/>
    <w:rsid w:val="00350212"/>
    <w:rsid w:val="003C5806"/>
    <w:rsid w:val="003E4EBA"/>
    <w:rsid w:val="004714DC"/>
    <w:rsid w:val="00485C77"/>
    <w:rsid w:val="004B323A"/>
    <w:rsid w:val="005060A6"/>
    <w:rsid w:val="00513CED"/>
    <w:rsid w:val="00524856"/>
    <w:rsid w:val="00545421"/>
    <w:rsid w:val="00567821"/>
    <w:rsid w:val="00582CBA"/>
    <w:rsid w:val="005E26E2"/>
    <w:rsid w:val="005E432E"/>
    <w:rsid w:val="006C12B2"/>
    <w:rsid w:val="00716766"/>
    <w:rsid w:val="00724B02"/>
    <w:rsid w:val="007251EA"/>
    <w:rsid w:val="007358A2"/>
    <w:rsid w:val="00764D5A"/>
    <w:rsid w:val="00787DC7"/>
    <w:rsid w:val="00792ADF"/>
    <w:rsid w:val="007B4749"/>
    <w:rsid w:val="007F3280"/>
    <w:rsid w:val="008556DE"/>
    <w:rsid w:val="00871A66"/>
    <w:rsid w:val="008C4829"/>
    <w:rsid w:val="00924A0D"/>
    <w:rsid w:val="00950022"/>
    <w:rsid w:val="009C10F4"/>
    <w:rsid w:val="009E6476"/>
    <w:rsid w:val="009F6E81"/>
    <w:rsid w:val="00A259F0"/>
    <w:rsid w:val="00A64E4E"/>
    <w:rsid w:val="00AA3D41"/>
    <w:rsid w:val="00AE1EDF"/>
    <w:rsid w:val="00AE46A1"/>
    <w:rsid w:val="00B166EE"/>
    <w:rsid w:val="00B33B4B"/>
    <w:rsid w:val="00B724D9"/>
    <w:rsid w:val="00B85FAE"/>
    <w:rsid w:val="00BA38EF"/>
    <w:rsid w:val="00BD2101"/>
    <w:rsid w:val="00C36550"/>
    <w:rsid w:val="00CD357F"/>
    <w:rsid w:val="00CE769B"/>
    <w:rsid w:val="00D238FD"/>
    <w:rsid w:val="00D42E85"/>
    <w:rsid w:val="00D563FE"/>
    <w:rsid w:val="00D72F96"/>
    <w:rsid w:val="00E778BF"/>
    <w:rsid w:val="00EE49FD"/>
    <w:rsid w:val="00EE4E37"/>
    <w:rsid w:val="00EF6298"/>
    <w:rsid w:val="00F7365D"/>
    <w:rsid w:val="00FF7362"/>
    <w:rsid w:val="01A84C8E"/>
    <w:rsid w:val="05D27DAE"/>
    <w:rsid w:val="06341411"/>
    <w:rsid w:val="0C3C1E35"/>
    <w:rsid w:val="11D3651F"/>
    <w:rsid w:val="15542DF2"/>
    <w:rsid w:val="17977F5C"/>
    <w:rsid w:val="1C7B4AE7"/>
    <w:rsid w:val="1EE20EFC"/>
    <w:rsid w:val="22AF5E12"/>
    <w:rsid w:val="2ED31CC8"/>
    <w:rsid w:val="310F20A7"/>
    <w:rsid w:val="34D674F2"/>
    <w:rsid w:val="37D92E57"/>
    <w:rsid w:val="38C41E7B"/>
    <w:rsid w:val="3BC304D5"/>
    <w:rsid w:val="3BE57DA4"/>
    <w:rsid w:val="3D3B4145"/>
    <w:rsid w:val="3E916977"/>
    <w:rsid w:val="44AA1F37"/>
    <w:rsid w:val="46A555CE"/>
    <w:rsid w:val="46B4794E"/>
    <w:rsid w:val="482E1EA5"/>
    <w:rsid w:val="4965480E"/>
    <w:rsid w:val="4C966C3F"/>
    <w:rsid w:val="51C72309"/>
    <w:rsid w:val="566659EE"/>
    <w:rsid w:val="569C66B4"/>
    <w:rsid w:val="57934B0E"/>
    <w:rsid w:val="58EB0742"/>
    <w:rsid w:val="597876BF"/>
    <w:rsid w:val="5C4A6717"/>
    <w:rsid w:val="5D6D2692"/>
    <w:rsid w:val="5DAC5406"/>
    <w:rsid w:val="5E4371B6"/>
    <w:rsid w:val="64141437"/>
    <w:rsid w:val="6BAE053F"/>
    <w:rsid w:val="6CA02722"/>
    <w:rsid w:val="6F730751"/>
    <w:rsid w:val="72371545"/>
    <w:rsid w:val="7A4F197B"/>
    <w:rsid w:val="7AED2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ind w:left="840" w:leftChars="400"/>
    </w:pPr>
    <w:rPr>
      <w:rFonts w:eastAsia="黑体"/>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rPr>
      <w:rFonts w:eastAsia="黑体"/>
    </w:rPr>
  </w:style>
  <w:style w:type="paragraph" w:styleId="15">
    <w:name w:val="toc 2"/>
    <w:basedOn w:val="1"/>
    <w:next w:val="1"/>
    <w:qFormat/>
    <w:uiPriority w:val="39"/>
    <w:pPr>
      <w:ind w:left="420" w:leftChars="200"/>
    </w:pPr>
    <w:rPr>
      <w:rFonts w:eastAsia="黑体"/>
    </w:rPr>
  </w:style>
  <w:style w:type="paragraph" w:styleId="16">
    <w:name w:val="Normal (Web)"/>
    <w:basedOn w:val="1"/>
    <w:qFormat/>
    <w:uiPriority w:val="99"/>
    <w:pPr>
      <w:spacing w:beforeAutospacing="1" w:afterAutospacing="1"/>
      <w:jc w:val="left"/>
    </w:pPr>
    <w:rPr>
      <w:rFonts w:cs="Times New Roman"/>
      <w:kern w:val="0"/>
    </w:rPr>
  </w:style>
  <w:style w:type="table" w:styleId="18">
    <w:name w:val="Table Grid"/>
    <w:basedOn w:val="17"/>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customStyle="1" w:styleId="21">
    <w:name w:val="样式10"/>
    <w:basedOn w:val="1"/>
    <w:qFormat/>
    <w:uiPriority w:val="0"/>
    <w:pPr>
      <w:ind w:left="480" w:firstLine="200" w:firstLineChars="200"/>
    </w:pPr>
    <w:rPr>
      <w:rFonts w:ascii="Times New Roman" w:hAnsi="Times New Roman" w:cs="Times New Roman"/>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1336</Words>
  <Characters>1446</Characters>
  <Lines>171</Lines>
  <Paragraphs>48</Paragraphs>
  <TotalTime>522</TotalTime>
  <ScaleCrop>false</ScaleCrop>
  <LinksUpToDate>false</LinksUpToDate>
  <CharactersWithSpaces>5635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2023-08-29T02:13:00Z</dcterms:created>
  <dc:creator>lsy</dc:creator>
  <cp:lastModifiedBy>孤独岁月丶冷</cp:lastModifiedBy>
  <dcterms:modified xsi:type="dcterms:W3CDTF">2025-10-21T06:51:07Z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0188964113D94573A21465E5353BDD27_13</vt:lpwstr>
  </property>
</Properties>
</file>