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19134">
      <w:pPr>
        <w:pStyle w:val="18"/>
      </w:pPr>
      <w:bookmarkStart w:id="11" w:name="_GoBack"/>
      <w:bookmarkEnd w:id="11"/>
    </w:p>
    <w:p w14:paraId="542AA405"/>
    <w:p w14:paraId="189E2A2E"/>
    <w:p w14:paraId="11A21A7E"/>
    <w:p w14:paraId="70D367E3"/>
    <w:p w14:paraId="46E0D7D0">
      <w:pPr>
        <w:jc w:val="center"/>
        <w:rPr>
          <w:b/>
          <w:bCs/>
          <w:sz w:val="44"/>
          <w:szCs w:val="44"/>
        </w:rPr>
      </w:pPr>
      <w:r>
        <w:rPr>
          <w:rFonts w:hint="eastAsia"/>
          <w:b/>
          <w:bCs/>
          <w:sz w:val="44"/>
          <w:szCs w:val="44"/>
        </w:rPr>
        <w:t>北京市绿色建筑项目管理服务平台</w:t>
      </w:r>
    </w:p>
    <w:p w14:paraId="61E0EA6B">
      <w:pPr>
        <w:jc w:val="center"/>
        <w:rPr>
          <w:b/>
          <w:bCs/>
          <w:sz w:val="44"/>
          <w:szCs w:val="44"/>
        </w:rPr>
      </w:pPr>
      <w:r>
        <w:rPr>
          <w:rFonts w:hint="eastAsia"/>
          <w:b/>
          <w:bCs/>
          <w:sz w:val="44"/>
          <w:szCs w:val="44"/>
        </w:rPr>
        <w:t>操作手册（专家端）</w:t>
      </w:r>
    </w:p>
    <w:p w14:paraId="2C4D2053"/>
    <w:p w14:paraId="37F0F989"/>
    <w:p w14:paraId="03AAB8B5"/>
    <w:p w14:paraId="115E8567"/>
    <w:p w14:paraId="35139898"/>
    <w:p w14:paraId="102C74D0"/>
    <w:p w14:paraId="7F168702"/>
    <w:p w14:paraId="6364DB4F"/>
    <w:p w14:paraId="11B0E943"/>
    <w:p w14:paraId="763F13C7"/>
    <w:p w14:paraId="332980C1"/>
    <w:p w14:paraId="177B3468"/>
    <w:p w14:paraId="4CF94F73"/>
    <w:p w14:paraId="57681664"/>
    <w:p w14:paraId="4CE40E75"/>
    <w:p w14:paraId="16B16A86"/>
    <w:p w14:paraId="48554986">
      <w:pPr>
        <w:jc w:val="center"/>
        <w:rPr>
          <w:b/>
          <w:bCs/>
          <w:sz w:val="30"/>
          <w:szCs w:val="30"/>
        </w:rPr>
      </w:pPr>
      <w:r>
        <w:rPr>
          <w:rFonts w:hint="eastAsia"/>
          <w:b/>
          <w:bCs/>
          <w:sz w:val="30"/>
          <w:szCs w:val="30"/>
        </w:rPr>
        <w:t>北京理正人信息技术有限公司</w:t>
      </w:r>
    </w:p>
    <w:p w14:paraId="4E19502F">
      <w:pPr>
        <w:jc w:val="center"/>
        <w:rPr>
          <w:b/>
          <w:bCs/>
          <w:sz w:val="30"/>
          <w:szCs w:val="30"/>
        </w:rPr>
      </w:pPr>
      <w:r>
        <w:rPr>
          <w:rFonts w:hint="eastAsia"/>
          <w:b/>
          <w:bCs/>
          <w:sz w:val="30"/>
          <w:szCs w:val="30"/>
        </w:rPr>
        <w:t>2024年</w:t>
      </w:r>
      <w:r>
        <w:rPr>
          <w:b/>
          <w:bCs/>
          <w:sz w:val="30"/>
          <w:szCs w:val="30"/>
        </w:rPr>
        <w:t>5</w:t>
      </w:r>
      <w:r>
        <w:rPr>
          <w:rFonts w:hint="eastAsia"/>
          <w:b/>
          <w:bCs/>
          <w:sz w:val="30"/>
          <w:szCs w:val="30"/>
        </w:rPr>
        <w:t>月</w:t>
      </w:r>
    </w:p>
    <w:p w14:paraId="5B7D3A63"/>
    <w:p w14:paraId="29CF826D"/>
    <w:p w14:paraId="19C6ED91">
      <w:pPr>
        <w:pStyle w:val="18"/>
      </w:pPr>
    </w:p>
    <w:sdt>
      <w:sdtPr>
        <w:rPr>
          <w:rFonts w:eastAsia="宋体" w:asciiTheme="minorHAnsi" w:hAnsiTheme="minorHAnsi" w:cstheme="minorBidi"/>
          <w:b w:val="0"/>
          <w:bCs w:val="0"/>
          <w:color w:val="auto"/>
          <w:kern w:val="2"/>
          <w:sz w:val="24"/>
          <w:szCs w:val="24"/>
          <w:lang w:val="zh-CN"/>
        </w:rPr>
        <w:id w:val="-1313950528"/>
        <w:docPartObj>
          <w:docPartGallery w:val="Table of Contents"/>
          <w:docPartUnique/>
        </w:docPartObj>
      </w:sdtPr>
      <w:sdtEndPr>
        <w:rPr>
          <w:rFonts w:eastAsia="宋体" w:asciiTheme="minorHAnsi" w:hAnsiTheme="minorHAnsi" w:cstheme="minorBidi"/>
          <w:b w:val="0"/>
          <w:bCs w:val="0"/>
          <w:color w:val="auto"/>
          <w:kern w:val="2"/>
          <w:sz w:val="24"/>
          <w:szCs w:val="24"/>
          <w:lang w:val="zh-CN"/>
        </w:rPr>
      </w:sdtEndPr>
      <w:sdtContent>
        <w:p w14:paraId="1267DD08">
          <w:pPr>
            <w:pStyle w:val="39"/>
            <w:jc w:val="center"/>
          </w:pPr>
          <w:r>
            <w:rPr>
              <w:lang w:val="zh-CN"/>
            </w:rPr>
            <w:t>目</w:t>
          </w:r>
          <w:r>
            <w:rPr>
              <w:rFonts w:hint="eastAsia"/>
              <w:lang w:val="zh-CN"/>
            </w:rPr>
            <w:t xml:space="preserve"> </w:t>
          </w:r>
          <w:r>
            <w:rPr>
              <w:lang w:val="zh-CN"/>
            </w:rPr>
            <w:t>录</w:t>
          </w:r>
        </w:p>
        <w:p w14:paraId="57F9BB9A">
          <w:pPr>
            <w:pStyle w:val="18"/>
            <w:tabs>
              <w:tab w:val="left" w:pos="420"/>
              <w:tab w:val="right" w:leader="dot" w:pos="8296"/>
            </w:tabs>
            <w:rPr>
              <w:rFonts w:eastAsiaTheme="minorEastAsia"/>
              <w:sz w:val="21"/>
              <w:szCs w:val="22"/>
            </w:rPr>
          </w:pPr>
          <w:r>
            <w:fldChar w:fldCharType="begin"/>
          </w:r>
          <w:r>
            <w:instrText xml:space="preserve"> TOC \o "1-3" \h \z \u </w:instrText>
          </w:r>
          <w:r>
            <w:fldChar w:fldCharType="separate"/>
          </w:r>
          <w:r>
            <w:fldChar w:fldCharType="begin"/>
          </w:r>
          <w:r>
            <w:instrText xml:space="preserve"> HYPERLINK \l "_Toc178066737" </w:instrText>
          </w:r>
          <w:r>
            <w:fldChar w:fldCharType="separate"/>
          </w:r>
          <w:r>
            <w:rPr>
              <w:rStyle w:val="24"/>
            </w:rPr>
            <w:t>1</w:t>
          </w:r>
          <w:r>
            <w:rPr>
              <w:rFonts w:eastAsiaTheme="minorEastAsia"/>
              <w:sz w:val="21"/>
              <w:szCs w:val="22"/>
            </w:rPr>
            <w:tab/>
          </w:r>
          <w:r>
            <w:rPr>
              <w:rStyle w:val="24"/>
            </w:rPr>
            <w:t>系统登录</w:t>
          </w:r>
          <w:r>
            <w:tab/>
          </w:r>
          <w:r>
            <w:fldChar w:fldCharType="begin"/>
          </w:r>
          <w:r>
            <w:instrText xml:space="preserve"> PAGEREF _Toc178066737 \h </w:instrText>
          </w:r>
          <w:r>
            <w:fldChar w:fldCharType="separate"/>
          </w:r>
          <w:r>
            <w:t>1</w:t>
          </w:r>
          <w:r>
            <w:fldChar w:fldCharType="end"/>
          </w:r>
          <w:r>
            <w:fldChar w:fldCharType="end"/>
          </w:r>
        </w:p>
        <w:p w14:paraId="7F96E00D">
          <w:pPr>
            <w:pStyle w:val="18"/>
            <w:tabs>
              <w:tab w:val="left" w:pos="420"/>
              <w:tab w:val="right" w:leader="dot" w:pos="8296"/>
            </w:tabs>
            <w:rPr>
              <w:rFonts w:eastAsiaTheme="minorEastAsia"/>
              <w:sz w:val="21"/>
              <w:szCs w:val="22"/>
            </w:rPr>
          </w:pPr>
          <w:r>
            <w:fldChar w:fldCharType="begin"/>
          </w:r>
          <w:r>
            <w:instrText xml:space="preserve"> HYPERLINK \l "_Toc178066738" </w:instrText>
          </w:r>
          <w:r>
            <w:fldChar w:fldCharType="separate"/>
          </w:r>
          <w:r>
            <w:rPr>
              <w:rStyle w:val="24"/>
            </w:rPr>
            <w:t>2</w:t>
          </w:r>
          <w:r>
            <w:rPr>
              <w:rFonts w:eastAsiaTheme="minorEastAsia"/>
              <w:sz w:val="21"/>
              <w:szCs w:val="22"/>
            </w:rPr>
            <w:tab/>
          </w:r>
          <w:r>
            <w:rPr>
              <w:rStyle w:val="24"/>
            </w:rPr>
            <w:t>专家操作说明</w:t>
          </w:r>
          <w:r>
            <w:tab/>
          </w:r>
          <w:r>
            <w:fldChar w:fldCharType="begin"/>
          </w:r>
          <w:r>
            <w:instrText xml:space="preserve"> PAGEREF _Toc178066738 \h </w:instrText>
          </w:r>
          <w:r>
            <w:fldChar w:fldCharType="separate"/>
          </w:r>
          <w:r>
            <w:t>2</w:t>
          </w:r>
          <w:r>
            <w:fldChar w:fldCharType="end"/>
          </w:r>
          <w:r>
            <w:fldChar w:fldCharType="end"/>
          </w:r>
        </w:p>
        <w:p w14:paraId="311E42F8">
          <w:pPr>
            <w:pStyle w:val="19"/>
            <w:tabs>
              <w:tab w:val="left" w:pos="1050"/>
              <w:tab w:val="right" w:leader="dot" w:pos="8296"/>
            </w:tabs>
            <w:ind w:left="480"/>
            <w:rPr>
              <w:rFonts w:eastAsiaTheme="minorEastAsia"/>
              <w:sz w:val="21"/>
              <w:szCs w:val="22"/>
            </w:rPr>
          </w:pPr>
          <w:r>
            <w:fldChar w:fldCharType="begin"/>
          </w:r>
          <w:r>
            <w:instrText xml:space="preserve"> HYPERLINK \l "_Toc178066739" </w:instrText>
          </w:r>
          <w:r>
            <w:fldChar w:fldCharType="separate"/>
          </w:r>
          <w:r>
            <w:rPr>
              <w:rStyle w:val="24"/>
            </w:rPr>
            <w:t>2.1</w:t>
          </w:r>
          <w:r>
            <w:rPr>
              <w:rFonts w:eastAsiaTheme="minorEastAsia"/>
              <w:sz w:val="21"/>
              <w:szCs w:val="22"/>
            </w:rPr>
            <w:tab/>
          </w:r>
          <w:r>
            <w:rPr>
              <w:rStyle w:val="24"/>
            </w:rPr>
            <w:t>新申请加入</w:t>
          </w:r>
          <w:r>
            <w:tab/>
          </w:r>
          <w:r>
            <w:fldChar w:fldCharType="begin"/>
          </w:r>
          <w:r>
            <w:instrText xml:space="preserve"> PAGEREF _Toc178066739 \h </w:instrText>
          </w:r>
          <w:r>
            <w:fldChar w:fldCharType="separate"/>
          </w:r>
          <w:r>
            <w:t>2</w:t>
          </w:r>
          <w:r>
            <w:fldChar w:fldCharType="end"/>
          </w:r>
          <w:r>
            <w:fldChar w:fldCharType="end"/>
          </w:r>
        </w:p>
        <w:p w14:paraId="0D4C16FA">
          <w:pPr>
            <w:pStyle w:val="19"/>
            <w:tabs>
              <w:tab w:val="left" w:pos="1050"/>
              <w:tab w:val="right" w:leader="dot" w:pos="8296"/>
            </w:tabs>
            <w:ind w:left="480"/>
            <w:rPr>
              <w:rFonts w:eastAsiaTheme="minorEastAsia"/>
              <w:sz w:val="21"/>
              <w:szCs w:val="22"/>
            </w:rPr>
          </w:pPr>
          <w:r>
            <w:fldChar w:fldCharType="begin"/>
          </w:r>
          <w:r>
            <w:instrText xml:space="preserve"> HYPERLINK \l "_Toc178066740" </w:instrText>
          </w:r>
          <w:r>
            <w:fldChar w:fldCharType="separate"/>
          </w:r>
          <w:r>
            <w:rPr>
              <w:rStyle w:val="24"/>
            </w:rPr>
            <w:t>2.2</w:t>
          </w:r>
          <w:r>
            <w:rPr>
              <w:rFonts w:eastAsiaTheme="minorEastAsia"/>
              <w:sz w:val="21"/>
              <w:szCs w:val="22"/>
            </w:rPr>
            <w:tab/>
          </w:r>
          <w:r>
            <w:rPr>
              <w:rStyle w:val="24"/>
            </w:rPr>
            <w:t>换届申请</w:t>
          </w:r>
          <w:r>
            <w:tab/>
          </w:r>
          <w:r>
            <w:fldChar w:fldCharType="begin"/>
          </w:r>
          <w:r>
            <w:instrText xml:space="preserve"> PAGEREF _Toc178066740 \h </w:instrText>
          </w:r>
          <w:r>
            <w:fldChar w:fldCharType="separate"/>
          </w:r>
          <w:r>
            <w:t>4</w:t>
          </w:r>
          <w:r>
            <w:fldChar w:fldCharType="end"/>
          </w:r>
          <w:r>
            <w:fldChar w:fldCharType="end"/>
          </w:r>
        </w:p>
        <w:p w14:paraId="4ABD2A50">
          <w:pPr>
            <w:pStyle w:val="19"/>
            <w:tabs>
              <w:tab w:val="left" w:pos="1050"/>
              <w:tab w:val="right" w:leader="dot" w:pos="8296"/>
            </w:tabs>
            <w:ind w:left="480"/>
            <w:rPr>
              <w:rFonts w:eastAsiaTheme="minorEastAsia"/>
              <w:sz w:val="21"/>
              <w:szCs w:val="22"/>
            </w:rPr>
          </w:pPr>
          <w:r>
            <w:fldChar w:fldCharType="begin"/>
          </w:r>
          <w:r>
            <w:instrText xml:space="preserve"> HYPERLINK \l "_Toc178066741" </w:instrText>
          </w:r>
          <w:r>
            <w:fldChar w:fldCharType="separate"/>
          </w:r>
          <w:r>
            <w:rPr>
              <w:rStyle w:val="24"/>
            </w:rPr>
            <w:t>2.3</w:t>
          </w:r>
          <w:r>
            <w:rPr>
              <w:rFonts w:eastAsiaTheme="minorEastAsia"/>
              <w:sz w:val="21"/>
              <w:szCs w:val="22"/>
            </w:rPr>
            <w:tab/>
          </w:r>
          <w:r>
            <w:rPr>
              <w:rStyle w:val="24"/>
            </w:rPr>
            <w:t>专家业务办理</w:t>
          </w:r>
          <w:r>
            <w:tab/>
          </w:r>
          <w:r>
            <w:fldChar w:fldCharType="begin"/>
          </w:r>
          <w:r>
            <w:instrText xml:space="preserve"> PAGEREF _Toc178066741 \h </w:instrText>
          </w:r>
          <w:r>
            <w:fldChar w:fldCharType="separate"/>
          </w:r>
          <w:r>
            <w:t>5</w:t>
          </w:r>
          <w:r>
            <w:fldChar w:fldCharType="end"/>
          </w:r>
          <w:r>
            <w:fldChar w:fldCharType="end"/>
          </w:r>
        </w:p>
        <w:p w14:paraId="0D04E6AB">
          <w:pPr>
            <w:pStyle w:val="13"/>
            <w:tabs>
              <w:tab w:val="left" w:pos="1680"/>
              <w:tab w:val="right" w:leader="dot" w:pos="8296"/>
            </w:tabs>
            <w:ind w:left="960"/>
            <w:rPr>
              <w:rFonts w:eastAsiaTheme="minorEastAsia"/>
              <w:sz w:val="21"/>
              <w:szCs w:val="22"/>
            </w:rPr>
          </w:pPr>
          <w:r>
            <w:fldChar w:fldCharType="begin"/>
          </w:r>
          <w:r>
            <w:instrText xml:space="preserve"> HYPERLINK \l "_Toc178066742" </w:instrText>
          </w:r>
          <w:r>
            <w:fldChar w:fldCharType="separate"/>
          </w:r>
          <w:r>
            <w:rPr>
              <w:rStyle w:val="24"/>
            </w:rPr>
            <w:t>2.3.1</w:t>
          </w:r>
          <w:r>
            <w:rPr>
              <w:rFonts w:eastAsiaTheme="minorEastAsia"/>
              <w:sz w:val="21"/>
              <w:szCs w:val="22"/>
            </w:rPr>
            <w:tab/>
          </w:r>
          <w:r>
            <w:rPr>
              <w:rStyle w:val="24"/>
            </w:rPr>
            <w:t>首页</w:t>
          </w:r>
          <w:r>
            <w:tab/>
          </w:r>
          <w:r>
            <w:fldChar w:fldCharType="begin"/>
          </w:r>
          <w:r>
            <w:instrText xml:space="preserve"> PAGEREF _Toc178066742 \h </w:instrText>
          </w:r>
          <w:r>
            <w:fldChar w:fldCharType="separate"/>
          </w:r>
          <w:r>
            <w:t>6</w:t>
          </w:r>
          <w:r>
            <w:fldChar w:fldCharType="end"/>
          </w:r>
          <w:r>
            <w:fldChar w:fldCharType="end"/>
          </w:r>
        </w:p>
        <w:p w14:paraId="6E268C17">
          <w:pPr>
            <w:pStyle w:val="13"/>
            <w:tabs>
              <w:tab w:val="left" w:pos="1680"/>
              <w:tab w:val="right" w:leader="dot" w:pos="8296"/>
            </w:tabs>
            <w:ind w:left="960"/>
            <w:rPr>
              <w:rFonts w:eastAsiaTheme="minorEastAsia"/>
              <w:sz w:val="21"/>
              <w:szCs w:val="22"/>
            </w:rPr>
          </w:pPr>
          <w:r>
            <w:fldChar w:fldCharType="begin"/>
          </w:r>
          <w:r>
            <w:instrText xml:space="preserve"> HYPERLINK \l "_Toc178066743" </w:instrText>
          </w:r>
          <w:r>
            <w:fldChar w:fldCharType="separate"/>
          </w:r>
          <w:r>
            <w:rPr>
              <w:rStyle w:val="24"/>
            </w:rPr>
            <w:t>2.3.2</w:t>
          </w:r>
          <w:r>
            <w:rPr>
              <w:rFonts w:eastAsiaTheme="minorEastAsia"/>
              <w:sz w:val="21"/>
              <w:szCs w:val="22"/>
            </w:rPr>
            <w:tab/>
          </w:r>
          <w:r>
            <w:rPr>
              <w:rStyle w:val="24"/>
            </w:rPr>
            <w:t>会议信息</w:t>
          </w:r>
          <w:r>
            <w:tab/>
          </w:r>
          <w:r>
            <w:fldChar w:fldCharType="begin"/>
          </w:r>
          <w:r>
            <w:instrText xml:space="preserve"> PAGEREF _Toc178066743 \h </w:instrText>
          </w:r>
          <w:r>
            <w:fldChar w:fldCharType="separate"/>
          </w:r>
          <w:r>
            <w:t>6</w:t>
          </w:r>
          <w:r>
            <w:fldChar w:fldCharType="end"/>
          </w:r>
          <w:r>
            <w:fldChar w:fldCharType="end"/>
          </w:r>
        </w:p>
        <w:p w14:paraId="60C18DF5">
          <w:pPr>
            <w:pStyle w:val="13"/>
            <w:tabs>
              <w:tab w:val="left" w:pos="1680"/>
              <w:tab w:val="right" w:leader="dot" w:pos="8296"/>
            </w:tabs>
            <w:ind w:left="960"/>
            <w:rPr>
              <w:rFonts w:eastAsiaTheme="minorEastAsia"/>
              <w:sz w:val="21"/>
              <w:szCs w:val="22"/>
            </w:rPr>
          </w:pPr>
          <w:r>
            <w:fldChar w:fldCharType="begin"/>
          </w:r>
          <w:r>
            <w:instrText xml:space="preserve"> HYPERLINK \l "_Toc178066744" </w:instrText>
          </w:r>
          <w:r>
            <w:fldChar w:fldCharType="separate"/>
          </w:r>
          <w:r>
            <w:rPr>
              <w:rStyle w:val="24"/>
            </w:rPr>
            <w:t>2.3.3</w:t>
          </w:r>
          <w:r>
            <w:rPr>
              <w:rFonts w:eastAsiaTheme="minorEastAsia"/>
              <w:sz w:val="21"/>
              <w:szCs w:val="22"/>
            </w:rPr>
            <w:tab/>
          </w:r>
          <w:r>
            <w:rPr>
              <w:rStyle w:val="24"/>
            </w:rPr>
            <w:t>标识认定（暂未上线）</w:t>
          </w:r>
          <w:r>
            <w:tab/>
          </w:r>
          <w:r>
            <w:fldChar w:fldCharType="begin"/>
          </w:r>
          <w:r>
            <w:instrText xml:space="preserve"> PAGEREF _Toc178066744 \h </w:instrText>
          </w:r>
          <w:r>
            <w:fldChar w:fldCharType="separate"/>
          </w:r>
          <w:r>
            <w:t>7</w:t>
          </w:r>
          <w:r>
            <w:fldChar w:fldCharType="end"/>
          </w:r>
          <w:r>
            <w:fldChar w:fldCharType="end"/>
          </w:r>
        </w:p>
        <w:p w14:paraId="301C9F37">
          <w:pPr>
            <w:pStyle w:val="13"/>
            <w:tabs>
              <w:tab w:val="left" w:pos="1680"/>
              <w:tab w:val="right" w:leader="dot" w:pos="8296"/>
            </w:tabs>
            <w:ind w:left="960"/>
            <w:rPr>
              <w:rFonts w:eastAsiaTheme="minorEastAsia"/>
              <w:sz w:val="21"/>
              <w:szCs w:val="22"/>
            </w:rPr>
          </w:pPr>
          <w:r>
            <w:fldChar w:fldCharType="begin"/>
          </w:r>
          <w:r>
            <w:instrText xml:space="preserve"> HYPERLINK \l "_Toc178066745" </w:instrText>
          </w:r>
          <w:r>
            <w:fldChar w:fldCharType="separate"/>
          </w:r>
          <w:r>
            <w:rPr>
              <w:rStyle w:val="24"/>
            </w:rPr>
            <w:t>2.3.4</w:t>
          </w:r>
          <w:r>
            <w:rPr>
              <w:rFonts w:eastAsiaTheme="minorEastAsia"/>
              <w:sz w:val="21"/>
              <w:szCs w:val="22"/>
            </w:rPr>
            <w:tab/>
          </w:r>
          <w:r>
            <w:rPr>
              <w:rStyle w:val="24"/>
            </w:rPr>
            <w:t>信息变更</w:t>
          </w:r>
          <w:r>
            <w:tab/>
          </w:r>
          <w:r>
            <w:fldChar w:fldCharType="begin"/>
          </w:r>
          <w:r>
            <w:instrText xml:space="preserve"> PAGEREF _Toc178066745 \h </w:instrText>
          </w:r>
          <w:r>
            <w:fldChar w:fldCharType="separate"/>
          </w:r>
          <w:r>
            <w:t>7</w:t>
          </w:r>
          <w:r>
            <w:fldChar w:fldCharType="end"/>
          </w:r>
          <w:r>
            <w:fldChar w:fldCharType="end"/>
          </w:r>
        </w:p>
        <w:p w14:paraId="10321833">
          <w:pPr>
            <w:pStyle w:val="13"/>
            <w:tabs>
              <w:tab w:val="left" w:pos="1680"/>
              <w:tab w:val="right" w:leader="dot" w:pos="8296"/>
            </w:tabs>
            <w:ind w:left="960"/>
            <w:rPr>
              <w:rFonts w:eastAsiaTheme="minorEastAsia"/>
              <w:sz w:val="21"/>
              <w:szCs w:val="22"/>
            </w:rPr>
          </w:pPr>
          <w:r>
            <w:fldChar w:fldCharType="begin"/>
          </w:r>
          <w:r>
            <w:instrText xml:space="preserve"> HYPERLINK \l "_Toc178066746" </w:instrText>
          </w:r>
          <w:r>
            <w:fldChar w:fldCharType="separate"/>
          </w:r>
          <w:r>
            <w:rPr>
              <w:rStyle w:val="24"/>
            </w:rPr>
            <w:t>2.3.5</w:t>
          </w:r>
          <w:r>
            <w:rPr>
              <w:rFonts w:eastAsiaTheme="minorEastAsia"/>
              <w:sz w:val="21"/>
              <w:szCs w:val="22"/>
            </w:rPr>
            <w:tab/>
          </w:r>
          <w:r>
            <w:rPr>
              <w:rStyle w:val="24"/>
            </w:rPr>
            <w:t>工作业绩</w:t>
          </w:r>
          <w:r>
            <w:tab/>
          </w:r>
          <w:r>
            <w:fldChar w:fldCharType="begin"/>
          </w:r>
          <w:r>
            <w:instrText xml:space="preserve"> PAGEREF _Toc178066746 \h </w:instrText>
          </w:r>
          <w:r>
            <w:fldChar w:fldCharType="separate"/>
          </w:r>
          <w:r>
            <w:t>7</w:t>
          </w:r>
          <w:r>
            <w:fldChar w:fldCharType="end"/>
          </w:r>
          <w:r>
            <w:fldChar w:fldCharType="end"/>
          </w:r>
        </w:p>
        <w:p w14:paraId="299D7790">
          <w:r>
            <w:rPr>
              <w:b/>
              <w:bCs/>
              <w:lang w:val="zh-CN"/>
            </w:rPr>
            <w:fldChar w:fldCharType="end"/>
          </w:r>
        </w:p>
      </w:sdtContent>
    </w:sdt>
    <w:p w14:paraId="42BFBBB9">
      <w:pPr>
        <w:sectPr>
          <w:pgSz w:w="11906" w:h="16838"/>
          <w:pgMar w:top="1440" w:right="1800" w:bottom="1440" w:left="1800" w:header="851" w:footer="992" w:gutter="0"/>
          <w:cols w:space="425" w:num="1"/>
          <w:docGrid w:type="lines" w:linePitch="312" w:charSpace="0"/>
        </w:sectPr>
      </w:pPr>
    </w:p>
    <w:p w14:paraId="50E6CACF">
      <w:pPr>
        <w:pStyle w:val="2"/>
      </w:pPr>
      <w:bookmarkStart w:id="0" w:name="_Toc23717"/>
      <w:bookmarkStart w:id="1" w:name="_Toc178066737"/>
      <w:r>
        <w:rPr>
          <w:rFonts w:hint="eastAsia"/>
        </w:rPr>
        <w:t>系统登录</w:t>
      </w:r>
      <w:bookmarkEnd w:id="0"/>
      <w:bookmarkEnd w:id="1"/>
    </w:p>
    <w:p w14:paraId="41A2EE4F">
      <w:pPr>
        <w:ind w:firstLine="480" w:firstLineChars="200"/>
      </w:pPr>
      <w:r>
        <w:rPr>
          <w:rFonts w:hint="eastAsia"/>
          <w:color w:val="000000"/>
        </w:rPr>
        <w:t>第一步：输入地址：http</w:t>
      </w:r>
      <w:r>
        <w:rPr>
          <w:color w:val="000000"/>
        </w:rPr>
        <w:t>://zjw.beijing.gov.</w:t>
      </w:r>
      <w:r>
        <w:rPr>
          <w:rFonts w:hint="eastAsia"/>
          <w:color w:val="000000"/>
        </w:rPr>
        <w:t>c</w:t>
      </w:r>
      <w:r>
        <w:rPr>
          <w:color w:val="000000"/>
        </w:rPr>
        <w:t>n/</w:t>
      </w:r>
      <w:r>
        <w:rPr>
          <w:rFonts w:hint="eastAsia"/>
          <w:color w:val="000000"/>
        </w:rPr>
        <w:t>，打开北京市住房和城乡建设委员会办事大厅页面，点击办事大厅系统，在个人登录页面点击“确认”按钮</w:t>
      </w:r>
      <w:r>
        <w:rPr>
          <w:rFonts w:hint="eastAsia"/>
        </w:rPr>
        <w:t>显示首都之窗北京市统一身份认证平台登录页面，注册过首都之窗北京市统一身份认证平台账号的用户可使用正确的用户名、密码以及验证码进行登录，进入业务申报页面，未注册过首都之窗北京市统一身份认证平台账号的用户，需要在首都之窗北京市统一身份认证平台进行注册，注册后进行登录。</w:t>
      </w:r>
    </w:p>
    <w:p w14:paraId="5814A666">
      <w:r>
        <w:drawing>
          <wp:inline distT="0" distB="0" distL="114300" distR="114300">
            <wp:extent cx="5043805" cy="2712720"/>
            <wp:effectExtent l="0" t="0" r="444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43805" cy="2712720"/>
                    </a:xfrm>
                    <a:prstGeom prst="rect">
                      <a:avLst/>
                    </a:prstGeom>
                    <a:noFill/>
                    <a:ln>
                      <a:noFill/>
                    </a:ln>
                  </pic:spPr>
                </pic:pic>
              </a:graphicData>
            </a:graphic>
          </wp:inline>
        </w:drawing>
      </w:r>
    </w:p>
    <w:p w14:paraId="234A98C1">
      <w:pPr>
        <w:rPr>
          <w:rFonts w:ascii="宋体" w:hAnsi="宋体"/>
          <w:sz w:val="28"/>
          <w:szCs w:val="28"/>
        </w:rPr>
      </w:pPr>
      <w:r>
        <w:drawing>
          <wp:inline distT="0" distB="0" distL="114300" distR="114300">
            <wp:extent cx="5266055" cy="2992120"/>
            <wp:effectExtent l="0" t="0" r="10795"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266055" cy="2992120"/>
                    </a:xfrm>
                    <a:prstGeom prst="rect">
                      <a:avLst/>
                    </a:prstGeom>
                    <a:noFill/>
                    <a:ln>
                      <a:noFill/>
                    </a:ln>
                  </pic:spPr>
                </pic:pic>
              </a:graphicData>
            </a:graphic>
          </wp:inline>
        </w:drawing>
      </w:r>
    </w:p>
    <w:p w14:paraId="35063C50">
      <w:pPr>
        <w:rPr>
          <w:rFonts w:ascii="宋体" w:hAnsi="宋体"/>
          <w:sz w:val="28"/>
          <w:szCs w:val="28"/>
        </w:rPr>
      </w:pPr>
      <w:r>
        <w:drawing>
          <wp:inline distT="0" distB="0" distL="114300" distR="114300">
            <wp:extent cx="5273040" cy="2217420"/>
            <wp:effectExtent l="0" t="0" r="3810" b="1143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5273040" cy="2217420"/>
                    </a:xfrm>
                    <a:prstGeom prst="rect">
                      <a:avLst/>
                    </a:prstGeom>
                    <a:noFill/>
                    <a:ln>
                      <a:noFill/>
                    </a:ln>
                  </pic:spPr>
                </pic:pic>
              </a:graphicData>
            </a:graphic>
          </wp:inline>
        </w:drawing>
      </w:r>
    </w:p>
    <w:p w14:paraId="379173B6">
      <w:pPr>
        <w:ind w:firstLine="480" w:firstLineChars="200"/>
      </w:pPr>
      <w:r>
        <w:rPr>
          <w:rFonts w:hint="eastAsia"/>
        </w:rPr>
        <w:t>第二步：登录后进入业务申报页面后，点击“（0</w:t>
      </w:r>
      <w:r>
        <w:t>014000</w:t>
      </w:r>
      <w:r>
        <w:rPr>
          <w:rFonts w:hint="eastAsia"/>
        </w:rPr>
        <w:t>414）北京市绿色建筑项目管理服务平台”链接即可进入北京市绿色建筑项目管理服务平台办理页面。</w:t>
      </w:r>
    </w:p>
    <w:p w14:paraId="058E6B67">
      <w:r>
        <w:drawing>
          <wp:inline distT="0" distB="0" distL="0" distR="0">
            <wp:extent cx="5274310" cy="2359660"/>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
                    <a:srcRect/>
                    <a:stretch>
                      <a:fillRect/>
                    </a:stretch>
                  </pic:blipFill>
                  <pic:spPr>
                    <a:xfrm>
                      <a:off x="0" y="0"/>
                      <a:ext cx="5274310" cy="2360116"/>
                    </a:xfrm>
                    <a:prstGeom prst="rect">
                      <a:avLst/>
                    </a:prstGeom>
                    <a:noFill/>
                    <a:ln w="9525">
                      <a:noFill/>
                      <a:miter lim="800000"/>
                      <a:headEnd/>
                      <a:tailEnd/>
                    </a:ln>
                  </pic:spPr>
                </pic:pic>
              </a:graphicData>
            </a:graphic>
          </wp:inline>
        </w:drawing>
      </w:r>
    </w:p>
    <w:p w14:paraId="1410279B"/>
    <w:p w14:paraId="018E8448">
      <w:pPr>
        <w:pStyle w:val="2"/>
      </w:pPr>
      <w:bookmarkStart w:id="2" w:name="_Toc178066738"/>
      <w:r>
        <w:rPr>
          <w:rFonts w:hint="eastAsia"/>
        </w:rPr>
        <w:t>专家操作说明</w:t>
      </w:r>
      <w:bookmarkEnd w:id="2"/>
    </w:p>
    <w:p w14:paraId="0C04299C">
      <w:pPr>
        <w:pStyle w:val="3"/>
      </w:pPr>
      <w:bookmarkStart w:id="3" w:name="_Toc178066739"/>
      <w:r>
        <w:rPr>
          <w:rFonts w:hint="eastAsia"/>
        </w:rPr>
        <w:t>新申请加入</w:t>
      </w:r>
      <w:bookmarkEnd w:id="3"/>
    </w:p>
    <w:p w14:paraId="0731CFCF">
      <w:pPr>
        <w:ind w:firstLine="480" w:firstLineChars="200"/>
      </w:pPr>
      <w:r>
        <w:rPr>
          <w:rFonts w:hint="eastAsia"/>
        </w:rPr>
        <w:t>若您尚未成为北京市绿色建筑专家委员会成员，登录北京市绿色建筑项目管理服务平台后，进入申请加入北京市绿色建筑专家委员会页面，点击“申请加入”进行绿色建筑专家申报工作。</w:t>
      </w:r>
    </w:p>
    <w:p w14:paraId="12ED6D16">
      <w:r>
        <w:drawing>
          <wp:inline distT="0" distB="0" distL="0" distR="0">
            <wp:extent cx="5274310" cy="2536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536825"/>
                    </a:xfrm>
                    <a:prstGeom prst="rect">
                      <a:avLst/>
                    </a:prstGeom>
                  </pic:spPr>
                </pic:pic>
              </a:graphicData>
            </a:graphic>
          </wp:inline>
        </w:drawing>
      </w:r>
    </w:p>
    <w:p w14:paraId="700E11D4">
      <w:pPr>
        <w:ind w:firstLine="482" w:firstLineChars="200"/>
      </w:pPr>
      <w:r>
        <w:rPr>
          <w:rFonts w:hint="eastAsia"/>
          <w:b/>
        </w:rPr>
        <w:t>填写专家登记表信息：</w:t>
      </w:r>
      <w:r>
        <w:rPr>
          <w:rFonts w:hint="eastAsia"/>
        </w:rPr>
        <w:t>专家填写北京市绿色建筑专家委员会委员信息登记表，填写完登记表信息，进行保存。点击“下载”按钮可下载北京市绿色建筑专家委员会委员信息登记表，加盖所在单位公章，并作为附件材料上传。</w:t>
      </w:r>
    </w:p>
    <w:p w14:paraId="77DB7281">
      <w:r>
        <w:drawing>
          <wp:inline distT="0" distB="0" distL="0" distR="0">
            <wp:extent cx="5274310" cy="231711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274310" cy="2317115"/>
                    </a:xfrm>
                    <a:prstGeom prst="rect">
                      <a:avLst/>
                    </a:prstGeom>
                  </pic:spPr>
                </pic:pic>
              </a:graphicData>
            </a:graphic>
          </wp:inline>
        </w:drawing>
      </w:r>
    </w:p>
    <w:p w14:paraId="654ED373">
      <w:pPr>
        <w:ind w:firstLine="482" w:firstLineChars="200"/>
      </w:pPr>
      <w:r>
        <w:rPr>
          <w:rFonts w:hint="eastAsia"/>
          <w:b/>
        </w:rPr>
        <w:t>上传附件</w:t>
      </w:r>
      <w:r>
        <w:rPr>
          <w:rFonts w:hint="eastAsia"/>
        </w:rPr>
        <w:t>：点击“下一步”按钮，进入上传附件页面，可进行相关资料的上传、下载、删除、预览等操作。</w:t>
      </w:r>
    </w:p>
    <w:p w14:paraId="7265586B">
      <w:pPr>
        <w:ind w:firstLine="480" w:firstLineChars="200"/>
      </w:pPr>
      <w:r>
        <w:rPr>
          <w:rFonts w:hint="eastAsia"/>
        </w:rPr>
        <w:t>备注：</w:t>
      </w:r>
      <w:r>
        <w:rPr>
          <w:rFonts w:hint="eastAsia"/>
          <w:color w:val="FF0000"/>
        </w:rPr>
        <w:t>已退休且无社会职务的人员，单位审核意见处可不加盖公章</w:t>
      </w:r>
      <w:r>
        <w:rPr>
          <w:rFonts w:hint="eastAsia"/>
        </w:rPr>
        <w:t>。</w:t>
      </w:r>
    </w:p>
    <w:p w14:paraId="6B109962">
      <w:pPr>
        <w:rPr>
          <w:color w:val="FF0000"/>
        </w:rPr>
      </w:pPr>
      <w:r>
        <w:drawing>
          <wp:inline distT="0" distB="0" distL="114300" distR="114300">
            <wp:extent cx="5257800" cy="13487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57800" cy="1348740"/>
                    </a:xfrm>
                    <a:prstGeom prst="rect">
                      <a:avLst/>
                    </a:prstGeom>
                    <a:noFill/>
                    <a:ln>
                      <a:noFill/>
                    </a:ln>
                  </pic:spPr>
                </pic:pic>
              </a:graphicData>
            </a:graphic>
          </wp:inline>
        </w:drawing>
      </w:r>
    </w:p>
    <w:p w14:paraId="5390A81A">
      <w:pPr>
        <w:ind w:firstLine="482" w:firstLineChars="200"/>
        <w:rPr>
          <w:color w:val="FF0000"/>
        </w:rPr>
      </w:pPr>
      <w:r>
        <w:rPr>
          <w:rFonts w:hint="eastAsia"/>
          <w:b/>
        </w:rPr>
        <w:t>提交审核：</w:t>
      </w:r>
      <w:r>
        <w:rPr>
          <w:rFonts w:hint="eastAsia"/>
        </w:rPr>
        <w:t>专家确认填写的登记表信息，以及相关证明资料无误后，点击“提交”按钮，可将专家申报信息提交到科促中心进行审查。</w:t>
      </w:r>
    </w:p>
    <w:p w14:paraId="0B482889">
      <w:pPr>
        <w:ind w:firstLine="482" w:firstLineChars="200"/>
      </w:pPr>
      <w:r>
        <w:rPr>
          <w:rFonts w:hint="eastAsia"/>
          <w:b/>
        </w:rPr>
        <w:t>查看审查结果</w:t>
      </w:r>
      <w:r>
        <w:rPr>
          <w:rFonts w:hint="eastAsia"/>
        </w:rPr>
        <w:t>：可查看审核结果，当审批端退回、不通过时，可在提交审核页面查看审核原因。</w:t>
      </w:r>
    </w:p>
    <w:p w14:paraId="018D0A82">
      <w:pPr>
        <w:rPr>
          <w:color w:val="FF0000"/>
        </w:rPr>
      </w:pPr>
      <w:r>
        <w:drawing>
          <wp:inline distT="0" distB="0" distL="0" distR="0">
            <wp:extent cx="5274310" cy="544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544195"/>
                    </a:xfrm>
                    <a:prstGeom prst="rect">
                      <a:avLst/>
                    </a:prstGeom>
                  </pic:spPr>
                </pic:pic>
              </a:graphicData>
            </a:graphic>
          </wp:inline>
        </w:drawing>
      </w:r>
    </w:p>
    <w:p w14:paraId="14E33E91">
      <w:pPr>
        <w:ind w:firstLine="480" w:firstLineChars="200"/>
      </w:pPr>
      <w:r>
        <w:rPr>
          <w:rFonts w:hint="eastAsia"/>
        </w:rPr>
        <w:t>注：当状态为“已入库”，代表您已经成为北京市绿色建筑专家，可进行相关工作。</w:t>
      </w:r>
    </w:p>
    <w:p w14:paraId="508117A2">
      <w:pPr>
        <w:pStyle w:val="3"/>
      </w:pPr>
      <w:bookmarkStart w:id="4" w:name="_Toc178066740"/>
      <w:r>
        <w:rPr>
          <w:rFonts w:hint="eastAsia"/>
        </w:rPr>
        <w:t>换届申请</w:t>
      </w:r>
      <w:bookmarkEnd w:id="4"/>
    </w:p>
    <w:p w14:paraId="624FE345">
      <w:pPr>
        <w:ind w:firstLine="480" w:firstLineChars="200"/>
      </w:pPr>
      <w:r>
        <w:rPr>
          <w:rFonts w:hint="eastAsia"/>
        </w:rPr>
        <w:t>如果您已经是北京市绿色建筑专家委员会的成员，如需继续担任北京市绿色建筑专家委员会的成员，在专家换届时，需要进行重新申报。</w:t>
      </w:r>
    </w:p>
    <w:p w14:paraId="4F692545">
      <w:pPr>
        <w:ind w:firstLine="480" w:firstLineChars="200"/>
      </w:pPr>
      <w:r>
        <w:rPr>
          <w:rFonts w:hint="eastAsia"/>
        </w:rPr>
        <w:t>点击页面右上角的“重新申报”模块，点击列表上方的“重新申报”按钮，打开专家登记表信息，可修改专家登记表信息、相关证明材料，提交进行审核，具体操作如下：</w:t>
      </w:r>
    </w:p>
    <w:p w14:paraId="1983265D">
      <w:r>
        <w:drawing>
          <wp:inline distT="0" distB="0" distL="0" distR="0">
            <wp:extent cx="5274310" cy="12693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1269365"/>
                    </a:xfrm>
                    <a:prstGeom prst="rect">
                      <a:avLst/>
                    </a:prstGeom>
                  </pic:spPr>
                </pic:pic>
              </a:graphicData>
            </a:graphic>
          </wp:inline>
        </w:drawing>
      </w:r>
    </w:p>
    <w:p w14:paraId="3D7C4027">
      <w:r>
        <w:drawing>
          <wp:inline distT="0" distB="0" distL="0" distR="0">
            <wp:extent cx="5274310" cy="6210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274310" cy="621030"/>
                    </a:xfrm>
                    <a:prstGeom prst="rect">
                      <a:avLst/>
                    </a:prstGeom>
                  </pic:spPr>
                </pic:pic>
              </a:graphicData>
            </a:graphic>
          </wp:inline>
        </w:drawing>
      </w:r>
    </w:p>
    <w:p w14:paraId="1F9F114A">
      <w:pPr>
        <w:ind w:firstLine="482" w:firstLineChars="200"/>
        <w:rPr>
          <w:b/>
        </w:rPr>
      </w:pPr>
      <w:r>
        <w:rPr>
          <w:rFonts w:hint="eastAsia"/>
          <w:b/>
        </w:rPr>
        <w:t>修改专家登记表信息：</w:t>
      </w:r>
      <w:r>
        <w:rPr>
          <w:rFonts w:hint="eastAsia"/>
        </w:rPr>
        <w:t>系统自动初始化上一届专家登记信息，专家根据实际情况修改登记表信息，进行保存。点击“下载”按钮可下载北京市绿色建筑专家委员会专家登记表，加盖所在单位公章，并作为附件材料上传。</w:t>
      </w:r>
    </w:p>
    <w:p w14:paraId="7BD10004">
      <w:r>
        <w:drawing>
          <wp:inline distT="0" distB="0" distL="0" distR="0">
            <wp:extent cx="5274310" cy="23171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274310" cy="2317115"/>
                    </a:xfrm>
                    <a:prstGeom prst="rect">
                      <a:avLst/>
                    </a:prstGeom>
                  </pic:spPr>
                </pic:pic>
              </a:graphicData>
            </a:graphic>
          </wp:inline>
        </w:drawing>
      </w:r>
    </w:p>
    <w:p w14:paraId="5F3F753A">
      <w:pPr>
        <w:ind w:firstLine="482" w:firstLineChars="200"/>
      </w:pPr>
      <w:r>
        <w:rPr>
          <w:rFonts w:hint="eastAsia"/>
          <w:b/>
        </w:rPr>
        <w:t>上传附件</w:t>
      </w:r>
      <w:r>
        <w:rPr>
          <w:rFonts w:hint="eastAsia"/>
        </w:rPr>
        <w:t>：点击“下一步”按钮，进入上传附件页面，可进行相关资料的上传、下载、删除、预览等操作。</w:t>
      </w:r>
    </w:p>
    <w:p w14:paraId="73BF0DC2">
      <w:pPr>
        <w:ind w:firstLine="480" w:firstLineChars="200"/>
      </w:pPr>
      <w:r>
        <w:rPr>
          <w:rFonts w:hint="eastAsia"/>
        </w:rPr>
        <w:t>备注：</w:t>
      </w:r>
      <w:r>
        <w:rPr>
          <w:rFonts w:hint="eastAsia"/>
          <w:color w:val="FF0000"/>
        </w:rPr>
        <w:t>已退休且无社会职务的人员，单位审核意见处可不加盖公章</w:t>
      </w:r>
      <w:r>
        <w:rPr>
          <w:rFonts w:hint="eastAsia"/>
        </w:rPr>
        <w:t>。</w:t>
      </w:r>
    </w:p>
    <w:p w14:paraId="271CF828">
      <w:pPr>
        <w:rPr>
          <w:color w:val="FF0000"/>
        </w:rPr>
      </w:pPr>
      <w:r>
        <w:drawing>
          <wp:inline distT="0" distB="0" distL="114300" distR="114300">
            <wp:extent cx="5257800" cy="13487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57800" cy="1348740"/>
                    </a:xfrm>
                    <a:prstGeom prst="rect">
                      <a:avLst/>
                    </a:prstGeom>
                    <a:noFill/>
                    <a:ln>
                      <a:noFill/>
                    </a:ln>
                  </pic:spPr>
                </pic:pic>
              </a:graphicData>
            </a:graphic>
          </wp:inline>
        </w:drawing>
      </w:r>
    </w:p>
    <w:p w14:paraId="3B8980B0">
      <w:pPr>
        <w:ind w:firstLine="482" w:firstLineChars="200"/>
        <w:rPr>
          <w:color w:val="FF0000"/>
        </w:rPr>
      </w:pPr>
      <w:r>
        <w:rPr>
          <w:rFonts w:hint="eastAsia"/>
          <w:b/>
        </w:rPr>
        <w:t>提交审核：</w:t>
      </w:r>
      <w:r>
        <w:rPr>
          <w:rFonts w:hint="eastAsia"/>
        </w:rPr>
        <w:t>专家确认填写的登记表信息，以及相关证明资料无误后，点击“提交”按钮，可将专家申报信息提交到科促中心进行审查。</w:t>
      </w:r>
    </w:p>
    <w:p w14:paraId="49EC704D">
      <w:pPr>
        <w:ind w:firstLine="482" w:firstLineChars="200"/>
      </w:pPr>
      <w:r>
        <w:rPr>
          <w:rFonts w:hint="eastAsia"/>
          <w:b/>
        </w:rPr>
        <w:t>查看审查结果</w:t>
      </w:r>
      <w:r>
        <w:rPr>
          <w:rFonts w:hint="eastAsia"/>
        </w:rPr>
        <w:t>：在列表中，可查看审核状态，退回和不通过原因。</w:t>
      </w:r>
    </w:p>
    <w:p w14:paraId="5253F68E">
      <w:pPr>
        <w:ind w:firstLine="480" w:firstLineChars="200"/>
      </w:pPr>
      <w:r>
        <w:rPr>
          <w:rFonts w:hint="eastAsia"/>
          <w:color w:val="FF0000"/>
        </w:rPr>
        <w:t>注</w:t>
      </w:r>
      <w:r>
        <w:rPr>
          <w:rFonts w:hint="eastAsia"/>
        </w:rPr>
        <w:t>：专家换届时及时查看重新申报列表的申请信息，以便及时了解审核情况。审核状态为“已入库”，代表您已经成为新一届北京市绿色建筑专家，可进行相关工作。</w:t>
      </w:r>
    </w:p>
    <w:p w14:paraId="260D3A65">
      <w:r>
        <w:drawing>
          <wp:inline distT="0" distB="0" distL="0" distR="0">
            <wp:extent cx="5274310" cy="5441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544195"/>
                    </a:xfrm>
                    <a:prstGeom prst="rect">
                      <a:avLst/>
                    </a:prstGeom>
                  </pic:spPr>
                </pic:pic>
              </a:graphicData>
            </a:graphic>
          </wp:inline>
        </w:drawing>
      </w:r>
    </w:p>
    <w:p w14:paraId="0F4DEBEC">
      <w:pPr>
        <w:pStyle w:val="3"/>
      </w:pPr>
      <w:bookmarkStart w:id="5" w:name="_Toc178066741"/>
      <w:r>
        <w:rPr>
          <w:rFonts w:hint="eastAsia"/>
        </w:rPr>
        <w:t>专家业务办理</w:t>
      </w:r>
      <w:bookmarkEnd w:id="5"/>
    </w:p>
    <w:p w14:paraId="3136A07A">
      <w:pPr>
        <w:ind w:firstLine="480" w:firstLineChars="200"/>
      </w:pPr>
      <w:r>
        <w:rPr>
          <w:rFonts w:hint="eastAsia"/>
        </w:rPr>
        <w:t>如果您已经是北京市绿色建筑专家委员会的成员，进入“北京市绿色建筑管理服务平台”后，专家内容包含首页、会议信息、标识认定、信息变更、工作业绩模块。</w:t>
      </w:r>
    </w:p>
    <w:p w14:paraId="19EE9604">
      <w:pPr>
        <w:pStyle w:val="4"/>
      </w:pPr>
      <w:bookmarkStart w:id="6" w:name="_Toc178066742"/>
      <w:r>
        <w:rPr>
          <w:rFonts w:hint="eastAsia"/>
        </w:rPr>
        <w:t>首页</w:t>
      </w:r>
      <w:bookmarkEnd w:id="6"/>
    </w:p>
    <w:p w14:paraId="68724F89">
      <w:pPr>
        <w:ind w:firstLine="480" w:firstLineChars="200"/>
      </w:pPr>
      <w:r>
        <w:rPr>
          <w:rFonts w:hint="eastAsia"/>
        </w:rPr>
        <w:t>可查看操作指引、政策文件、资料下载、技术支持等内容；</w:t>
      </w:r>
    </w:p>
    <w:p w14:paraId="100AE291">
      <w:pPr>
        <w:ind w:firstLine="480" w:firstLineChars="200"/>
      </w:pPr>
      <w:r>
        <w:rPr>
          <w:rFonts w:hint="eastAsia"/>
        </w:rPr>
        <w:t>政策文件可查看管理人员发布的政策文件详情，资料下载可下载系统操作手册。</w:t>
      </w:r>
    </w:p>
    <w:p w14:paraId="0BF80AE5">
      <w:r>
        <w:drawing>
          <wp:inline distT="0" distB="0" distL="0" distR="0">
            <wp:extent cx="5274310" cy="2046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274310" cy="2046605"/>
                    </a:xfrm>
                    <a:prstGeom prst="rect">
                      <a:avLst/>
                    </a:prstGeom>
                  </pic:spPr>
                </pic:pic>
              </a:graphicData>
            </a:graphic>
          </wp:inline>
        </w:drawing>
      </w:r>
    </w:p>
    <w:p w14:paraId="33CAFD5C">
      <w:pPr>
        <w:pStyle w:val="4"/>
      </w:pPr>
      <w:bookmarkStart w:id="7" w:name="_Toc178066743"/>
      <w:r>
        <w:rPr>
          <w:rFonts w:hint="eastAsia"/>
        </w:rPr>
        <w:t>会议信息</w:t>
      </w:r>
      <w:bookmarkEnd w:id="7"/>
    </w:p>
    <w:p w14:paraId="5C803BD6">
      <w:pPr>
        <w:ind w:firstLine="480" w:firstLineChars="200"/>
      </w:pPr>
      <w:r>
        <w:rPr>
          <w:rFonts w:hint="eastAsia"/>
        </w:rPr>
        <w:t>会议信息列表展示需参会确认的会议信息，专家点击操作列的“确认参会”或“取消参会”按钮，确认是否参会，若取消参会需填写取消参会原因。</w:t>
      </w:r>
    </w:p>
    <w:p w14:paraId="046B12B1">
      <w:pPr>
        <w:ind w:firstLine="480" w:firstLineChars="200"/>
      </w:pPr>
      <w:r>
        <w:rPr>
          <w:rFonts w:hint="eastAsia"/>
          <w:color w:val="FF0000"/>
        </w:rPr>
        <w:t>注：</w:t>
      </w:r>
      <w:r>
        <w:rPr>
          <w:rFonts w:hint="eastAsia"/>
        </w:rPr>
        <w:t>专家需在24小时内进行确认参会操作，超过24小时，系统会默认取消参会。</w:t>
      </w:r>
    </w:p>
    <w:p w14:paraId="2A83E4BF">
      <w:r>
        <w:drawing>
          <wp:inline distT="0" distB="0" distL="0" distR="0">
            <wp:extent cx="5274310" cy="10909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274310" cy="1090930"/>
                    </a:xfrm>
                    <a:prstGeom prst="rect">
                      <a:avLst/>
                    </a:prstGeom>
                  </pic:spPr>
                </pic:pic>
              </a:graphicData>
            </a:graphic>
          </wp:inline>
        </w:drawing>
      </w:r>
    </w:p>
    <w:p w14:paraId="083E142E">
      <w:r>
        <w:drawing>
          <wp:inline distT="0" distB="0" distL="0" distR="0">
            <wp:extent cx="5274310" cy="2127885"/>
            <wp:effectExtent l="1905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noChangeArrowheads="1"/>
                    </pic:cNvPicPr>
                  </pic:nvPicPr>
                  <pic:blipFill>
                    <a:blip r:embed="rId19"/>
                    <a:srcRect/>
                    <a:stretch>
                      <a:fillRect/>
                    </a:stretch>
                  </pic:blipFill>
                  <pic:spPr>
                    <a:xfrm>
                      <a:off x="0" y="0"/>
                      <a:ext cx="5274310" cy="2128017"/>
                    </a:xfrm>
                    <a:prstGeom prst="rect">
                      <a:avLst/>
                    </a:prstGeom>
                    <a:noFill/>
                    <a:ln w="9525">
                      <a:noFill/>
                      <a:miter lim="800000"/>
                      <a:headEnd/>
                      <a:tailEnd/>
                    </a:ln>
                  </pic:spPr>
                </pic:pic>
              </a:graphicData>
            </a:graphic>
          </wp:inline>
        </w:drawing>
      </w:r>
    </w:p>
    <w:p w14:paraId="58ADB7F8">
      <w:pPr>
        <w:pStyle w:val="4"/>
      </w:pPr>
      <w:bookmarkStart w:id="8" w:name="_Toc178066744"/>
      <w:r>
        <w:rPr>
          <w:rFonts w:hint="eastAsia"/>
        </w:rPr>
        <w:t>标识认定（暂未上线）</w:t>
      </w:r>
      <w:bookmarkEnd w:id="8"/>
    </w:p>
    <w:p w14:paraId="5B27F681">
      <w:pPr>
        <w:pStyle w:val="4"/>
      </w:pPr>
      <w:bookmarkStart w:id="9" w:name="_Toc178066745"/>
      <w:r>
        <w:rPr>
          <w:rFonts w:hint="eastAsia"/>
        </w:rPr>
        <w:t>信息变更</w:t>
      </w:r>
      <w:bookmarkEnd w:id="9"/>
    </w:p>
    <w:p w14:paraId="79F3EADD">
      <w:pPr>
        <w:ind w:firstLine="480" w:firstLineChars="200"/>
      </w:pPr>
      <w:r>
        <w:rPr>
          <w:rFonts w:hint="eastAsia"/>
        </w:rPr>
        <w:t>在信息变更处可对当前届的专家进行信息变更，专家信息发生变更时，点击“新增变更”按钮，进行专家变更信息的修改，修改完成后保存并提交。</w:t>
      </w:r>
    </w:p>
    <w:p w14:paraId="35C14B25">
      <w:r>
        <w:drawing>
          <wp:inline distT="0" distB="0" distL="114300" distR="114300">
            <wp:extent cx="5271770" cy="1381760"/>
            <wp:effectExtent l="0" t="0" r="508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271770" cy="1381760"/>
                    </a:xfrm>
                    <a:prstGeom prst="rect">
                      <a:avLst/>
                    </a:prstGeom>
                    <a:noFill/>
                    <a:ln>
                      <a:noFill/>
                    </a:ln>
                  </pic:spPr>
                </pic:pic>
              </a:graphicData>
            </a:graphic>
          </wp:inline>
        </w:drawing>
      </w:r>
    </w:p>
    <w:p w14:paraId="09CECA39">
      <w:pPr>
        <w:ind w:firstLine="482" w:firstLineChars="200"/>
      </w:pPr>
      <w:r>
        <w:rPr>
          <w:rFonts w:hint="eastAsia"/>
          <w:b/>
        </w:rPr>
        <w:t>提交</w:t>
      </w:r>
      <w:r>
        <w:rPr>
          <w:rFonts w:hint="eastAsia"/>
        </w:rPr>
        <w:t>：点击“提交”按钮，提交变更信息。</w:t>
      </w:r>
    </w:p>
    <w:p w14:paraId="632FB9FE">
      <w:pPr>
        <w:ind w:firstLine="482" w:firstLineChars="200"/>
      </w:pPr>
      <w:r>
        <w:rPr>
          <w:rFonts w:hint="eastAsia"/>
          <w:b/>
        </w:rPr>
        <w:t>取回</w:t>
      </w:r>
      <w:r>
        <w:rPr>
          <w:rFonts w:hint="eastAsia"/>
        </w:rPr>
        <w:t>：已提交未审核的专家变更信息，点击“取回”按钮可取回修改后重新提交。</w:t>
      </w:r>
    </w:p>
    <w:p w14:paraId="3E11C5FA">
      <w:pPr>
        <w:ind w:firstLine="482" w:firstLineChars="200"/>
      </w:pPr>
      <w:r>
        <w:rPr>
          <w:rFonts w:hint="eastAsia"/>
          <w:b/>
        </w:rPr>
        <w:t>查看退回或不通过原因</w:t>
      </w:r>
      <w:r>
        <w:rPr>
          <w:rFonts w:hint="eastAsia"/>
        </w:rPr>
        <w:t>：市级审核退回或不通过时，在操作列查看退回或不通过原因。</w:t>
      </w:r>
    </w:p>
    <w:p w14:paraId="26C35203">
      <w:pPr>
        <w:pStyle w:val="4"/>
      </w:pPr>
      <w:bookmarkStart w:id="10" w:name="_Toc178066746"/>
      <w:r>
        <w:rPr>
          <w:rFonts w:hint="eastAsia"/>
        </w:rPr>
        <w:t>工作业绩</w:t>
      </w:r>
      <w:bookmarkEnd w:id="10"/>
    </w:p>
    <w:p w14:paraId="68877276">
      <w:pPr>
        <w:ind w:firstLine="480" w:firstLineChars="200"/>
      </w:pPr>
      <w:r>
        <w:rPr>
          <w:rFonts w:hint="eastAsia"/>
        </w:rPr>
        <w:t>专家点击“新增业绩”按钮新增本人的工作业绩，填写专家工作业绩信息并上传相关文件，信息填写完成后可进行提交操作,提交前可进行编辑或删除操作，提交后不可进行修改及删除。</w:t>
      </w:r>
    </w:p>
    <w:p w14:paraId="1812E4C0">
      <w:r>
        <w:drawing>
          <wp:inline distT="0" distB="0" distL="0" distR="0">
            <wp:extent cx="5274310" cy="8528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4310" cy="852805"/>
                    </a:xfrm>
                    <a:prstGeom prst="rect">
                      <a:avLst/>
                    </a:prstGeom>
                  </pic:spPr>
                </pic:pic>
              </a:graphicData>
            </a:graphic>
          </wp:inline>
        </w:drawing>
      </w:r>
    </w:p>
    <w:p w14:paraId="023D2B67">
      <w:r>
        <w:drawing>
          <wp:inline distT="0" distB="0" distL="114300" distR="114300">
            <wp:extent cx="5263515" cy="3432810"/>
            <wp:effectExtent l="0" t="0" r="13335" b="152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2"/>
                    <a:stretch>
                      <a:fillRect/>
                    </a:stretch>
                  </pic:blipFill>
                  <pic:spPr>
                    <a:xfrm>
                      <a:off x="0" y="0"/>
                      <a:ext cx="5263515" cy="3432810"/>
                    </a:xfrm>
                    <a:prstGeom prst="rect">
                      <a:avLst/>
                    </a:prstGeom>
                    <a:noFill/>
                    <a:ln>
                      <a:noFill/>
                    </a:ln>
                  </pic:spPr>
                </pic:pic>
              </a:graphicData>
            </a:graphic>
          </wp:inline>
        </w:drawing>
      </w:r>
    </w:p>
    <w:p w14:paraId="6FEF7176"/>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816D">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183D8E">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63183D8E">
                    <w:pPr>
                      <w:pStyle w:val="1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F315F2"/>
    <w:multiLevelType w:val="multilevel"/>
    <w:tmpl w:val="6BF315F2"/>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1MmZmZmMzNTFlMzQ2MTQ3YmEwNDNhOTQ2OGY5MWMifQ=="/>
  </w:docVars>
  <w:rsids>
    <w:rsidRoot w:val="47C42342"/>
    <w:rsid w:val="000123F5"/>
    <w:rsid w:val="000C7164"/>
    <w:rsid w:val="000F788D"/>
    <w:rsid w:val="0013266F"/>
    <w:rsid w:val="00154FB6"/>
    <w:rsid w:val="00171D72"/>
    <w:rsid w:val="001906B9"/>
    <w:rsid w:val="001A1D38"/>
    <w:rsid w:val="001D4B43"/>
    <w:rsid w:val="00204804"/>
    <w:rsid w:val="0030419F"/>
    <w:rsid w:val="00316544"/>
    <w:rsid w:val="00352243"/>
    <w:rsid w:val="003571EB"/>
    <w:rsid w:val="003775E6"/>
    <w:rsid w:val="00382344"/>
    <w:rsid w:val="003C2DEB"/>
    <w:rsid w:val="004014D4"/>
    <w:rsid w:val="00492E2B"/>
    <w:rsid w:val="004D555D"/>
    <w:rsid w:val="0050071B"/>
    <w:rsid w:val="00511E06"/>
    <w:rsid w:val="00525E44"/>
    <w:rsid w:val="00547421"/>
    <w:rsid w:val="005656B6"/>
    <w:rsid w:val="00573497"/>
    <w:rsid w:val="00575DE0"/>
    <w:rsid w:val="005D325F"/>
    <w:rsid w:val="005E32A6"/>
    <w:rsid w:val="0062533B"/>
    <w:rsid w:val="00661F23"/>
    <w:rsid w:val="00692B4F"/>
    <w:rsid w:val="006A4FF4"/>
    <w:rsid w:val="006D6259"/>
    <w:rsid w:val="006F6ADD"/>
    <w:rsid w:val="006F7108"/>
    <w:rsid w:val="0070442F"/>
    <w:rsid w:val="00734A6E"/>
    <w:rsid w:val="00737E2D"/>
    <w:rsid w:val="0079419B"/>
    <w:rsid w:val="007A189F"/>
    <w:rsid w:val="008C6701"/>
    <w:rsid w:val="008D57DA"/>
    <w:rsid w:val="00907392"/>
    <w:rsid w:val="009262F2"/>
    <w:rsid w:val="009411E4"/>
    <w:rsid w:val="009767C1"/>
    <w:rsid w:val="009E04B2"/>
    <w:rsid w:val="009F11A1"/>
    <w:rsid w:val="009F6243"/>
    <w:rsid w:val="00A03BAA"/>
    <w:rsid w:val="00A36EC8"/>
    <w:rsid w:val="00A44CE1"/>
    <w:rsid w:val="00A96D5F"/>
    <w:rsid w:val="00AA6CCA"/>
    <w:rsid w:val="00AB4D80"/>
    <w:rsid w:val="00AC4F7C"/>
    <w:rsid w:val="00AE0B7C"/>
    <w:rsid w:val="00B52D4F"/>
    <w:rsid w:val="00B81F84"/>
    <w:rsid w:val="00BB634A"/>
    <w:rsid w:val="00BE0C8F"/>
    <w:rsid w:val="00BF7C5D"/>
    <w:rsid w:val="00C53EBF"/>
    <w:rsid w:val="00C56535"/>
    <w:rsid w:val="00C94E24"/>
    <w:rsid w:val="00D35B33"/>
    <w:rsid w:val="00D7782B"/>
    <w:rsid w:val="00D94814"/>
    <w:rsid w:val="00DA4967"/>
    <w:rsid w:val="00DC424F"/>
    <w:rsid w:val="00E42991"/>
    <w:rsid w:val="00E609A4"/>
    <w:rsid w:val="00EE0173"/>
    <w:rsid w:val="00F9222B"/>
    <w:rsid w:val="00F93856"/>
    <w:rsid w:val="00FA2091"/>
    <w:rsid w:val="00FB0286"/>
    <w:rsid w:val="00FD3586"/>
    <w:rsid w:val="00FD7ADD"/>
    <w:rsid w:val="00FE154A"/>
    <w:rsid w:val="1336162A"/>
    <w:rsid w:val="1367431D"/>
    <w:rsid w:val="16D43F33"/>
    <w:rsid w:val="1AF007BD"/>
    <w:rsid w:val="269126B6"/>
    <w:rsid w:val="2D191C34"/>
    <w:rsid w:val="2D7B20C1"/>
    <w:rsid w:val="3C433D57"/>
    <w:rsid w:val="3D927862"/>
    <w:rsid w:val="47C42342"/>
    <w:rsid w:val="4DAC1AB3"/>
    <w:rsid w:val="5524220C"/>
    <w:rsid w:val="69947BAD"/>
    <w:rsid w:val="7CB268B2"/>
    <w:rsid w:val="7EC91F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eastAsia="宋体" w:asciiTheme="minorHAnsi" w:hAnsiTheme="minorHAnsi" w:cstheme="minorBidi"/>
      <w:kern w:val="2"/>
      <w:sz w:val="24"/>
      <w:szCs w:val="24"/>
      <w:lang w:val="en-US" w:eastAsia="zh-CN" w:bidi="ar-SA"/>
    </w:rPr>
  </w:style>
  <w:style w:type="paragraph" w:styleId="2">
    <w:name w:val="heading 1"/>
    <w:basedOn w:val="1"/>
    <w:next w:val="1"/>
    <w:autoRedefine/>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5">
    <w:name w:val="heading 4"/>
    <w:basedOn w:val="1"/>
    <w:next w:val="1"/>
    <w:link w:val="30"/>
    <w:autoRedefine/>
    <w:unhideWhenUsed/>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1"/>
    <w:autoRedefine/>
    <w:unhideWhenUsed/>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2"/>
    <w:autoRedefine/>
    <w:semiHidden/>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33"/>
    <w:autoRedefine/>
    <w:semiHidden/>
    <w:unhideWhenUsed/>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34"/>
    <w:autoRedefine/>
    <w:semiHidden/>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35"/>
    <w:autoRedefine/>
    <w:semiHidden/>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2">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Document Map"/>
    <w:basedOn w:val="1"/>
    <w:link w:val="27"/>
    <w:autoRedefine/>
    <w:uiPriority w:val="0"/>
    <w:rPr>
      <w:rFonts w:ascii="宋体"/>
      <w:sz w:val="18"/>
      <w:szCs w:val="18"/>
    </w:rPr>
  </w:style>
  <w:style w:type="paragraph" w:styleId="12">
    <w:name w:val="annotation text"/>
    <w:basedOn w:val="1"/>
    <w:link w:val="37"/>
    <w:autoRedefine/>
    <w:qFormat/>
    <w:uiPriority w:val="0"/>
    <w:pPr>
      <w:jc w:val="left"/>
    </w:pPr>
  </w:style>
  <w:style w:type="paragraph" w:styleId="13">
    <w:name w:val="toc 3"/>
    <w:basedOn w:val="1"/>
    <w:next w:val="1"/>
    <w:qFormat/>
    <w:uiPriority w:val="39"/>
    <w:pPr>
      <w:ind w:left="840" w:leftChars="400"/>
    </w:pPr>
    <w:rPr>
      <w:rFonts w:eastAsia="黑体"/>
    </w:rPr>
  </w:style>
  <w:style w:type="paragraph" w:styleId="14">
    <w:name w:val="endnote text"/>
    <w:basedOn w:val="1"/>
    <w:link w:val="36"/>
    <w:autoRedefine/>
    <w:qFormat/>
    <w:uiPriority w:val="0"/>
    <w:pPr>
      <w:snapToGrid w:val="0"/>
      <w:jc w:val="left"/>
    </w:pPr>
  </w:style>
  <w:style w:type="paragraph" w:styleId="15">
    <w:name w:val="Balloon Text"/>
    <w:basedOn w:val="1"/>
    <w:link w:val="29"/>
    <w:qFormat/>
    <w:uiPriority w:val="0"/>
    <w:pPr>
      <w:spacing w:line="240" w:lineRule="auto"/>
    </w:pPr>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link w:val="2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qFormat/>
    <w:uiPriority w:val="39"/>
    <w:rPr>
      <w:rFonts w:eastAsia="黑体"/>
    </w:rPr>
  </w:style>
  <w:style w:type="paragraph" w:styleId="19">
    <w:name w:val="toc 2"/>
    <w:basedOn w:val="1"/>
    <w:next w:val="1"/>
    <w:autoRedefine/>
    <w:qFormat/>
    <w:uiPriority w:val="39"/>
    <w:pPr>
      <w:ind w:left="420" w:leftChars="200"/>
    </w:pPr>
    <w:rPr>
      <w:rFonts w:eastAsia="黑体"/>
    </w:rPr>
  </w:style>
  <w:style w:type="paragraph" w:styleId="20">
    <w:name w:val="annotation subject"/>
    <w:basedOn w:val="12"/>
    <w:next w:val="12"/>
    <w:link w:val="38"/>
    <w:qFormat/>
    <w:uiPriority w:val="0"/>
    <w:rPr>
      <w:b/>
      <w:bCs/>
    </w:rPr>
  </w:style>
  <w:style w:type="character" w:styleId="23">
    <w:name w:val="endnote reference"/>
    <w:basedOn w:val="22"/>
    <w:qFormat/>
    <w:uiPriority w:val="0"/>
    <w:rPr>
      <w:vertAlign w:val="superscript"/>
    </w:rPr>
  </w:style>
  <w:style w:type="character" w:styleId="24">
    <w:name w:val="Hyperlink"/>
    <w:basedOn w:val="22"/>
    <w:autoRedefine/>
    <w:unhideWhenUsed/>
    <w:qFormat/>
    <w:uiPriority w:val="99"/>
    <w:rPr>
      <w:color w:val="0563C1" w:themeColor="hyperlink"/>
      <w:u w:val="single"/>
    </w:rPr>
  </w:style>
  <w:style w:type="character" w:styleId="25">
    <w:name w:val="annotation reference"/>
    <w:basedOn w:val="22"/>
    <w:qFormat/>
    <w:uiPriority w:val="0"/>
    <w:rPr>
      <w:sz w:val="21"/>
      <w:szCs w:val="21"/>
    </w:rPr>
  </w:style>
  <w:style w:type="paragraph" w:styleId="26">
    <w:name w:val="List Paragraph"/>
    <w:basedOn w:val="1"/>
    <w:autoRedefine/>
    <w:qFormat/>
    <w:uiPriority w:val="99"/>
    <w:pPr>
      <w:ind w:firstLine="420" w:firstLineChars="200"/>
    </w:pPr>
  </w:style>
  <w:style w:type="character" w:customStyle="1" w:styleId="27">
    <w:name w:val="文档结构图 字符"/>
    <w:basedOn w:val="22"/>
    <w:link w:val="11"/>
    <w:autoRedefine/>
    <w:qFormat/>
    <w:uiPriority w:val="0"/>
    <w:rPr>
      <w:rFonts w:ascii="宋体" w:hAnsiTheme="minorHAnsi" w:cstheme="minorBidi"/>
      <w:kern w:val="2"/>
      <w:sz w:val="18"/>
      <w:szCs w:val="18"/>
    </w:rPr>
  </w:style>
  <w:style w:type="character" w:customStyle="1" w:styleId="28">
    <w:name w:val="页眉 字符"/>
    <w:basedOn w:val="22"/>
    <w:link w:val="17"/>
    <w:autoRedefine/>
    <w:qFormat/>
    <w:uiPriority w:val="0"/>
    <w:rPr>
      <w:rFonts w:asciiTheme="minorHAnsi" w:hAnsiTheme="minorHAnsi" w:cstheme="minorBidi"/>
      <w:kern w:val="2"/>
      <w:sz w:val="18"/>
      <w:szCs w:val="18"/>
    </w:rPr>
  </w:style>
  <w:style w:type="character" w:customStyle="1" w:styleId="29">
    <w:name w:val="批注框文本 字符"/>
    <w:basedOn w:val="22"/>
    <w:link w:val="15"/>
    <w:autoRedefine/>
    <w:qFormat/>
    <w:uiPriority w:val="0"/>
    <w:rPr>
      <w:rFonts w:asciiTheme="minorHAnsi" w:hAnsiTheme="minorHAnsi" w:cstheme="minorBidi"/>
      <w:kern w:val="2"/>
      <w:sz w:val="18"/>
      <w:szCs w:val="18"/>
    </w:rPr>
  </w:style>
  <w:style w:type="character" w:customStyle="1" w:styleId="30">
    <w:name w:val="标题 4 字符"/>
    <w:basedOn w:val="22"/>
    <w:link w:val="5"/>
    <w:autoRedefine/>
    <w:qFormat/>
    <w:uiPriority w:val="0"/>
    <w:rPr>
      <w:rFonts w:asciiTheme="majorHAnsi" w:hAnsiTheme="majorHAnsi" w:eastAsiaTheme="majorEastAsia" w:cstheme="majorBidi"/>
      <w:b/>
      <w:bCs/>
      <w:kern w:val="2"/>
      <w:sz w:val="28"/>
      <w:szCs w:val="28"/>
    </w:rPr>
  </w:style>
  <w:style w:type="character" w:customStyle="1" w:styleId="31">
    <w:name w:val="标题 5 字符"/>
    <w:basedOn w:val="22"/>
    <w:link w:val="6"/>
    <w:autoRedefine/>
    <w:qFormat/>
    <w:uiPriority w:val="0"/>
    <w:rPr>
      <w:rFonts w:asciiTheme="minorHAnsi" w:hAnsiTheme="minorHAnsi" w:cstheme="minorBidi"/>
      <w:b/>
      <w:bCs/>
      <w:kern w:val="2"/>
      <w:sz w:val="28"/>
      <w:szCs w:val="28"/>
    </w:rPr>
  </w:style>
  <w:style w:type="character" w:customStyle="1" w:styleId="32">
    <w:name w:val="标题 6 字符"/>
    <w:basedOn w:val="22"/>
    <w:link w:val="7"/>
    <w:autoRedefine/>
    <w:semiHidden/>
    <w:qFormat/>
    <w:uiPriority w:val="0"/>
    <w:rPr>
      <w:rFonts w:asciiTheme="majorHAnsi" w:hAnsiTheme="majorHAnsi" w:eastAsiaTheme="majorEastAsia" w:cstheme="majorBidi"/>
      <w:b/>
      <w:bCs/>
      <w:kern w:val="2"/>
      <w:sz w:val="24"/>
      <w:szCs w:val="24"/>
    </w:rPr>
  </w:style>
  <w:style w:type="character" w:customStyle="1" w:styleId="33">
    <w:name w:val="标题 7 字符"/>
    <w:basedOn w:val="22"/>
    <w:link w:val="8"/>
    <w:autoRedefine/>
    <w:semiHidden/>
    <w:uiPriority w:val="0"/>
    <w:rPr>
      <w:rFonts w:asciiTheme="minorHAnsi" w:hAnsiTheme="minorHAnsi" w:cstheme="minorBidi"/>
      <w:b/>
      <w:bCs/>
      <w:kern w:val="2"/>
      <w:sz w:val="24"/>
      <w:szCs w:val="24"/>
    </w:rPr>
  </w:style>
  <w:style w:type="character" w:customStyle="1" w:styleId="34">
    <w:name w:val="标题 8 字符"/>
    <w:basedOn w:val="22"/>
    <w:link w:val="9"/>
    <w:semiHidden/>
    <w:uiPriority w:val="0"/>
    <w:rPr>
      <w:rFonts w:asciiTheme="majorHAnsi" w:hAnsiTheme="majorHAnsi" w:eastAsiaTheme="majorEastAsia" w:cstheme="majorBidi"/>
      <w:kern w:val="2"/>
      <w:sz w:val="24"/>
      <w:szCs w:val="24"/>
    </w:rPr>
  </w:style>
  <w:style w:type="character" w:customStyle="1" w:styleId="35">
    <w:name w:val="标题 9 字符"/>
    <w:basedOn w:val="22"/>
    <w:link w:val="10"/>
    <w:autoRedefine/>
    <w:semiHidden/>
    <w:qFormat/>
    <w:uiPriority w:val="0"/>
    <w:rPr>
      <w:rFonts w:asciiTheme="majorHAnsi" w:hAnsiTheme="majorHAnsi" w:eastAsiaTheme="majorEastAsia" w:cstheme="majorBidi"/>
      <w:kern w:val="2"/>
      <w:sz w:val="21"/>
      <w:szCs w:val="21"/>
    </w:rPr>
  </w:style>
  <w:style w:type="character" w:customStyle="1" w:styleId="36">
    <w:name w:val="尾注文本 字符"/>
    <w:basedOn w:val="22"/>
    <w:link w:val="14"/>
    <w:uiPriority w:val="0"/>
    <w:rPr>
      <w:rFonts w:asciiTheme="minorHAnsi" w:hAnsiTheme="minorHAnsi" w:cstheme="minorBidi"/>
      <w:kern w:val="2"/>
      <w:sz w:val="24"/>
      <w:szCs w:val="24"/>
    </w:rPr>
  </w:style>
  <w:style w:type="character" w:customStyle="1" w:styleId="37">
    <w:name w:val="批注文字 字符"/>
    <w:basedOn w:val="22"/>
    <w:link w:val="12"/>
    <w:autoRedefine/>
    <w:qFormat/>
    <w:uiPriority w:val="0"/>
    <w:rPr>
      <w:rFonts w:asciiTheme="minorHAnsi" w:hAnsiTheme="minorHAnsi" w:cstheme="minorBidi"/>
      <w:kern w:val="2"/>
      <w:sz w:val="24"/>
      <w:szCs w:val="24"/>
    </w:rPr>
  </w:style>
  <w:style w:type="character" w:customStyle="1" w:styleId="38">
    <w:name w:val="批注主题 字符"/>
    <w:basedOn w:val="37"/>
    <w:link w:val="20"/>
    <w:qFormat/>
    <w:uiPriority w:val="0"/>
    <w:rPr>
      <w:rFonts w:asciiTheme="minorHAnsi" w:hAnsiTheme="minorHAnsi" w:cstheme="minorBidi"/>
      <w:kern w:val="2"/>
      <w:sz w:val="24"/>
      <w:szCs w:val="24"/>
    </w:rPr>
  </w:style>
  <w:style w:type="paragraph" w:customStyle="1" w:styleId="39">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bCs/>
      <w:color w:val="2E75B5"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5EFF41-1543-40C8-BF24-C53516984204}">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739</Words>
  <Characters>802</Characters>
  <Lines>18</Lines>
  <Paragraphs>5</Paragraphs>
  <TotalTime>64</TotalTime>
  <ScaleCrop>false</ScaleCrop>
  <LinksUpToDate>false</LinksUpToDate>
  <CharactersWithSpaces>863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2024-04-15T07:01:00Z</dcterms:created>
  <dc:creator>lsy</dc:creator>
  <cp:lastModifiedBy>孤独岁月丶冷</cp:lastModifiedBy>
  <dcterms:modified xsi:type="dcterms:W3CDTF">2025-10-21T04:07:13Z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E94634CBEAA14198BBEEEE7F71F02B06_13</vt:lpwstr>
  </property>
</Properties>
</file>