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ACD86E">
      <w:pPr>
        <w:jc w:val="center"/>
        <w:rPr>
          <w:rFonts w:ascii="黑体" w:hAnsi="黑体" w:eastAsia="黑体" w:cs="黑体"/>
          <w:b/>
          <w:bCs/>
          <w:sz w:val="44"/>
          <w:szCs w:val="44"/>
        </w:rPr>
      </w:pPr>
      <w:bookmarkStart w:id="7" w:name="_GoBack"/>
      <w:bookmarkEnd w:id="7"/>
    </w:p>
    <w:p w14:paraId="25C85D40">
      <w:pPr>
        <w:jc w:val="center"/>
        <w:rPr>
          <w:rFonts w:ascii="黑体" w:hAnsi="黑体" w:eastAsia="黑体" w:cs="黑体"/>
          <w:b/>
          <w:bCs/>
          <w:sz w:val="44"/>
          <w:szCs w:val="44"/>
        </w:rPr>
      </w:pPr>
    </w:p>
    <w:p w14:paraId="581B09E4">
      <w:pPr>
        <w:spacing w:line="720" w:lineRule="auto"/>
        <w:jc w:val="center"/>
        <w:rPr>
          <w:rFonts w:ascii="黑体" w:hAnsi="黑体" w:eastAsia="黑体" w:cs="黑体"/>
          <w:b/>
          <w:bCs/>
          <w:sz w:val="44"/>
          <w:szCs w:val="44"/>
        </w:rPr>
      </w:pPr>
    </w:p>
    <w:p w14:paraId="5BE8504D">
      <w:pPr>
        <w:spacing w:line="720" w:lineRule="auto"/>
        <w:jc w:val="center"/>
        <w:rPr>
          <w:rFonts w:ascii="黑体" w:hAnsi="黑体" w:eastAsia="黑体" w:cs="黑体"/>
          <w:b/>
          <w:bCs/>
          <w:sz w:val="44"/>
          <w:szCs w:val="44"/>
        </w:rPr>
      </w:pPr>
    </w:p>
    <w:p w14:paraId="6CA499F1">
      <w:pPr>
        <w:spacing w:line="720" w:lineRule="auto"/>
        <w:jc w:val="center"/>
        <w:rPr>
          <w:rFonts w:ascii="黑体" w:hAnsi="黑体" w:eastAsia="黑体" w:cs="黑体"/>
          <w:b/>
          <w:bCs/>
          <w:sz w:val="44"/>
          <w:szCs w:val="44"/>
        </w:rPr>
      </w:pPr>
      <w:r>
        <w:rPr>
          <w:rFonts w:hint="eastAsia" w:ascii="黑体" w:hAnsi="黑体" w:eastAsia="黑体" w:cs="黑体"/>
          <w:b/>
          <w:bCs/>
          <w:sz w:val="44"/>
          <w:szCs w:val="44"/>
        </w:rPr>
        <w:t>北京市绿色建筑项目管理服务平台</w:t>
      </w:r>
    </w:p>
    <w:p w14:paraId="66E1C51D">
      <w:pPr>
        <w:spacing w:line="720" w:lineRule="auto"/>
        <w:jc w:val="center"/>
        <w:rPr>
          <w:rFonts w:ascii="黑体" w:hAnsi="黑体" w:eastAsia="黑体" w:cs="黑体"/>
          <w:b/>
          <w:bCs/>
          <w:sz w:val="44"/>
          <w:szCs w:val="44"/>
        </w:rPr>
      </w:pPr>
      <w:r>
        <w:rPr>
          <w:rFonts w:hint="eastAsia" w:ascii="黑体" w:hAnsi="黑体" w:eastAsia="黑体" w:cs="黑体"/>
          <w:b/>
          <w:bCs/>
          <w:sz w:val="44"/>
          <w:szCs w:val="44"/>
        </w:rPr>
        <w:t>操作手册（企业端）</w:t>
      </w:r>
    </w:p>
    <w:p w14:paraId="39127740">
      <w:pPr>
        <w:jc w:val="center"/>
        <w:rPr>
          <w:rFonts w:ascii="黑体" w:hAnsi="黑体" w:eastAsia="黑体" w:cs="黑体"/>
          <w:b/>
          <w:bCs/>
          <w:sz w:val="44"/>
          <w:szCs w:val="44"/>
        </w:rPr>
      </w:pPr>
    </w:p>
    <w:p w14:paraId="770A6ECD">
      <w:pPr>
        <w:jc w:val="center"/>
        <w:rPr>
          <w:rFonts w:ascii="黑体" w:hAnsi="黑体" w:eastAsia="黑体" w:cs="黑体"/>
          <w:b/>
          <w:bCs/>
          <w:sz w:val="44"/>
          <w:szCs w:val="44"/>
        </w:rPr>
      </w:pPr>
    </w:p>
    <w:p w14:paraId="75C2A457">
      <w:pPr>
        <w:jc w:val="center"/>
        <w:rPr>
          <w:rFonts w:ascii="黑体" w:hAnsi="黑体" w:eastAsia="黑体" w:cs="黑体"/>
          <w:b/>
          <w:bCs/>
          <w:sz w:val="44"/>
          <w:szCs w:val="44"/>
        </w:rPr>
      </w:pPr>
    </w:p>
    <w:p w14:paraId="0C176611">
      <w:pPr>
        <w:rPr>
          <w:rFonts w:ascii="黑体" w:hAnsi="黑体" w:eastAsia="黑体" w:cs="黑体"/>
          <w:b/>
          <w:bCs/>
          <w:sz w:val="44"/>
          <w:szCs w:val="44"/>
        </w:rPr>
      </w:pPr>
    </w:p>
    <w:p w14:paraId="5BE02E8D">
      <w:pPr>
        <w:jc w:val="center"/>
        <w:rPr>
          <w:rFonts w:ascii="黑体" w:hAnsi="黑体" w:eastAsia="黑体" w:cs="黑体"/>
          <w:b/>
          <w:bCs/>
          <w:sz w:val="44"/>
          <w:szCs w:val="44"/>
        </w:rPr>
      </w:pPr>
    </w:p>
    <w:p w14:paraId="680E7A11">
      <w:pPr>
        <w:jc w:val="center"/>
        <w:rPr>
          <w:rFonts w:ascii="黑体" w:hAnsi="黑体" w:eastAsia="黑体" w:cs="黑体"/>
          <w:b/>
          <w:bCs/>
          <w:sz w:val="44"/>
          <w:szCs w:val="44"/>
        </w:rPr>
      </w:pPr>
    </w:p>
    <w:p w14:paraId="1B87FD24">
      <w:pPr>
        <w:rPr>
          <w:rFonts w:ascii="黑体" w:hAnsi="黑体" w:eastAsia="黑体" w:cs="黑体"/>
          <w:b/>
          <w:bCs/>
          <w:sz w:val="44"/>
          <w:szCs w:val="44"/>
        </w:rPr>
      </w:pPr>
    </w:p>
    <w:p w14:paraId="3E7FF9C9">
      <w:pPr>
        <w:jc w:val="center"/>
        <w:rPr>
          <w:rFonts w:ascii="黑体" w:hAnsi="黑体" w:eastAsia="黑体" w:cs="黑体"/>
          <w:b/>
          <w:bCs/>
          <w:sz w:val="44"/>
          <w:szCs w:val="44"/>
        </w:rPr>
      </w:pPr>
    </w:p>
    <w:p w14:paraId="3CE3AC60">
      <w:pPr>
        <w:rPr>
          <w:rFonts w:ascii="黑体" w:hAnsi="黑体" w:eastAsia="黑体" w:cs="黑体"/>
          <w:b/>
          <w:bCs/>
          <w:sz w:val="44"/>
          <w:szCs w:val="44"/>
        </w:rPr>
      </w:pPr>
    </w:p>
    <w:p w14:paraId="79FA0279">
      <w:pPr>
        <w:jc w:val="center"/>
        <w:rPr>
          <w:rFonts w:ascii="黑体" w:hAnsi="黑体" w:eastAsia="黑体" w:cs="黑体"/>
          <w:b/>
          <w:bCs/>
          <w:sz w:val="32"/>
          <w:szCs w:val="32"/>
        </w:rPr>
      </w:pPr>
      <w:r>
        <w:rPr>
          <w:rFonts w:hint="eastAsia" w:ascii="黑体" w:hAnsi="黑体" w:eastAsia="黑体" w:cs="黑体"/>
          <w:b/>
          <w:bCs/>
          <w:sz w:val="32"/>
          <w:szCs w:val="32"/>
        </w:rPr>
        <w:t>北京理正人信息有限公司</w:t>
      </w:r>
    </w:p>
    <w:p w14:paraId="4037F4E4">
      <w:pPr>
        <w:jc w:val="center"/>
        <w:rPr>
          <w:rFonts w:ascii="黑体" w:hAnsi="黑体" w:eastAsia="黑体" w:cs="黑体"/>
          <w:b/>
          <w:bCs/>
          <w:sz w:val="32"/>
          <w:szCs w:val="32"/>
        </w:rPr>
      </w:pPr>
      <w:r>
        <w:rPr>
          <w:rFonts w:hint="eastAsia" w:ascii="黑体" w:hAnsi="黑体" w:eastAsia="黑体" w:cs="黑体"/>
          <w:b/>
          <w:bCs/>
          <w:sz w:val="32"/>
          <w:szCs w:val="32"/>
        </w:rPr>
        <w:t>2024年</w:t>
      </w:r>
      <w:r>
        <w:rPr>
          <w:rFonts w:ascii="黑体" w:hAnsi="黑体" w:eastAsia="黑体" w:cs="黑体"/>
          <w:b/>
          <w:bCs/>
          <w:sz w:val="32"/>
          <w:szCs w:val="32"/>
        </w:rPr>
        <w:t>5</w:t>
      </w:r>
      <w:r>
        <w:rPr>
          <w:rFonts w:hint="eastAsia" w:ascii="黑体" w:hAnsi="黑体" w:eastAsia="黑体" w:cs="黑体"/>
          <w:b/>
          <w:bCs/>
          <w:sz w:val="32"/>
          <w:szCs w:val="32"/>
        </w:rPr>
        <w:t>月</w:t>
      </w:r>
    </w:p>
    <w:p w14:paraId="743C3ACB">
      <w:pPr>
        <w:jc w:val="center"/>
        <w:rPr>
          <w:rFonts w:ascii="黑体" w:hAnsi="黑体" w:eastAsia="黑体" w:cs="黑体"/>
          <w:b/>
          <w:bCs/>
          <w:sz w:val="32"/>
          <w:szCs w:val="32"/>
        </w:rPr>
      </w:pPr>
    </w:p>
    <w:p w14:paraId="778664E2">
      <w:pPr>
        <w:jc w:val="center"/>
        <w:rPr>
          <w:rFonts w:ascii="黑体" w:hAnsi="黑体" w:eastAsia="黑体" w:cs="黑体"/>
          <w:b/>
          <w:bCs/>
          <w:sz w:val="32"/>
          <w:szCs w:val="32"/>
        </w:rPr>
      </w:pPr>
    </w:p>
    <w:p w14:paraId="4128D021">
      <w:pPr>
        <w:jc w:val="center"/>
        <w:rPr>
          <w:rFonts w:ascii="黑体" w:hAnsi="黑体" w:eastAsia="黑体" w:cs="黑体"/>
          <w:b/>
          <w:bCs/>
          <w:sz w:val="32"/>
          <w:szCs w:val="32"/>
        </w:rPr>
        <w:sectPr>
          <w:pgSz w:w="11906" w:h="16838"/>
          <w:pgMar w:top="1440" w:right="1800" w:bottom="1440" w:left="1800" w:header="851" w:footer="992" w:gutter="0"/>
          <w:cols w:space="425" w:num="1"/>
          <w:docGrid w:type="lines" w:linePitch="312" w:charSpace="0"/>
        </w:sectPr>
      </w:pPr>
    </w:p>
    <w:sdt>
      <w:sdtPr>
        <w:rPr>
          <w:rFonts w:ascii="宋体" w:hAnsi="宋体" w:eastAsia="黑体"/>
          <w:sz w:val="21"/>
        </w:rPr>
        <w:id w:val="147469412"/>
        <w:docPartObj>
          <w:docPartGallery w:val="Table of Contents"/>
          <w:docPartUnique/>
        </w:docPartObj>
      </w:sdtPr>
      <w:sdtEndPr>
        <w:rPr>
          <w:rFonts w:hint="eastAsia" w:ascii="宋体" w:hAnsi="宋体" w:eastAsia="黑体"/>
          <w:sz w:val="21"/>
        </w:rPr>
      </w:sdtEndPr>
      <w:sdtContent>
        <w:p w14:paraId="7EDCA2EC">
          <w:pPr>
            <w:spacing w:line="240" w:lineRule="auto"/>
            <w:jc w:val="center"/>
          </w:pPr>
          <w:r>
            <w:rPr>
              <w:rFonts w:ascii="宋体" w:hAnsi="宋体"/>
              <w:sz w:val="21"/>
            </w:rPr>
            <w:t>目录</w:t>
          </w:r>
        </w:p>
        <w:p w14:paraId="2ED49984">
          <w:pPr>
            <w:pStyle w:val="17"/>
            <w:tabs>
              <w:tab w:val="left" w:pos="420"/>
              <w:tab w:val="right" w:leader="dot" w:pos="8296"/>
            </w:tabs>
            <w:rPr>
              <w:rFonts w:eastAsiaTheme="minorEastAsia"/>
              <w:sz w:val="21"/>
              <w:szCs w:val="22"/>
            </w:rPr>
          </w:pPr>
          <w:r>
            <w:rPr>
              <w:rFonts w:hint="eastAsia" w:ascii="黑体" w:hAnsi="黑体" w:cs="黑体"/>
              <w:b/>
              <w:bCs/>
              <w:sz w:val="32"/>
              <w:szCs w:val="32"/>
            </w:rPr>
            <w:fldChar w:fldCharType="begin"/>
          </w:r>
          <w:r>
            <w:rPr>
              <w:rFonts w:hint="eastAsia" w:ascii="黑体" w:hAnsi="黑体" w:cs="黑体"/>
              <w:b/>
              <w:bCs/>
              <w:sz w:val="32"/>
              <w:szCs w:val="32"/>
            </w:rPr>
            <w:instrText xml:space="preserve">TOC \o "1-3" \h \u </w:instrText>
          </w:r>
          <w:r>
            <w:rPr>
              <w:rFonts w:hint="eastAsia" w:ascii="黑体" w:hAnsi="黑体" w:cs="黑体"/>
              <w:b/>
              <w:bCs/>
              <w:sz w:val="32"/>
              <w:szCs w:val="32"/>
            </w:rPr>
            <w:fldChar w:fldCharType="separate"/>
          </w:r>
          <w:r>
            <w:fldChar w:fldCharType="begin"/>
          </w:r>
          <w:r>
            <w:instrText xml:space="preserve"> HYPERLINK \l "_Toc164074808" </w:instrText>
          </w:r>
          <w:r>
            <w:fldChar w:fldCharType="separate"/>
          </w:r>
          <w:r>
            <w:rPr>
              <w:rStyle w:val="23"/>
            </w:rPr>
            <w:t>1.</w:t>
          </w:r>
          <w:r>
            <w:rPr>
              <w:rFonts w:eastAsiaTheme="minorEastAsia"/>
              <w:sz w:val="21"/>
              <w:szCs w:val="22"/>
            </w:rPr>
            <w:tab/>
          </w:r>
          <w:r>
            <w:rPr>
              <w:rStyle w:val="23"/>
              <w:rFonts w:hint="eastAsia"/>
            </w:rPr>
            <w:t>系统登录</w:t>
          </w:r>
          <w:r>
            <w:tab/>
          </w:r>
          <w:r>
            <w:fldChar w:fldCharType="begin"/>
          </w:r>
          <w:r>
            <w:instrText xml:space="preserve"> PAGEREF _Toc164074808 \h </w:instrText>
          </w:r>
          <w:r>
            <w:fldChar w:fldCharType="separate"/>
          </w:r>
          <w:r>
            <w:t>1</w:t>
          </w:r>
          <w:r>
            <w:fldChar w:fldCharType="end"/>
          </w:r>
          <w:r>
            <w:fldChar w:fldCharType="end"/>
          </w:r>
        </w:p>
        <w:p w14:paraId="6B067CCF">
          <w:pPr>
            <w:pStyle w:val="17"/>
            <w:tabs>
              <w:tab w:val="left" w:pos="420"/>
              <w:tab w:val="right" w:leader="dot" w:pos="8296"/>
            </w:tabs>
            <w:rPr>
              <w:rFonts w:eastAsiaTheme="minorEastAsia"/>
              <w:sz w:val="21"/>
              <w:szCs w:val="22"/>
            </w:rPr>
          </w:pPr>
          <w:r>
            <w:fldChar w:fldCharType="begin"/>
          </w:r>
          <w:r>
            <w:instrText xml:space="preserve"> HYPERLINK \l "_Toc164074809" </w:instrText>
          </w:r>
          <w:r>
            <w:fldChar w:fldCharType="separate"/>
          </w:r>
          <w:r>
            <w:rPr>
              <w:rStyle w:val="23"/>
            </w:rPr>
            <w:t>2.</w:t>
          </w:r>
          <w:r>
            <w:rPr>
              <w:rFonts w:eastAsiaTheme="minorEastAsia"/>
              <w:sz w:val="21"/>
              <w:szCs w:val="22"/>
            </w:rPr>
            <w:tab/>
          </w:r>
          <w:r>
            <w:rPr>
              <w:rStyle w:val="23"/>
              <w:rFonts w:hint="eastAsia"/>
            </w:rPr>
            <w:t>企业端操作说明</w:t>
          </w:r>
          <w:r>
            <w:tab/>
          </w:r>
          <w:r>
            <w:fldChar w:fldCharType="begin"/>
          </w:r>
          <w:r>
            <w:instrText xml:space="preserve"> PAGEREF _Toc164074809 \h </w:instrText>
          </w:r>
          <w:r>
            <w:fldChar w:fldCharType="separate"/>
          </w:r>
          <w:r>
            <w:t>3</w:t>
          </w:r>
          <w:r>
            <w:fldChar w:fldCharType="end"/>
          </w:r>
          <w:r>
            <w:fldChar w:fldCharType="end"/>
          </w:r>
        </w:p>
        <w:p w14:paraId="3B45B415">
          <w:pPr>
            <w:pStyle w:val="18"/>
            <w:tabs>
              <w:tab w:val="left" w:pos="1050"/>
              <w:tab w:val="right" w:leader="dot" w:pos="8296"/>
            </w:tabs>
            <w:ind w:left="480"/>
            <w:rPr>
              <w:rFonts w:eastAsiaTheme="minorEastAsia"/>
              <w:sz w:val="21"/>
              <w:szCs w:val="22"/>
            </w:rPr>
          </w:pPr>
          <w:r>
            <w:fldChar w:fldCharType="begin"/>
          </w:r>
          <w:r>
            <w:instrText xml:space="preserve"> HYPERLINK \l "_Toc164074810" </w:instrText>
          </w:r>
          <w:r>
            <w:fldChar w:fldCharType="separate"/>
          </w:r>
          <w:r>
            <w:rPr>
              <w:rStyle w:val="23"/>
            </w:rPr>
            <w:t>2.1.</w:t>
          </w:r>
          <w:r>
            <w:rPr>
              <w:rFonts w:eastAsiaTheme="minorEastAsia"/>
              <w:sz w:val="21"/>
              <w:szCs w:val="22"/>
            </w:rPr>
            <w:tab/>
          </w:r>
          <w:r>
            <w:rPr>
              <w:rStyle w:val="23"/>
              <w:rFonts w:hint="eastAsia"/>
            </w:rPr>
            <w:t>首页</w:t>
          </w:r>
          <w:r>
            <w:tab/>
          </w:r>
          <w:r>
            <w:fldChar w:fldCharType="begin"/>
          </w:r>
          <w:r>
            <w:instrText xml:space="preserve"> PAGEREF _Toc164074810 \h </w:instrText>
          </w:r>
          <w:r>
            <w:fldChar w:fldCharType="separate"/>
          </w:r>
          <w:r>
            <w:t>3</w:t>
          </w:r>
          <w:r>
            <w:fldChar w:fldCharType="end"/>
          </w:r>
          <w:r>
            <w:fldChar w:fldCharType="end"/>
          </w:r>
        </w:p>
        <w:p w14:paraId="5C5CBFBD">
          <w:pPr>
            <w:pStyle w:val="18"/>
            <w:tabs>
              <w:tab w:val="left" w:pos="1050"/>
              <w:tab w:val="right" w:leader="dot" w:pos="8296"/>
            </w:tabs>
            <w:ind w:left="480"/>
            <w:rPr>
              <w:rFonts w:eastAsiaTheme="minorEastAsia"/>
              <w:sz w:val="21"/>
              <w:szCs w:val="22"/>
            </w:rPr>
          </w:pPr>
          <w:r>
            <w:fldChar w:fldCharType="begin"/>
          </w:r>
          <w:r>
            <w:instrText xml:space="preserve"> HYPERLINK \l "_Toc164074811" </w:instrText>
          </w:r>
          <w:r>
            <w:fldChar w:fldCharType="separate"/>
          </w:r>
          <w:r>
            <w:rPr>
              <w:rStyle w:val="23"/>
            </w:rPr>
            <w:t>2.2.</w:t>
          </w:r>
          <w:r>
            <w:rPr>
              <w:rFonts w:eastAsiaTheme="minorEastAsia"/>
              <w:sz w:val="21"/>
              <w:szCs w:val="22"/>
            </w:rPr>
            <w:tab/>
          </w:r>
          <w:r>
            <w:rPr>
              <w:rStyle w:val="23"/>
              <w:rFonts w:hint="eastAsia"/>
            </w:rPr>
            <w:t>财政奖励</w:t>
          </w:r>
          <w:r>
            <w:tab/>
          </w:r>
          <w:r>
            <w:fldChar w:fldCharType="begin"/>
          </w:r>
          <w:r>
            <w:instrText xml:space="preserve"> PAGEREF _Toc164074811 \h </w:instrText>
          </w:r>
          <w:r>
            <w:fldChar w:fldCharType="separate"/>
          </w:r>
          <w:r>
            <w:t>3</w:t>
          </w:r>
          <w:r>
            <w:fldChar w:fldCharType="end"/>
          </w:r>
          <w:r>
            <w:fldChar w:fldCharType="end"/>
          </w:r>
        </w:p>
        <w:p w14:paraId="7FC5517F">
          <w:pPr>
            <w:pStyle w:val="13"/>
            <w:tabs>
              <w:tab w:val="left" w:pos="1680"/>
              <w:tab w:val="right" w:leader="dot" w:pos="8296"/>
            </w:tabs>
            <w:ind w:left="960"/>
            <w:rPr>
              <w:rFonts w:eastAsiaTheme="minorEastAsia"/>
              <w:sz w:val="21"/>
              <w:szCs w:val="22"/>
            </w:rPr>
          </w:pPr>
          <w:r>
            <w:fldChar w:fldCharType="begin"/>
          </w:r>
          <w:r>
            <w:instrText xml:space="preserve"> HYPERLINK \l "_Toc164074812" </w:instrText>
          </w:r>
          <w:r>
            <w:fldChar w:fldCharType="separate"/>
          </w:r>
          <w:r>
            <w:rPr>
              <w:rStyle w:val="23"/>
            </w:rPr>
            <w:t>2.2.1.</w:t>
          </w:r>
          <w:r>
            <w:rPr>
              <w:rFonts w:eastAsiaTheme="minorEastAsia"/>
              <w:sz w:val="21"/>
              <w:szCs w:val="22"/>
            </w:rPr>
            <w:tab/>
          </w:r>
          <w:r>
            <w:rPr>
              <w:rStyle w:val="23"/>
              <w:rFonts w:hint="eastAsia"/>
            </w:rPr>
            <w:t>待办</w:t>
          </w:r>
          <w:r>
            <w:tab/>
          </w:r>
          <w:r>
            <w:fldChar w:fldCharType="begin"/>
          </w:r>
          <w:r>
            <w:instrText xml:space="preserve"> PAGEREF _Toc164074812 \h </w:instrText>
          </w:r>
          <w:r>
            <w:fldChar w:fldCharType="separate"/>
          </w:r>
          <w:r>
            <w:t>3</w:t>
          </w:r>
          <w:r>
            <w:fldChar w:fldCharType="end"/>
          </w:r>
          <w:r>
            <w:fldChar w:fldCharType="end"/>
          </w:r>
        </w:p>
        <w:p w14:paraId="56BD7F09">
          <w:pPr>
            <w:pStyle w:val="13"/>
            <w:tabs>
              <w:tab w:val="left" w:pos="1680"/>
              <w:tab w:val="right" w:leader="dot" w:pos="8296"/>
            </w:tabs>
            <w:ind w:left="960"/>
            <w:rPr>
              <w:rFonts w:eastAsiaTheme="minorEastAsia"/>
              <w:sz w:val="21"/>
              <w:szCs w:val="22"/>
            </w:rPr>
          </w:pPr>
          <w:r>
            <w:fldChar w:fldCharType="begin"/>
          </w:r>
          <w:r>
            <w:instrText xml:space="preserve"> HYPERLINK \l "_Toc164074813" </w:instrText>
          </w:r>
          <w:r>
            <w:fldChar w:fldCharType="separate"/>
          </w:r>
          <w:r>
            <w:rPr>
              <w:rStyle w:val="23"/>
            </w:rPr>
            <w:t>2.2.2.</w:t>
          </w:r>
          <w:r>
            <w:rPr>
              <w:rFonts w:eastAsiaTheme="minorEastAsia"/>
              <w:sz w:val="21"/>
              <w:szCs w:val="22"/>
            </w:rPr>
            <w:tab/>
          </w:r>
          <w:r>
            <w:rPr>
              <w:rStyle w:val="23"/>
              <w:rFonts w:hint="eastAsia"/>
            </w:rPr>
            <w:t>已办</w:t>
          </w:r>
          <w:r>
            <w:tab/>
          </w:r>
          <w:r>
            <w:fldChar w:fldCharType="begin"/>
          </w:r>
          <w:r>
            <w:instrText xml:space="preserve"> PAGEREF _Toc164074813 \h </w:instrText>
          </w:r>
          <w:r>
            <w:fldChar w:fldCharType="separate"/>
          </w:r>
          <w:r>
            <w:t>5</w:t>
          </w:r>
          <w:r>
            <w:fldChar w:fldCharType="end"/>
          </w:r>
          <w:r>
            <w:fldChar w:fldCharType="end"/>
          </w:r>
        </w:p>
        <w:p w14:paraId="1146EF90">
          <w:pPr>
            <w:pStyle w:val="18"/>
            <w:tabs>
              <w:tab w:val="left" w:pos="1050"/>
              <w:tab w:val="right" w:leader="dot" w:pos="8296"/>
            </w:tabs>
            <w:ind w:left="480"/>
            <w:rPr>
              <w:rFonts w:eastAsiaTheme="minorEastAsia"/>
              <w:sz w:val="21"/>
              <w:szCs w:val="22"/>
            </w:rPr>
          </w:pPr>
          <w:r>
            <w:fldChar w:fldCharType="begin"/>
          </w:r>
          <w:r>
            <w:instrText xml:space="preserve"> HYPERLINK \l "_Toc164074814" </w:instrText>
          </w:r>
          <w:r>
            <w:fldChar w:fldCharType="separate"/>
          </w:r>
          <w:r>
            <w:rPr>
              <w:rStyle w:val="23"/>
            </w:rPr>
            <w:t>2.3.</w:t>
          </w:r>
          <w:r>
            <w:rPr>
              <w:rFonts w:eastAsiaTheme="minorEastAsia"/>
              <w:sz w:val="21"/>
              <w:szCs w:val="22"/>
            </w:rPr>
            <w:tab/>
          </w:r>
          <w:r>
            <w:rPr>
              <w:rStyle w:val="23"/>
              <w:rFonts w:hint="eastAsia"/>
            </w:rPr>
            <w:t>运行指标管理</w:t>
          </w:r>
          <w:r>
            <w:tab/>
          </w:r>
          <w:r>
            <w:fldChar w:fldCharType="begin"/>
          </w:r>
          <w:r>
            <w:instrText xml:space="preserve"> PAGEREF _Toc164074814 \h </w:instrText>
          </w:r>
          <w:r>
            <w:fldChar w:fldCharType="separate"/>
          </w:r>
          <w:r>
            <w:t>6</w:t>
          </w:r>
          <w:r>
            <w:fldChar w:fldCharType="end"/>
          </w:r>
          <w:r>
            <w:fldChar w:fldCharType="end"/>
          </w:r>
        </w:p>
        <w:p w14:paraId="48643B48">
          <w:pPr>
            <w:pStyle w:val="17"/>
            <w:rPr>
              <w:rFonts w:ascii="黑体" w:hAnsi="黑体" w:cs="黑体"/>
              <w:b/>
              <w:bCs/>
              <w:sz w:val="32"/>
              <w:szCs w:val="32"/>
            </w:rPr>
            <w:sectPr>
              <w:pgSz w:w="11906" w:h="16838"/>
              <w:pgMar w:top="1440" w:right="1800" w:bottom="1440" w:left="1800" w:header="851" w:footer="992" w:gutter="0"/>
              <w:cols w:space="425" w:num="1"/>
              <w:docGrid w:type="lines" w:linePitch="312" w:charSpace="0"/>
            </w:sectPr>
          </w:pPr>
          <w:r>
            <w:rPr>
              <w:rFonts w:hint="eastAsia"/>
            </w:rPr>
            <w:fldChar w:fldCharType="end"/>
          </w:r>
        </w:p>
      </w:sdtContent>
    </w:sdt>
    <w:p w14:paraId="3500A104">
      <w:pPr>
        <w:rPr>
          <w:rFonts w:ascii="黑体" w:hAnsi="黑体" w:eastAsia="黑体" w:cs="黑体"/>
          <w:b/>
          <w:bCs/>
          <w:sz w:val="32"/>
          <w:szCs w:val="32"/>
        </w:rPr>
      </w:pPr>
    </w:p>
    <w:p w14:paraId="07235E56">
      <w:pPr>
        <w:pStyle w:val="2"/>
      </w:pPr>
      <w:bookmarkStart w:id="0" w:name="_Toc164074808"/>
      <w:r>
        <w:rPr>
          <w:rFonts w:hint="eastAsia"/>
        </w:rPr>
        <w:t>系统登录</w:t>
      </w:r>
      <w:bookmarkEnd w:id="0"/>
    </w:p>
    <w:p w14:paraId="1F6C4FEA">
      <w:pPr>
        <w:ind w:firstLine="560" w:firstLineChars="200"/>
        <w:rPr>
          <w:rFonts w:ascii="宋体" w:hAnsi="宋体"/>
          <w:sz w:val="28"/>
          <w:szCs w:val="28"/>
        </w:rPr>
      </w:pPr>
      <w:r>
        <w:rPr>
          <w:rFonts w:hint="eastAsia" w:ascii="宋体" w:hAnsi="宋体"/>
          <w:color w:val="000000"/>
          <w:sz w:val="28"/>
          <w:szCs w:val="28"/>
        </w:rPr>
        <w:t>第一步：输入地址：http</w:t>
      </w:r>
      <w:r>
        <w:rPr>
          <w:rFonts w:ascii="宋体" w:hAnsi="宋体"/>
          <w:color w:val="000000"/>
          <w:sz w:val="28"/>
          <w:szCs w:val="28"/>
        </w:rPr>
        <w:t>://zjw.beijing.gov.</w:t>
      </w:r>
      <w:r>
        <w:rPr>
          <w:rFonts w:hint="eastAsia" w:ascii="宋体" w:hAnsi="宋体"/>
          <w:color w:val="000000"/>
          <w:sz w:val="28"/>
          <w:szCs w:val="28"/>
        </w:rPr>
        <w:t>c</w:t>
      </w:r>
      <w:r>
        <w:rPr>
          <w:rFonts w:ascii="宋体" w:hAnsi="宋体"/>
          <w:color w:val="000000"/>
          <w:sz w:val="28"/>
          <w:szCs w:val="28"/>
        </w:rPr>
        <w:t>n/</w:t>
      </w:r>
      <w:r>
        <w:rPr>
          <w:rFonts w:hint="eastAsia" w:ascii="宋体" w:hAnsi="宋体"/>
          <w:color w:val="000000"/>
          <w:sz w:val="28"/>
          <w:szCs w:val="28"/>
        </w:rPr>
        <w:t>，打开北京市住房和城乡建设委员会办事大厅页面，点击办事大厅系统，在企业登录页面点击“确认”按钮</w:t>
      </w:r>
      <w:r>
        <w:rPr>
          <w:rFonts w:hint="eastAsia" w:ascii="宋体" w:hAnsi="宋体"/>
          <w:sz w:val="28"/>
          <w:szCs w:val="28"/>
        </w:rPr>
        <w:t>显示首都之窗北京市统一身份认证平台登录页面，注册过首都之窗北京市统一身份认证平台账号的用户可使用正确的用户名、密码以及验证码进行登录，进入业务申报页面，未注册过首都之窗北京市统一身份认证平台账号的用户，需要在首都之窗北京市统一身份认证平台进行注册，注册后进行登录。</w:t>
      </w:r>
    </w:p>
    <w:p w14:paraId="6967ED5F">
      <w:pPr>
        <w:jc w:val="center"/>
      </w:pPr>
      <w:r>
        <w:drawing>
          <wp:inline distT="0" distB="0" distL="114300" distR="114300">
            <wp:extent cx="5043805" cy="2712720"/>
            <wp:effectExtent l="0" t="0" r="444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043805" cy="2712720"/>
                    </a:xfrm>
                    <a:prstGeom prst="rect">
                      <a:avLst/>
                    </a:prstGeom>
                    <a:noFill/>
                    <a:ln>
                      <a:noFill/>
                    </a:ln>
                  </pic:spPr>
                </pic:pic>
              </a:graphicData>
            </a:graphic>
          </wp:inline>
        </w:drawing>
      </w:r>
    </w:p>
    <w:p w14:paraId="35A281D4">
      <w:pPr>
        <w:jc w:val="center"/>
      </w:pPr>
      <w:r>
        <w:drawing>
          <wp:inline distT="0" distB="0" distL="114300" distR="114300">
            <wp:extent cx="4552315" cy="3577590"/>
            <wp:effectExtent l="0" t="0" r="63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552315" cy="3577590"/>
                    </a:xfrm>
                    <a:prstGeom prst="rect">
                      <a:avLst/>
                    </a:prstGeom>
                    <a:noFill/>
                    <a:ln>
                      <a:noFill/>
                    </a:ln>
                  </pic:spPr>
                </pic:pic>
              </a:graphicData>
            </a:graphic>
          </wp:inline>
        </w:drawing>
      </w:r>
    </w:p>
    <w:p w14:paraId="505BF17B">
      <w:pPr>
        <w:jc w:val="center"/>
        <w:rPr>
          <w:rFonts w:ascii="宋体" w:hAnsi="宋体"/>
          <w:sz w:val="28"/>
          <w:szCs w:val="28"/>
        </w:rPr>
      </w:pPr>
      <w:r>
        <w:rPr>
          <w:rFonts w:ascii="宋体" w:hAnsi="宋体"/>
          <w:sz w:val="28"/>
          <w:szCs w:val="28"/>
        </w:rPr>
        <w:drawing>
          <wp:inline distT="0" distB="0" distL="114300" distR="114300">
            <wp:extent cx="5264785" cy="2595245"/>
            <wp:effectExtent l="0" t="0" r="12065" b="146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5264785" cy="2595245"/>
                    </a:xfrm>
                    <a:prstGeom prst="rect">
                      <a:avLst/>
                    </a:prstGeom>
                    <a:noFill/>
                    <a:ln>
                      <a:noFill/>
                    </a:ln>
                  </pic:spPr>
                </pic:pic>
              </a:graphicData>
            </a:graphic>
          </wp:inline>
        </w:drawing>
      </w:r>
    </w:p>
    <w:p w14:paraId="2622870A">
      <w:pPr>
        <w:ind w:firstLine="480"/>
        <w:rPr>
          <w:rFonts w:ascii="宋体" w:hAnsi="宋体"/>
          <w:sz w:val="28"/>
          <w:szCs w:val="28"/>
        </w:rPr>
      </w:pPr>
      <w:r>
        <w:rPr>
          <w:rFonts w:hint="eastAsia" w:ascii="宋体" w:hAnsi="宋体"/>
          <w:sz w:val="28"/>
          <w:szCs w:val="28"/>
        </w:rPr>
        <w:t>第二步：登录后进入业务申报页面后，点击“(414)北京市绿色建筑项目管理服务平台”链接，即可进入北京市绿色建筑项目管理服务平台办理页面。</w:t>
      </w:r>
    </w:p>
    <w:p w14:paraId="5C48892C">
      <w:r>
        <w:drawing>
          <wp:inline distT="0" distB="0" distL="0" distR="0">
            <wp:extent cx="5274310" cy="2369820"/>
            <wp:effectExtent l="1905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a:srcRect/>
                    <a:stretch>
                      <a:fillRect/>
                    </a:stretch>
                  </pic:blipFill>
                  <pic:spPr>
                    <a:xfrm>
                      <a:off x="0" y="0"/>
                      <a:ext cx="5274310" cy="2369995"/>
                    </a:xfrm>
                    <a:prstGeom prst="rect">
                      <a:avLst/>
                    </a:prstGeom>
                    <a:noFill/>
                    <a:ln w="9525">
                      <a:noFill/>
                      <a:miter lim="800000"/>
                      <a:headEnd/>
                      <a:tailEnd/>
                    </a:ln>
                  </pic:spPr>
                </pic:pic>
              </a:graphicData>
            </a:graphic>
          </wp:inline>
        </w:drawing>
      </w:r>
    </w:p>
    <w:p w14:paraId="3DE661A6"/>
    <w:p w14:paraId="7E89480F">
      <w:pPr>
        <w:pStyle w:val="2"/>
      </w:pPr>
      <w:bookmarkStart w:id="1" w:name="_Toc164074809"/>
      <w:r>
        <w:rPr>
          <w:rFonts w:hint="eastAsia"/>
        </w:rPr>
        <w:t>企业端操作说明</w:t>
      </w:r>
      <w:bookmarkEnd w:id="1"/>
    </w:p>
    <w:p w14:paraId="78F4F57C">
      <w:pPr>
        <w:pStyle w:val="3"/>
      </w:pPr>
      <w:bookmarkStart w:id="2" w:name="_Toc164074810"/>
      <w:r>
        <w:rPr>
          <w:rFonts w:hint="eastAsia"/>
        </w:rPr>
        <w:t>首页</w:t>
      </w:r>
      <w:bookmarkEnd w:id="2"/>
    </w:p>
    <w:p w14:paraId="5A70CA00">
      <w:pPr>
        <w:ind w:firstLine="480" w:firstLineChars="200"/>
      </w:pPr>
      <w:r>
        <w:rPr>
          <w:rFonts w:hint="eastAsia"/>
        </w:rPr>
        <w:t>可查看操作指引、政策文件、资料下载、技术支持；政策文件可查看管理人员发布的政策文件详情，资料下载可下载系统操作手册、相关标准。</w:t>
      </w:r>
    </w:p>
    <w:p w14:paraId="7C4683AB">
      <w:r>
        <w:drawing>
          <wp:inline distT="0" distB="0" distL="114300" distR="114300">
            <wp:extent cx="5271770" cy="2067560"/>
            <wp:effectExtent l="0" t="0" r="5080" b="889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1"/>
                    <a:stretch>
                      <a:fillRect/>
                    </a:stretch>
                  </pic:blipFill>
                  <pic:spPr>
                    <a:xfrm>
                      <a:off x="0" y="0"/>
                      <a:ext cx="5271770" cy="2067560"/>
                    </a:xfrm>
                    <a:prstGeom prst="rect">
                      <a:avLst/>
                    </a:prstGeom>
                    <a:noFill/>
                    <a:ln>
                      <a:noFill/>
                    </a:ln>
                  </pic:spPr>
                </pic:pic>
              </a:graphicData>
            </a:graphic>
          </wp:inline>
        </w:drawing>
      </w:r>
    </w:p>
    <w:p w14:paraId="32523E9E">
      <w:pPr>
        <w:pStyle w:val="3"/>
      </w:pPr>
      <w:bookmarkStart w:id="3" w:name="_Toc164074811"/>
      <w:r>
        <w:rPr>
          <w:rFonts w:hint="eastAsia"/>
        </w:rPr>
        <w:t>财政奖励</w:t>
      </w:r>
      <w:bookmarkEnd w:id="3"/>
    </w:p>
    <w:p w14:paraId="41898DC1">
      <w:pPr>
        <w:pStyle w:val="4"/>
      </w:pPr>
      <w:bookmarkStart w:id="4" w:name="_Toc164074812"/>
      <w:r>
        <w:rPr>
          <w:rFonts w:hint="eastAsia"/>
        </w:rPr>
        <w:t>待办</w:t>
      </w:r>
      <w:bookmarkEnd w:id="4"/>
    </w:p>
    <w:p w14:paraId="60CB59BF">
      <w:pPr>
        <w:pStyle w:val="5"/>
      </w:pPr>
      <w:r>
        <w:rPr>
          <w:rFonts w:hint="eastAsia"/>
        </w:rPr>
        <w:t>新增申报</w:t>
      </w:r>
    </w:p>
    <w:p w14:paraId="04600615">
      <w:pPr>
        <w:ind w:firstLine="482" w:firstLineChars="200"/>
      </w:pPr>
      <w:r>
        <w:rPr>
          <w:rFonts w:hint="eastAsia"/>
          <w:b/>
          <w:bCs/>
        </w:rPr>
        <w:t>新申报财政奖励：</w:t>
      </w:r>
      <w:r>
        <w:rPr>
          <w:rFonts w:hint="eastAsia"/>
        </w:rPr>
        <w:t>点击“新增申报”按钮，申报项目在下方列表项目库时，请选择项目；未在项目库时，点击“录入项目”。打开财政奖励申报页面，填写项目基本信息、工程概括及技术应用、运营管理报表等信息，上传相关证明材料，进行保存。</w:t>
      </w:r>
    </w:p>
    <w:p w14:paraId="665E1EE0"/>
    <w:p w14:paraId="32B8AC77">
      <w:r>
        <w:drawing>
          <wp:inline distT="0" distB="0" distL="0" distR="0">
            <wp:extent cx="5274310" cy="1250315"/>
            <wp:effectExtent l="19050" t="0" r="254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2"/>
                    <a:srcRect/>
                    <a:stretch>
                      <a:fillRect/>
                    </a:stretch>
                  </pic:blipFill>
                  <pic:spPr>
                    <a:xfrm>
                      <a:off x="0" y="0"/>
                      <a:ext cx="5274310" cy="1250377"/>
                    </a:xfrm>
                    <a:prstGeom prst="rect">
                      <a:avLst/>
                    </a:prstGeom>
                    <a:noFill/>
                    <a:ln w="9525">
                      <a:noFill/>
                      <a:miter lim="800000"/>
                      <a:headEnd/>
                      <a:tailEnd/>
                    </a:ln>
                  </pic:spPr>
                </pic:pic>
              </a:graphicData>
            </a:graphic>
          </wp:inline>
        </w:drawing>
      </w:r>
    </w:p>
    <w:p w14:paraId="1B841EE8">
      <w:r>
        <w:drawing>
          <wp:inline distT="0" distB="0" distL="0" distR="0">
            <wp:extent cx="5274310" cy="4102100"/>
            <wp:effectExtent l="19050" t="0" r="254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noChangeArrowheads="1"/>
                    </pic:cNvPicPr>
                  </pic:nvPicPr>
                  <pic:blipFill>
                    <a:blip r:embed="rId13"/>
                    <a:srcRect/>
                    <a:stretch>
                      <a:fillRect/>
                    </a:stretch>
                  </pic:blipFill>
                  <pic:spPr>
                    <a:xfrm>
                      <a:off x="0" y="0"/>
                      <a:ext cx="5274310" cy="4102626"/>
                    </a:xfrm>
                    <a:prstGeom prst="rect">
                      <a:avLst/>
                    </a:prstGeom>
                    <a:noFill/>
                    <a:ln w="9525">
                      <a:noFill/>
                      <a:miter lim="800000"/>
                      <a:headEnd/>
                      <a:tailEnd/>
                    </a:ln>
                  </pic:spPr>
                </pic:pic>
              </a:graphicData>
            </a:graphic>
          </wp:inline>
        </w:drawing>
      </w:r>
    </w:p>
    <w:p w14:paraId="2196450C">
      <w:r>
        <w:drawing>
          <wp:inline distT="0" distB="0" distL="114300" distR="114300">
            <wp:extent cx="5266690" cy="2499995"/>
            <wp:effectExtent l="0" t="0" r="10160" b="146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5266690" cy="2499995"/>
                    </a:xfrm>
                    <a:prstGeom prst="rect">
                      <a:avLst/>
                    </a:prstGeom>
                    <a:noFill/>
                    <a:ln>
                      <a:noFill/>
                    </a:ln>
                  </pic:spPr>
                </pic:pic>
              </a:graphicData>
            </a:graphic>
          </wp:inline>
        </w:drawing>
      </w:r>
    </w:p>
    <w:p w14:paraId="49AAD34E">
      <w:pPr>
        <w:ind w:firstLine="482" w:firstLineChars="200"/>
      </w:pPr>
      <w:r>
        <w:rPr>
          <w:rFonts w:hint="eastAsia"/>
          <w:b/>
          <w:bCs/>
        </w:rPr>
        <w:t>提交申报材料</w:t>
      </w:r>
      <w:r>
        <w:rPr>
          <w:rFonts w:hint="eastAsia"/>
        </w:rPr>
        <w:t>：所有申报材料填写完成后，在待办列表操作列点击“提交”链接，打开财政奖励申报页面，点击“提交”按钮，即提交完成。</w:t>
      </w:r>
    </w:p>
    <w:p w14:paraId="482024A0">
      <w:r>
        <w:drawing>
          <wp:inline distT="0" distB="0" distL="114300" distR="114300">
            <wp:extent cx="5262245" cy="1944370"/>
            <wp:effectExtent l="0" t="0" r="14605" b="1778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5"/>
                    <a:stretch>
                      <a:fillRect/>
                    </a:stretch>
                  </pic:blipFill>
                  <pic:spPr>
                    <a:xfrm>
                      <a:off x="0" y="0"/>
                      <a:ext cx="5262245" cy="1944370"/>
                    </a:xfrm>
                    <a:prstGeom prst="rect">
                      <a:avLst/>
                    </a:prstGeom>
                    <a:noFill/>
                    <a:ln>
                      <a:noFill/>
                    </a:ln>
                  </pic:spPr>
                </pic:pic>
              </a:graphicData>
            </a:graphic>
          </wp:inline>
        </w:drawing>
      </w:r>
    </w:p>
    <w:p w14:paraId="0B370FD0">
      <w:pPr>
        <w:ind w:firstLine="482" w:firstLineChars="200"/>
      </w:pPr>
      <w:r>
        <w:rPr>
          <w:rFonts w:hint="eastAsia"/>
          <w:b/>
          <w:bCs/>
        </w:rPr>
        <w:t>删除申报材料</w:t>
      </w:r>
      <w:r>
        <w:rPr>
          <w:rFonts w:hint="eastAsia"/>
        </w:rPr>
        <w:t>：未提交的申报材料可以删除。在待办列表操作列点击“删除”即可删除申报信息。</w:t>
      </w:r>
    </w:p>
    <w:p w14:paraId="06127254">
      <w:r>
        <w:drawing>
          <wp:inline distT="0" distB="0" distL="114300" distR="114300">
            <wp:extent cx="5262245" cy="1944370"/>
            <wp:effectExtent l="0" t="0" r="14605" b="1778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6"/>
                    <a:stretch>
                      <a:fillRect/>
                    </a:stretch>
                  </pic:blipFill>
                  <pic:spPr>
                    <a:xfrm>
                      <a:off x="0" y="0"/>
                      <a:ext cx="5262245" cy="1944370"/>
                    </a:xfrm>
                    <a:prstGeom prst="rect">
                      <a:avLst/>
                    </a:prstGeom>
                    <a:noFill/>
                    <a:ln>
                      <a:noFill/>
                    </a:ln>
                  </pic:spPr>
                </pic:pic>
              </a:graphicData>
            </a:graphic>
          </wp:inline>
        </w:drawing>
      </w:r>
    </w:p>
    <w:p w14:paraId="6ACFB533">
      <w:pPr>
        <w:ind w:firstLine="482" w:firstLineChars="200"/>
      </w:pPr>
      <w:r>
        <w:rPr>
          <w:rFonts w:hint="eastAsia"/>
          <w:b/>
          <w:bCs/>
        </w:rPr>
        <w:t>查看退回原因</w:t>
      </w:r>
      <w:r>
        <w:rPr>
          <w:rFonts w:hint="eastAsia"/>
        </w:rPr>
        <w:t>：在列表操作列点击“项目核实退回原因”或“现场核查问题”按钮查看退回原因。可根据退回原因修改申报材料，进行重新提交。</w:t>
      </w:r>
    </w:p>
    <w:p w14:paraId="42C73AB1">
      <w:r>
        <w:drawing>
          <wp:inline distT="0" distB="0" distL="114300" distR="114300">
            <wp:extent cx="5264785" cy="2049780"/>
            <wp:effectExtent l="0" t="0" r="12065" b="762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7"/>
                    <a:stretch>
                      <a:fillRect/>
                    </a:stretch>
                  </pic:blipFill>
                  <pic:spPr>
                    <a:xfrm>
                      <a:off x="0" y="0"/>
                      <a:ext cx="5264785" cy="2049780"/>
                    </a:xfrm>
                    <a:prstGeom prst="rect">
                      <a:avLst/>
                    </a:prstGeom>
                    <a:noFill/>
                    <a:ln>
                      <a:noFill/>
                    </a:ln>
                  </pic:spPr>
                </pic:pic>
              </a:graphicData>
            </a:graphic>
          </wp:inline>
        </w:drawing>
      </w:r>
    </w:p>
    <w:p w14:paraId="0CC3CC1D">
      <w:pPr>
        <w:pStyle w:val="4"/>
      </w:pPr>
      <w:bookmarkStart w:id="5" w:name="_Toc164074813"/>
      <w:r>
        <w:rPr>
          <w:rFonts w:hint="eastAsia"/>
        </w:rPr>
        <w:t>已办</w:t>
      </w:r>
      <w:bookmarkEnd w:id="5"/>
    </w:p>
    <w:p w14:paraId="59D5E1F8">
      <w:pPr>
        <w:ind w:firstLine="480" w:firstLineChars="200"/>
      </w:pPr>
      <w:r>
        <w:rPr>
          <w:rFonts w:hint="eastAsia"/>
        </w:rPr>
        <w:t>已提交的申报材料，在已办列表中查看办理进度和办理结果。</w:t>
      </w:r>
    </w:p>
    <w:p w14:paraId="5DD77FC6">
      <w:pPr>
        <w:jc w:val="left"/>
      </w:pPr>
      <w:r>
        <w:drawing>
          <wp:inline distT="0" distB="0" distL="0" distR="0">
            <wp:extent cx="5242560" cy="1798955"/>
            <wp:effectExtent l="19050" t="0" r="0"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noChangeArrowheads="1"/>
                    </pic:cNvPicPr>
                  </pic:nvPicPr>
                  <pic:blipFill>
                    <a:blip r:embed="rId18"/>
                    <a:srcRect/>
                    <a:stretch>
                      <a:fillRect/>
                    </a:stretch>
                  </pic:blipFill>
                  <pic:spPr>
                    <a:xfrm>
                      <a:off x="0" y="0"/>
                      <a:ext cx="5266360" cy="1807507"/>
                    </a:xfrm>
                    <a:prstGeom prst="rect">
                      <a:avLst/>
                    </a:prstGeom>
                    <a:noFill/>
                    <a:ln w="9525">
                      <a:noFill/>
                      <a:miter lim="800000"/>
                      <a:headEnd/>
                      <a:tailEnd/>
                    </a:ln>
                  </pic:spPr>
                </pic:pic>
              </a:graphicData>
            </a:graphic>
          </wp:inline>
        </w:drawing>
      </w:r>
    </w:p>
    <w:p w14:paraId="245F71EF">
      <w:pPr>
        <w:pStyle w:val="3"/>
      </w:pPr>
      <w:bookmarkStart w:id="6" w:name="_Toc164074814"/>
      <w:r>
        <w:rPr>
          <w:rFonts w:hint="eastAsia"/>
        </w:rPr>
        <w:t>运行指标管理</w:t>
      </w:r>
      <w:bookmarkEnd w:id="6"/>
    </w:p>
    <w:p w14:paraId="48798054">
      <w:pPr>
        <w:ind w:firstLine="480" w:firstLineChars="200"/>
      </w:pPr>
      <w:r>
        <w:rPr>
          <w:rFonts w:hint="eastAsia"/>
        </w:rPr>
        <w:t>在运行指标管理中可修改联系人信息，可对一星级、二星级标识认定项目及三星级财政奖励项目填写运行指标。</w:t>
      </w:r>
    </w:p>
    <w:p w14:paraId="17B35D59">
      <w:r>
        <w:drawing>
          <wp:inline distT="0" distB="0" distL="0" distR="0">
            <wp:extent cx="5274310" cy="1393190"/>
            <wp:effectExtent l="19050" t="0" r="2540" b="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19"/>
                    <a:srcRect/>
                    <a:stretch>
                      <a:fillRect/>
                    </a:stretch>
                  </pic:blipFill>
                  <pic:spPr>
                    <a:xfrm>
                      <a:off x="0" y="0"/>
                      <a:ext cx="5274310" cy="1393635"/>
                    </a:xfrm>
                    <a:prstGeom prst="rect">
                      <a:avLst/>
                    </a:prstGeom>
                    <a:noFill/>
                    <a:ln w="9525">
                      <a:noFill/>
                      <a:miter lim="800000"/>
                      <a:headEnd/>
                      <a:tailEnd/>
                    </a:ln>
                  </pic:spPr>
                </pic:pic>
              </a:graphicData>
            </a:graphic>
          </wp:inline>
        </w:drawing>
      </w:r>
    </w:p>
    <w:p w14:paraId="083704A5">
      <w:pPr>
        <w:ind w:firstLine="482" w:firstLineChars="200"/>
      </w:pPr>
      <w:r>
        <w:rPr>
          <w:rFonts w:hint="eastAsia"/>
          <w:b/>
        </w:rPr>
        <w:t>联系人信息维护</w:t>
      </w:r>
      <w:r>
        <w:rPr>
          <w:rFonts w:hint="eastAsia"/>
        </w:rPr>
        <w:t>：点击联系人信息可维护或修改企业联系人相关信息。</w:t>
      </w:r>
    </w:p>
    <w:p w14:paraId="24390AC1">
      <w:r>
        <w:rPr>
          <w:rFonts w:hint="eastAsia"/>
        </w:rPr>
        <w:drawing>
          <wp:inline distT="0" distB="0" distL="0" distR="0">
            <wp:extent cx="5274310" cy="2245360"/>
            <wp:effectExtent l="19050" t="0" r="2540" b="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noChangeArrowheads="1"/>
                    </pic:cNvPicPr>
                  </pic:nvPicPr>
                  <pic:blipFill>
                    <a:blip r:embed="rId20"/>
                    <a:srcRect/>
                    <a:stretch>
                      <a:fillRect/>
                    </a:stretch>
                  </pic:blipFill>
                  <pic:spPr>
                    <a:xfrm>
                      <a:off x="0" y="0"/>
                      <a:ext cx="5274310" cy="2245791"/>
                    </a:xfrm>
                    <a:prstGeom prst="rect">
                      <a:avLst/>
                    </a:prstGeom>
                    <a:noFill/>
                    <a:ln w="9525">
                      <a:noFill/>
                      <a:miter lim="800000"/>
                      <a:headEnd/>
                      <a:tailEnd/>
                    </a:ln>
                  </pic:spPr>
                </pic:pic>
              </a:graphicData>
            </a:graphic>
          </wp:inline>
        </w:drawing>
      </w:r>
    </w:p>
    <w:p w14:paraId="0F4DF9B4">
      <w:pPr>
        <w:ind w:firstLine="482" w:firstLineChars="200"/>
      </w:pPr>
      <w:r>
        <w:rPr>
          <w:rFonts w:hint="eastAsia"/>
          <w:b/>
        </w:rPr>
        <w:t>填报</w:t>
      </w:r>
      <w:r>
        <w:rPr>
          <w:rFonts w:hint="eastAsia"/>
        </w:rPr>
        <w:t>：点击“新增”按钮在打开的页面可填写年度运行主要指标，保存后可进行上报。上报前可点击“编辑”、“删除”按钮进行编辑或删除，上报后不可修改，可点击“查看”按钮进行查看。</w:t>
      </w:r>
    </w:p>
    <w:p w14:paraId="308A73F1">
      <w:pPr>
        <w:ind w:firstLine="482" w:firstLineChars="200"/>
      </w:pPr>
      <w:r>
        <w:rPr>
          <w:rFonts w:hint="eastAsia"/>
          <w:b/>
        </w:rPr>
        <w:t>附件</w:t>
      </w:r>
      <w:r>
        <w:rPr>
          <w:rFonts w:hint="eastAsia"/>
        </w:rPr>
        <w:t>：点击“下载年运运行模板”按钮下载年度运行指标模板，下载填写完成后点击“上传文件”按钮上传到系统。</w:t>
      </w:r>
    </w:p>
    <w:p w14:paraId="4753E674">
      <w:r>
        <w:drawing>
          <wp:inline distT="0" distB="0" distL="0" distR="0">
            <wp:extent cx="5274310" cy="1276350"/>
            <wp:effectExtent l="19050" t="0" r="2540"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noChangeArrowheads="1"/>
                    </pic:cNvPicPr>
                  </pic:nvPicPr>
                  <pic:blipFill>
                    <a:blip r:embed="rId21"/>
                    <a:srcRect/>
                    <a:stretch>
                      <a:fillRect/>
                    </a:stretch>
                  </pic:blipFill>
                  <pic:spPr>
                    <a:xfrm>
                      <a:off x="0" y="0"/>
                      <a:ext cx="5274310" cy="1276771"/>
                    </a:xfrm>
                    <a:prstGeom prst="rect">
                      <a:avLst/>
                    </a:prstGeom>
                    <a:noFill/>
                    <a:ln w="9525">
                      <a:noFill/>
                      <a:miter lim="800000"/>
                      <a:headEnd/>
                      <a:tailEnd/>
                    </a:ln>
                  </pic:spPr>
                </pic:pic>
              </a:graphicData>
            </a:graphic>
          </wp:inline>
        </w:drawing>
      </w:r>
    </w:p>
    <w:p w14:paraId="4CC5CCAA">
      <w:r>
        <w:drawing>
          <wp:inline distT="0" distB="0" distL="0" distR="0">
            <wp:extent cx="5274310" cy="5069840"/>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2"/>
                    <a:srcRect/>
                    <a:stretch>
                      <a:fillRect/>
                    </a:stretch>
                  </pic:blipFill>
                  <pic:spPr>
                    <a:xfrm>
                      <a:off x="0" y="0"/>
                      <a:ext cx="5274310" cy="5069941"/>
                    </a:xfrm>
                    <a:prstGeom prst="rect">
                      <a:avLst/>
                    </a:prstGeom>
                    <a:noFill/>
                    <a:ln w="9525">
                      <a:noFill/>
                      <a:miter lim="800000"/>
                      <a:headEnd/>
                      <a:tailEnd/>
                    </a:ln>
                  </pic:spPr>
                </pic:pic>
              </a:graphicData>
            </a:graphic>
          </wp:inline>
        </w:drawing>
      </w: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07BCA">
    <w:pPr>
      <w:pStyle w:val="1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4123EB">
                          <w:pPr>
                            <w:pStyle w:val="15"/>
                            <w:rPr>
                              <w:sz w:val="24"/>
                            </w:rPr>
                          </w:pPr>
                          <w:r>
                            <w:rPr>
                              <w:rFonts w:hint="eastAsia"/>
                              <w:sz w:val="24"/>
                            </w:rPr>
                            <w:fldChar w:fldCharType="begin"/>
                          </w:r>
                          <w:r>
                            <w:rPr>
                              <w:rFonts w:hint="eastAsia"/>
                              <w:sz w:val="24"/>
                            </w:rPr>
                            <w:instrText xml:space="preserve"> PAGE  \* MERGEFORMAT </w:instrText>
                          </w:r>
                          <w:r>
                            <w:rPr>
                              <w:rFonts w:hint="eastAsia"/>
                              <w:sz w:val="24"/>
                            </w:rPr>
                            <w:fldChar w:fldCharType="separate"/>
                          </w:r>
                          <w:r>
                            <w:rPr>
                              <w:sz w:val="24"/>
                            </w:rPr>
                            <w:t>1</w:t>
                          </w:r>
                          <w:r>
                            <w:rPr>
                              <w:rFonts w:hint="eastAsia"/>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9Zm3Yw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N9Zm3YwAgAAYwQAAA4AAAAAAAAAAQAgAAAAHwEAAGRycy9lMm9Eb2MueG1sUEsFBgAA&#10;AAAGAAYAWQEAAMEFAAAAAA==&#10;">
              <v:fill on="f" focussize="0,0"/>
              <v:stroke on="f" weight="0.5pt"/>
              <v:imagedata o:title=""/>
              <o:lock v:ext="edit" aspectratio="f"/>
              <v:textbox inset="0mm,0mm,0mm,0mm" style="mso-fit-shape-to-text:t;">
                <w:txbxContent>
                  <w:p w14:paraId="054123EB">
                    <w:pPr>
                      <w:pStyle w:val="15"/>
                      <w:rPr>
                        <w:sz w:val="24"/>
                      </w:rPr>
                    </w:pPr>
                    <w:r>
                      <w:rPr>
                        <w:rFonts w:hint="eastAsia"/>
                        <w:sz w:val="24"/>
                      </w:rPr>
                      <w:fldChar w:fldCharType="begin"/>
                    </w:r>
                    <w:r>
                      <w:rPr>
                        <w:rFonts w:hint="eastAsia"/>
                        <w:sz w:val="24"/>
                      </w:rPr>
                      <w:instrText xml:space="preserve"> PAGE  \* MERGEFORMAT </w:instrText>
                    </w:r>
                    <w:r>
                      <w:rPr>
                        <w:rFonts w:hint="eastAsia"/>
                        <w:sz w:val="24"/>
                      </w:rPr>
                      <w:fldChar w:fldCharType="separate"/>
                    </w:r>
                    <w:r>
                      <w:rPr>
                        <w:sz w:val="24"/>
                      </w:rPr>
                      <w:t>1</w:t>
                    </w:r>
                    <w:r>
                      <w:rPr>
                        <w:rFonts w:hint="eastAsia"/>
                        <w:sz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8152F3"/>
    <w:multiLevelType w:val="multilevel"/>
    <w:tmpl w:val="AB8152F3"/>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1MmZmZmMzNTFlMzQ2MTQ3YmEwNDNhOTQ2OGY5MWMifQ=="/>
  </w:docVars>
  <w:rsids>
    <w:rsidRoot w:val="38C41E7B"/>
    <w:rsid w:val="001106D9"/>
    <w:rsid w:val="00113567"/>
    <w:rsid w:val="0018313A"/>
    <w:rsid w:val="001A48D4"/>
    <w:rsid w:val="002168D1"/>
    <w:rsid w:val="002179C1"/>
    <w:rsid w:val="002415C0"/>
    <w:rsid w:val="00243458"/>
    <w:rsid w:val="00277F10"/>
    <w:rsid w:val="00285DD8"/>
    <w:rsid w:val="00311742"/>
    <w:rsid w:val="00350212"/>
    <w:rsid w:val="003C5806"/>
    <w:rsid w:val="003E4EBA"/>
    <w:rsid w:val="004A7357"/>
    <w:rsid w:val="004E691E"/>
    <w:rsid w:val="005028DB"/>
    <w:rsid w:val="007005E9"/>
    <w:rsid w:val="00724B02"/>
    <w:rsid w:val="007251EA"/>
    <w:rsid w:val="007358A2"/>
    <w:rsid w:val="00764D5A"/>
    <w:rsid w:val="00787DC7"/>
    <w:rsid w:val="008A51ED"/>
    <w:rsid w:val="008C4829"/>
    <w:rsid w:val="00924A0D"/>
    <w:rsid w:val="009E6476"/>
    <w:rsid w:val="009F6E81"/>
    <w:rsid w:val="00A259F0"/>
    <w:rsid w:val="00AB1BA4"/>
    <w:rsid w:val="00AC28BA"/>
    <w:rsid w:val="00AE46A1"/>
    <w:rsid w:val="00B33B4B"/>
    <w:rsid w:val="00BA38EF"/>
    <w:rsid w:val="00BC3684"/>
    <w:rsid w:val="00CC4EB4"/>
    <w:rsid w:val="00CD357F"/>
    <w:rsid w:val="00CE769B"/>
    <w:rsid w:val="00D238FD"/>
    <w:rsid w:val="00DF7B9D"/>
    <w:rsid w:val="00E20005"/>
    <w:rsid w:val="00E6567C"/>
    <w:rsid w:val="00F744FF"/>
    <w:rsid w:val="00FF7AAD"/>
    <w:rsid w:val="05D27DAE"/>
    <w:rsid w:val="06341411"/>
    <w:rsid w:val="0AAB14C2"/>
    <w:rsid w:val="0C3C1E35"/>
    <w:rsid w:val="11D3651F"/>
    <w:rsid w:val="1294057C"/>
    <w:rsid w:val="15542DF2"/>
    <w:rsid w:val="1C362480"/>
    <w:rsid w:val="1EE20EFC"/>
    <w:rsid w:val="22AF5E12"/>
    <w:rsid w:val="26661977"/>
    <w:rsid w:val="2C4E2DF2"/>
    <w:rsid w:val="310F20A7"/>
    <w:rsid w:val="34D674F2"/>
    <w:rsid w:val="37D92E57"/>
    <w:rsid w:val="38C41E7B"/>
    <w:rsid w:val="3BC304D5"/>
    <w:rsid w:val="3D3B4145"/>
    <w:rsid w:val="3E916977"/>
    <w:rsid w:val="4021765C"/>
    <w:rsid w:val="44AA1F37"/>
    <w:rsid w:val="46A555CE"/>
    <w:rsid w:val="46B4794E"/>
    <w:rsid w:val="4965480E"/>
    <w:rsid w:val="4C966C3F"/>
    <w:rsid w:val="543F11C6"/>
    <w:rsid w:val="566659EE"/>
    <w:rsid w:val="569C66B4"/>
    <w:rsid w:val="57934B0E"/>
    <w:rsid w:val="58EB0742"/>
    <w:rsid w:val="597876BF"/>
    <w:rsid w:val="5C4A6717"/>
    <w:rsid w:val="5D6D2692"/>
    <w:rsid w:val="5DAC5406"/>
    <w:rsid w:val="5E4371B6"/>
    <w:rsid w:val="5FD57A24"/>
    <w:rsid w:val="64141437"/>
    <w:rsid w:val="6A772425"/>
    <w:rsid w:val="6F730751"/>
    <w:rsid w:val="720C3A86"/>
    <w:rsid w:val="72371545"/>
    <w:rsid w:val="76D0022E"/>
    <w:rsid w:val="7A4F197B"/>
    <w:rsid w:val="7AED259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4"/>
      <w:lang w:val="en-US" w:eastAsia="zh-CN" w:bidi="ar-SA"/>
    </w:rPr>
  </w:style>
  <w:style w:type="paragraph" w:styleId="2">
    <w:name w:val="heading 1"/>
    <w:basedOn w:val="1"/>
    <w:next w:val="1"/>
    <w:qFormat/>
    <w:uiPriority w:val="0"/>
    <w:pPr>
      <w:keepNext/>
      <w:keepLines/>
      <w:numPr>
        <w:ilvl w:val="0"/>
        <w:numId w:val="1"/>
      </w:numPr>
      <w:spacing w:before="340" w:after="330" w:line="576" w:lineRule="auto"/>
      <w:outlineLvl w:val="0"/>
    </w:pPr>
    <w:rPr>
      <w:b/>
      <w:kern w:val="44"/>
      <w:sz w:val="44"/>
    </w:rPr>
  </w:style>
  <w:style w:type="paragraph" w:styleId="3">
    <w:name w:val="heading 2"/>
    <w:basedOn w:val="1"/>
    <w:next w:val="1"/>
    <w:autoRedefine/>
    <w:unhideWhenUsed/>
    <w:qFormat/>
    <w:uiPriority w:val="0"/>
    <w:pPr>
      <w:keepNext/>
      <w:keepLines/>
      <w:numPr>
        <w:ilvl w:val="1"/>
        <w:numId w:val="1"/>
      </w:numPr>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numPr>
        <w:ilvl w:val="2"/>
        <w:numId w:val="1"/>
      </w:numPr>
      <w:spacing w:before="260" w:after="260" w:line="413" w:lineRule="auto"/>
      <w:outlineLvl w:val="2"/>
    </w:pPr>
    <w:rPr>
      <w:b/>
      <w:sz w:val="32"/>
    </w:rPr>
  </w:style>
  <w:style w:type="paragraph" w:styleId="5">
    <w:name w:val="heading 4"/>
    <w:basedOn w:val="1"/>
    <w:next w:val="1"/>
    <w:autoRedefine/>
    <w:unhideWhenUsed/>
    <w:qFormat/>
    <w:uiPriority w:val="0"/>
    <w:pPr>
      <w:keepNext/>
      <w:keepLines/>
      <w:numPr>
        <w:ilvl w:val="3"/>
        <w:numId w:val="1"/>
      </w:numPr>
      <w:spacing w:before="280" w:after="290" w:line="372" w:lineRule="auto"/>
      <w:outlineLvl w:val="3"/>
    </w:pPr>
    <w:rPr>
      <w:rFonts w:ascii="Arial" w:hAnsi="Arial" w:eastAsia="黑体"/>
      <w:b/>
      <w:sz w:val="28"/>
    </w:rPr>
  </w:style>
  <w:style w:type="paragraph" w:styleId="6">
    <w:name w:val="heading 5"/>
    <w:basedOn w:val="1"/>
    <w:next w:val="1"/>
    <w:autoRedefine/>
    <w:unhideWhenUsed/>
    <w:qFormat/>
    <w:uiPriority w:val="0"/>
    <w:pPr>
      <w:keepNext/>
      <w:keepLines/>
      <w:numPr>
        <w:ilvl w:val="4"/>
        <w:numId w:val="1"/>
      </w:numPr>
      <w:spacing w:before="280" w:after="290" w:line="372" w:lineRule="auto"/>
      <w:outlineLvl w:val="4"/>
    </w:pPr>
    <w:rPr>
      <w:b/>
      <w:sz w:val="28"/>
    </w:rPr>
  </w:style>
  <w:style w:type="paragraph" w:styleId="7">
    <w:name w:val="heading 6"/>
    <w:basedOn w:val="1"/>
    <w:next w:val="1"/>
    <w:autoRedefine/>
    <w:semiHidden/>
    <w:unhideWhenUsed/>
    <w:qFormat/>
    <w:uiPriority w:val="0"/>
    <w:pPr>
      <w:keepNext/>
      <w:keepLines/>
      <w:numPr>
        <w:ilvl w:val="5"/>
        <w:numId w:val="1"/>
      </w:numPr>
      <w:spacing w:before="240" w:after="64" w:line="317" w:lineRule="auto"/>
      <w:outlineLvl w:val="5"/>
    </w:pPr>
    <w:rPr>
      <w:rFonts w:ascii="Arial" w:hAnsi="Arial" w:eastAsia="黑体"/>
      <w:b/>
    </w:rPr>
  </w:style>
  <w:style w:type="paragraph" w:styleId="8">
    <w:name w:val="heading 7"/>
    <w:basedOn w:val="1"/>
    <w:next w:val="1"/>
    <w:autoRedefine/>
    <w:semiHidden/>
    <w:unhideWhenUsed/>
    <w:qFormat/>
    <w:uiPriority w:val="0"/>
    <w:pPr>
      <w:keepNext/>
      <w:keepLines/>
      <w:numPr>
        <w:ilvl w:val="6"/>
        <w:numId w:val="1"/>
      </w:numPr>
      <w:spacing w:before="240" w:after="64" w:line="317" w:lineRule="auto"/>
      <w:outlineLvl w:val="6"/>
    </w:pPr>
    <w:rPr>
      <w:b/>
    </w:rPr>
  </w:style>
  <w:style w:type="paragraph" w:styleId="9">
    <w:name w:val="heading 8"/>
    <w:basedOn w:val="1"/>
    <w:next w:val="1"/>
    <w:autoRedefine/>
    <w:semiHidden/>
    <w:unhideWhenUsed/>
    <w:qFormat/>
    <w:uiPriority w:val="0"/>
    <w:pPr>
      <w:keepNext/>
      <w:keepLines/>
      <w:numPr>
        <w:ilvl w:val="7"/>
        <w:numId w:val="1"/>
      </w:numPr>
      <w:spacing w:before="240" w:after="64" w:line="317" w:lineRule="auto"/>
      <w:outlineLvl w:val="7"/>
    </w:pPr>
    <w:rPr>
      <w:rFonts w:ascii="Arial" w:hAnsi="Arial" w:eastAsia="黑体"/>
    </w:rPr>
  </w:style>
  <w:style w:type="paragraph" w:styleId="10">
    <w:name w:val="heading 9"/>
    <w:basedOn w:val="1"/>
    <w:next w:val="1"/>
    <w:autoRedefine/>
    <w:semiHidden/>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22">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11">
    <w:name w:val="Document Map"/>
    <w:basedOn w:val="1"/>
    <w:link w:val="25"/>
    <w:autoRedefine/>
    <w:qFormat/>
    <w:uiPriority w:val="0"/>
    <w:rPr>
      <w:rFonts w:ascii="宋体"/>
      <w:sz w:val="18"/>
      <w:szCs w:val="18"/>
    </w:rPr>
  </w:style>
  <w:style w:type="paragraph" w:styleId="12">
    <w:name w:val="annotation text"/>
    <w:basedOn w:val="1"/>
    <w:link w:val="27"/>
    <w:autoRedefine/>
    <w:qFormat/>
    <w:uiPriority w:val="0"/>
    <w:pPr>
      <w:jc w:val="left"/>
    </w:pPr>
  </w:style>
  <w:style w:type="paragraph" w:styleId="13">
    <w:name w:val="toc 3"/>
    <w:basedOn w:val="1"/>
    <w:next w:val="1"/>
    <w:autoRedefine/>
    <w:qFormat/>
    <w:uiPriority w:val="39"/>
    <w:pPr>
      <w:ind w:left="840" w:leftChars="400"/>
    </w:pPr>
    <w:rPr>
      <w:rFonts w:eastAsia="黑体"/>
    </w:rPr>
  </w:style>
  <w:style w:type="paragraph" w:styleId="14">
    <w:name w:val="Balloon Text"/>
    <w:basedOn w:val="1"/>
    <w:link w:val="26"/>
    <w:autoRedefine/>
    <w:qFormat/>
    <w:uiPriority w:val="0"/>
    <w:pPr>
      <w:spacing w:line="240" w:lineRule="auto"/>
    </w:pPr>
    <w:rPr>
      <w:sz w:val="18"/>
      <w:szCs w:val="18"/>
    </w:rPr>
  </w:style>
  <w:style w:type="paragraph" w:styleId="15">
    <w:name w:val="footer"/>
    <w:basedOn w:val="1"/>
    <w:autoRedefine/>
    <w:qFormat/>
    <w:uiPriority w:val="0"/>
    <w:pPr>
      <w:tabs>
        <w:tab w:val="center" w:pos="4153"/>
        <w:tab w:val="right" w:pos="8306"/>
      </w:tabs>
      <w:snapToGrid w:val="0"/>
      <w:jc w:val="left"/>
    </w:pPr>
    <w:rPr>
      <w:sz w:val="18"/>
    </w:rPr>
  </w:style>
  <w:style w:type="paragraph" w:styleId="1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7">
    <w:name w:val="toc 1"/>
    <w:basedOn w:val="1"/>
    <w:next w:val="1"/>
    <w:autoRedefine/>
    <w:qFormat/>
    <w:uiPriority w:val="39"/>
    <w:rPr>
      <w:rFonts w:eastAsia="黑体"/>
    </w:rPr>
  </w:style>
  <w:style w:type="paragraph" w:styleId="18">
    <w:name w:val="toc 2"/>
    <w:basedOn w:val="1"/>
    <w:next w:val="1"/>
    <w:autoRedefine/>
    <w:qFormat/>
    <w:uiPriority w:val="39"/>
    <w:pPr>
      <w:ind w:left="420" w:leftChars="200"/>
    </w:pPr>
    <w:rPr>
      <w:rFonts w:eastAsia="黑体"/>
    </w:rPr>
  </w:style>
  <w:style w:type="paragraph" w:styleId="19">
    <w:name w:val="Normal (Web)"/>
    <w:basedOn w:val="1"/>
    <w:autoRedefine/>
    <w:qFormat/>
    <w:uiPriority w:val="0"/>
    <w:pPr>
      <w:spacing w:beforeAutospacing="1" w:afterAutospacing="1"/>
      <w:jc w:val="left"/>
    </w:pPr>
    <w:rPr>
      <w:rFonts w:cs="Times New Roman"/>
      <w:kern w:val="0"/>
    </w:rPr>
  </w:style>
  <w:style w:type="paragraph" w:styleId="20">
    <w:name w:val="annotation subject"/>
    <w:basedOn w:val="12"/>
    <w:next w:val="12"/>
    <w:link w:val="28"/>
    <w:autoRedefine/>
    <w:qFormat/>
    <w:uiPriority w:val="0"/>
    <w:rPr>
      <w:b/>
      <w:bCs/>
    </w:rPr>
  </w:style>
  <w:style w:type="character" w:styleId="23">
    <w:name w:val="Hyperlink"/>
    <w:basedOn w:val="22"/>
    <w:autoRedefine/>
    <w:unhideWhenUsed/>
    <w:qFormat/>
    <w:uiPriority w:val="99"/>
    <w:rPr>
      <w:color w:val="0563C1" w:themeColor="hyperlink"/>
      <w:u w:val="single"/>
    </w:rPr>
  </w:style>
  <w:style w:type="character" w:styleId="24">
    <w:name w:val="annotation reference"/>
    <w:basedOn w:val="22"/>
    <w:autoRedefine/>
    <w:qFormat/>
    <w:uiPriority w:val="0"/>
    <w:rPr>
      <w:sz w:val="21"/>
      <w:szCs w:val="21"/>
    </w:rPr>
  </w:style>
  <w:style w:type="character" w:customStyle="1" w:styleId="25">
    <w:name w:val="文档结构图 字符"/>
    <w:basedOn w:val="22"/>
    <w:link w:val="11"/>
    <w:autoRedefine/>
    <w:qFormat/>
    <w:uiPriority w:val="0"/>
    <w:rPr>
      <w:rFonts w:ascii="宋体" w:hAnsiTheme="minorHAnsi" w:cstheme="minorBidi"/>
      <w:kern w:val="2"/>
      <w:sz w:val="18"/>
      <w:szCs w:val="18"/>
    </w:rPr>
  </w:style>
  <w:style w:type="character" w:customStyle="1" w:styleId="26">
    <w:name w:val="批注框文本 字符"/>
    <w:basedOn w:val="22"/>
    <w:link w:val="14"/>
    <w:autoRedefine/>
    <w:qFormat/>
    <w:uiPriority w:val="0"/>
    <w:rPr>
      <w:rFonts w:asciiTheme="minorHAnsi" w:hAnsiTheme="minorHAnsi" w:cstheme="minorBidi"/>
      <w:kern w:val="2"/>
      <w:sz w:val="18"/>
      <w:szCs w:val="18"/>
    </w:rPr>
  </w:style>
  <w:style w:type="character" w:customStyle="1" w:styleId="27">
    <w:name w:val="批注文字 字符"/>
    <w:basedOn w:val="22"/>
    <w:link w:val="12"/>
    <w:autoRedefine/>
    <w:qFormat/>
    <w:uiPriority w:val="0"/>
    <w:rPr>
      <w:rFonts w:asciiTheme="minorHAnsi" w:hAnsiTheme="minorHAnsi" w:cstheme="minorBidi"/>
      <w:kern w:val="2"/>
      <w:sz w:val="24"/>
      <w:szCs w:val="24"/>
    </w:rPr>
  </w:style>
  <w:style w:type="character" w:customStyle="1" w:styleId="28">
    <w:name w:val="批注主题 字符"/>
    <w:basedOn w:val="27"/>
    <w:link w:val="20"/>
    <w:autoRedefine/>
    <w:qFormat/>
    <w:uiPriority w:val="0"/>
    <w:rPr>
      <w:rFonts w:asciiTheme="minorHAnsi" w:hAnsiTheme="minorHAnsi"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950</Words>
  <Characters>1003</Characters>
  <Lines>11</Lines>
  <Paragraphs>3</Paragraphs>
  <TotalTime>97</TotalTime>
  <ScaleCrop>false</ScaleCrop>
  <LinksUpToDate>false</LinksUpToDate>
  <CharactersWithSpaces>1045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2023-08-29T02:13:00Z</dcterms:created>
  <dc:creator>lsy</dc:creator>
  <cp:lastModifiedBy>孤独岁月丶冷</cp:lastModifiedBy>
  <dcterms:modified xsi:type="dcterms:W3CDTF">2025-10-21T02:29:05Z</dcterms:modified>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AE666C3ECAB842F18A7B60CCE176BCDA_13</vt:lpwstr>
  </property>
</Properties>
</file>