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BA7DA">
      <w:pPr>
        <w:spacing w:line="600" w:lineRule="exact"/>
        <w:jc w:val="center"/>
        <w:rPr>
          <w:rFonts w:ascii="方正小标宋简体" w:eastAsia="方正小标宋简体"/>
          <w:sz w:val="44"/>
          <w:szCs w:val="44"/>
        </w:rPr>
      </w:pPr>
      <w:bookmarkStart w:id="0" w:name="OLE_LINK2"/>
      <w:bookmarkStart w:id="1" w:name="OLE_LINK1"/>
      <w:bookmarkStart w:id="2" w:name="OLE_LINK4"/>
      <w:bookmarkStart w:id="3" w:name="OLE_LINK8"/>
      <w:bookmarkStart w:id="4" w:name="OLE_LINK6"/>
      <w:bookmarkStart w:id="5" w:name="OLE_LINK5"/>
      <w:bookmarkStart w:id="6" w:name="OLE_LINK10"/>
      <w:r>
        <w:rPr>
          <w:rFonts w:hint="eastAsia" w:ascii="方正小标宋简体" w:eastAsia="方正小标宋简体"/>
          <w:sz w:val="44"/>
          <w:szCs w:val="44"/>
        </w:rPr>
        <w:t>北京市住房和城乡建设委员会</w:t>
      </w:r>
      <w:bookmarkEnd w:id="0"/>
    </w:p>
    <w:p w14:paraId="332D53C0">
      <w:pPr>
        <w:spacing w:line="600" w:lineRule="exact"/>
        <w:jc w:val="center"/>
        <w:rPr>
          <w:sz w:val="28"/>
          <w:szCs w:val="28"/>
        </w:rPr>
      </w:pPr>
      <w:bookmarkStart w:id="7" w:name="OLE_LINK3"/>
      <w:r>
        <w:rPr>
          <w:rFonts w:hint="eastAsia" w:ascii="方正小标宋简体" w:eastAsia="方正小标宋简体"/>
          <w:sz w:val="44"/>
          <w:szCs w:val="44"/>
        </w:rPr>
        <w:t>2018年政府信息公开工作年度报告</w:t>
      </w:r>
      <w:bookmarkEnd w:id="1"/>
      <w:bookmarkEnd w:id="7"/>
    </w:p>
    <w:p w14:paraId="35648DE8">
      <w:pPr>
        <w:spacing w:line="600" w:lineRule="exact"/>
        <w:jc w:val="center"/>
        <w:rPr>
          <w:rFonts w:ascii="仿宋_GB2312" w:eastAsia="仿宋_GB2312"/>
          <w:b/>
          <w:sz w:val="32"/>
          <w:szCs w:val="32"/>
        </w:rPr>
      </w:pPr>
      <w:r>
        <w:rPr>
          <w:rFonts w:hint="eastAsia" w:ascii="仿宋_GB2312" w:hAnsi="华文中宋" w:eastAsia="仿宋_GB2312"/>
          <w:sz w:val="32"/>
          <w:szCs w:val="32"/>
        </w:rPr>
        <w:t xml:space="preserve"> </w:t>
      </w:r>
    </w:p>
    <w:p w14:paraId="2D7A6A4F">
      <w:pPr>
        <w:spacing w:line="580" w:lineRule="exact"/>
        <w:jc w:val="center"/>
        <w:rPr>
          <w:rFonts w:ascii="黑体" w:hAnsi="仿宋" w:eastAsia="黑体"/>
          <w:bCs/>
          <w:sz w:val="32"/>
          <w:szCs w:val="32"/>
        </w:rPr>
      </w:pPr>
      <w:r>
        <w:rPr>
          <w:rFonts w:hint="eastAsia" w:ascii="黑体" w:hAnsi="仿宋" w:eastAsia="黑体"/>
          <w:bCs/>
          <w:sz w:val="32"/>
          <w:szCs w:val="32"/>
        </w:rPr>
        <w:t>引 言</w:t>
      </w:r>
    </w:p>
    <w:p w14:paraId="5D1E8647">
      <w:pPr>
        <w:spacing w:line="580" w:lineRule="exact"/>
        <w:ind w:firstLine="646"/>
        <w:rPr>
          <w:rFonts w:ascii="仿宋_GB2312" w:hAnsi="华文中宋" w:eastAsia="仿宋_GB2312"/>
          <w:snapToGrid w:val="0"/>
          <w:kern w:val="0"/>
          <w:sz w:val="32"/>
          <w:szCs w:val="32"/>
        </w:rPr>
      </w:pPr>
      <w:r>
        <w:rPr>
          <w:rFonts w:hint="eastAsia" w:ascii="仿宋_GB2312" w:hAnsi="华文中宋" w:eastAsia="仿宋_GB2312"/>
          <w:snapToGrid w:val="0"/>
          <w:kern w:val="0"/>
          <w:sz w:val="32"/>
          <w:szCs w:val="32"/>
        </w:rPr>
        <w:t>本报告是根据《中华人民共和国政府信息公开条例》以及《北京市政府信息公开规定》要求，由北京市住房和城乡建设委员会编制的2018年度政府信息公开工作年度报告。</w:t>
      </w:r>
    </w:p>
    <w:p w14:paraId="18A2773D">
      <w:pPr>
        <w:spacing w:line="580" w:lineRule="exact"/>
        <w:ind w:firstLine="646"/>
        <w:rPr>
          <w:rFonts w:ascii="仿宋_GB2312" w:hAnsi="宋体" w:eastAsia="仿宋_GB2312" w:cs="宋体"/>
          <w:kern w:val="0"/>
          <w:sz w:val="32"/>
          <w:szCs w:val="32"/>
        </w:rPr>
      </w:pPr>
      <w:r>
        <w:rPr>
          <w:rFonts w:hint="eastAsia" w:ascii="仿宋_GB2312" w:hAnsi="华文中宋" w:eastAsia="仿宋_GB2312"/>
          <w:snapToGrid w:val="0"/>
          <w:kern w:val="0"/>
          <w:sz w:val="32"/>
          <w:szCs w:val="32"/>
        </w:rPr>
        <w:t>全文包括概述、</w:t>
      </w:r>
      <w:r>
        <w:rPr>
          <w:rFonts w:hint="eastAsia" w:ascii="仿宋_GB2312" w:hAnsi="宋体" w:eastAsia="仿宋_GB2312" w:cs="宋体"/>
          <w:kern w:val="0"/>
          <w:sz w:val="32"/>
          <w:szCs w:val="32"/>
        </w:rPr>
        <w:t>主动公开政府信息的情况、依申请公开政府信息和不予公开政府信息的情况、因政府信息公开申请行政复议和提起行政诉讼的情况、政府信息公开收费及免除费用的情况和政府信息公开工作存在的不足及改进措施。</w:t>
      </w:r>
    </w:p>
    <w:p w14:paraId="16A57049">
      <w:pPr>
        <w:spacing w:line="580" w:lineRule="exact"/>
        <w:rPr>
          <w:rFonts w:ascii="仿宋_GB2312" w:hAnsi="华文中宋" w:eastAsia="仿宋_GB2312"/>
          <w:snapToGrid w:val="0"/>
          <w:kern w:val="0"/>
          <w:sz w:val="32"/>
          <w:szCs w:val="32"/>
        </w:rPr>
      </w:pPr>
      <w:r>
        <w:rPr>
          <w:rFonts w:hint="eastAsia" w:ascii="仿宋_GB2312" w:hAnsi="华文中宋" w:eastAsia="仿宋_GB2312"/>
          <w:snapToGrid w:val="0"/>
          <w:kern w:val="0"/>
          <w:sz w:val="32"/>
          <w:szCs w:val="32"/>
        </w:rPr>
        <w:t>　　本报告中所列数据的统计期限自2018年1月1日起，至2018年12月31日止。本报告的电子版可在我委政府网站（</w:t>
      </w:r>
      <w:r>
        <w:rPr>
          <w:rFonts w:ascii="仿宋_GB2312" w:hAnsi="华文中宋" w:eastAsia="仿宋_GB2312"/>
          <w:snapToGrid w:val="0"/>
          <w:kern w:val="0"/>
          <w:sz w:val="32"/>
          <w:szCs w:val="32"/>
        </w:rPr>
        <w:t>http://zjw.beijing.gov.cn/</w:t>
      </w:r>
      <w:r>
        <w:rPr>
          <w:rFonts w:hint="eastAsia" w:ascii="仿宋_GB2312" w:hAnsi="华文中宋" w:eastAsia="仿宋_GB2312"/>
          <w:snapToGrid w:val="0"/>
          <w:kern w:val="0"/>
          <w:sz w:val="32"/>
          <w:szCs w:val="32"/>
        </w:rPr>
        <w:t>）“政府信息公开专栏”中下载。如对报告有疑问，请与北京市住房和城乡建设委员会政府信息公开办公室联系（地址：北京市通州区达济街9号；邮编：101160；联系电话：010-55597019；电子邮箱：</w:t>
      </w:r>
      <w:r>
        <w:rPr>
          <w:rFonts w:ascii="仿宋_GB2312" w:hAnsi="华文中宋" w:eastAsia="仿宋_GB2312"/>
          <w:snapToGrid w:val="0"/>
          <w:kern w:val="0"/>
          <w:sz w:val="32"/>
          <w:szCs w:val="32"/>
        </w:rPr>
        <w:t>bjjsxxgk@163.com</w:t>
      </w:r>
      <w:r>
        <w:rPr>
          <w:rFonts w:hint="eastAsia" w:ascii="仿宋_GB2312" w:hAnsi="华文中宋" w:eastAsia="仿宋_GB2312"/>
          <w:snapToGrid w:val="0"/>
          <w:kern w:val="0"/>
          <w:sz w:val="32"/>
          <w:szCs w:val="32"/>
        </w:rPr>
        <w:t>）。</w:t>
      </w:r>
    </w:p>
    <w:p w14:paraId="34D81DB4">
      <w:pPr>
        <w:spacing w:line="580" w:lineRule="exact"/>
        <w:rPr>
          <w:rFonts w:ascii="黑体" w:hAnsi="仿宋" w:eastAsia="黑体"/>
          <w:bCs/>
          <w:sz w:val="32"/>
          <w:szCs w:val="32"/>
        </w:rPr>
      </w:pPr>
    </w:p>
    <w:p w14:paraId="61C806B9">
      <w:pPr>
        <w:spacing w:line="580" w:lineRule="exact"/>
        <w:jc w:val="center"/>
        <w:rPr>
          <w:rFonts w:ascii="黑体" w:hAnsi="仿宋" w:eastAsia="黑体"/>
          <w:bCs/>
          <w:sz w:val="32"/>
          <w:szCs w:val="32"/>
        </w:rPr>
      </w:pPr>
      <w:r>
        <w:rPr>
          <w:rFonts w:hint="eastAsia" w:ascii="黑体" w:hAnsi="仿宋" w:eastAsia="黑体"/>
          <w:bCs/>
          <w:sz w:val="32"/>
          <w:szCs w:val="32"/>
        </w:rPr>
        <w:t>一、概 述</w:t>
      </w:r>
    </w:p>
    <w:p w14:paraId="74AC10CB">
      <w:pPr>
        <w:spacing w:line="580" w:lineRule="exact"/>
        <w:ind w:firstLine="646"/>
        <w:rPr>
          <w:rFonts w:ascii="仿宋_GB2312" w:eastAsia="仿宋_GB2312"/>
          <w:sz w:val="32"/>
          <w:szCs w:val="32"/>
        </w:rPr>
      </w:pPr>
      <w:r>
        <w:rPr>
          <w:rFonts w:hint="eastAsia" w:ascii="仿宋_GB2312" w:hAnsi="Arial" w:eastAsia="仿宋_GB2312" w:cs="Arial"/>
          <w:sz w:val="32"/>
          <w:szCs w:val="32"/>
        </w:rPr>
        <w:t>2018年，</w:t>
      </w:r>
      <w:r>
        <w:rPr>
          <w:rFonts w:hint="eastAsia" w:ascii="仿宋_GB2312" w:eastAsia="仿宋_GB2312"/>
          <w:sz w:val="32"/>
          <w:szCs w:val="32"/>
        </w:rPr>
        <w:t>我委认真贯彻落实《北京市2018年政务公开工作要点》和《住房城乡建设部2018年政务公开工作要点》，通过持续深化重点领域信息公开、加强政策解读和舆情回应、优化政务服务和政务公开平台建设、强化组织领导和制度保障，进一步提升公开实效，增强政府公信力。</w:t>
      </w:r>
    </w:p>
    <w:p w14:paraId="6E52C5FC">
      <w:pPr>
        <w:spacing w:line="580" w:lineRule="exact"/>
        <w:ind w:firstLine="640" w:firstLineChars="200"/>
        <w:rPr>
          <w:rFonts w:ascii="楷体_GB2312" w:hAnsi="华文中宋" w:eastAsia="楷体_GB2312"/>
          <w:snapToGrid w:val="0"/>
          <w:kern w:val="0"/>
          <w:sz w:val="32"/>
          <w:szCs w:val="32"/>
        </w:rPr>
      </w:pPr>
      <w:r>
        <w:rPr>
          <w:rFonts w:hint="eastAsia" w:ascii="楷体_GB2312" w:hAnsi="华文中宋" w:eastAsia="楷体_GB2312"/>
          <w:snapToGrid w:val="0"/>
          <w:kern w:val="0"/>
          <w:sz w:val="32"/>
          <w:szCs w:val="32"/>
        </w:rPr>
        <w:t>（一）围绕重点领域，拓展公开内容</w:t>
      </w:r>
    </w:p>
    <w:p w14:paraId="66FB46AB">
      <w:pPr>
        <w:spacing w:line="580" w:lineRule="exact"/>
        <w:ind w:firstLine="200"/>
        <w:rPr>
          <w:rFonts w:ascii="仿宋_GB2312" w:eastAsia="仿宋_GB2312"/>
          <w:bCs/>
          <w:sz w:val="32"/>
          <w:szCs w:val="32"/>
        </w:rPr>
      </w:pPr>
      <w:r>
        <w:rPr>
          <w:rFonts w:hint="eastAsia" w:ascii="仿宋_GB2312" w:eastAsia="仿宋_GB2312"/>
          <w:b/>
          <w:sz w:val="32"/>
          <w:szCs w:val="32"/>
        </w:rPr>
        <w:t>在重大建设项目信息公开方面，</w:t>
      </w:r>
      <w:r>
        <w:rPr>
          <w:rFonts w:hint="eastAsia" w:ascii="仿宋_GB2312" w:eastAsia="仿宋_GB2312"/>
          <w:sz w:val="32"/>
          <w:szCs w:val="32"/>
        </w:rPr>
        <w:t>及时向社会公开发布2018年市委市政府审定的276项重点工程目录，按月公布全市重点工程开工、竣工和完成建安投资等情况，适时发布重点工程建设进展信息。</w:t>
      </w:r>
      <w:r>
        <w:rPr>
          <w:rFonts w:hint="eastAsia" w:ascii="仿宋_GB2312" w:hAnsi="宋体" w:eastAsia="仿宋_GB2312"/>
          <w:sz w:val="32"/>
          <w:szCs w:val="32"/>
        </w:rPr>
        <w:t>及时通过首都之窗政务服务专栏更新施工许可办事服务信息，实现施工许可结果办结即公开，为企业或个人查询提供便利。</w:t>
      </w:r>
      <w:r>
        <w:rPr>
          <w:rFonts w:hint="eastAsia" w:ascii="仿宋_GB2312" w:eastAsia="仿宋_GB2312"/>
          <w:sz w:val="32"/>
          <w:szCs w:val="32"/>
        </w:rPr>
        <w:t>通过门户网站“北京市建筑市场信息公开平台”和“北京市公共资源交易服务平台”，动态更新</w:t>
      </w:r>
      <w:r>
        <w:rPr>
          <w:rFonts w:hint="eastAsia" w:ascii="仿宋_GB2312" w:hAnsi="宋体" w:eastAsia="仿宋_GB2312" w:cs="宋体"/>
          <w:color w:val="000000"/>
          <w:kern w:val="0"/>
          <w:sz w:val="32"/>
          <w:szCs w:val="32"/>
        </w:rPr>
        <w:t>我市工程建设项目的招标公告信息、开标信息、中标候选人公示信息、中标结果公示信息、合同订立等信息，</w:t>
      </w:r>
      <w:r>
        <w:rPr>
          <w:rFonts w:hint="eastAsia" w:ascii="仿宋_GB2312" w:hAnsi="仿宋" w:eastAsia="仿宋_GB2312"/>
          <w:color w:val="000000"/>
          <w:sz w:val="32"/>
          <w:szCs w:val="32"/>
        </w:rPr>
        <w:t>促进招投标活动公开透明</w:t>
      </w:r>
      <w:r>
        <w:rPr>
          <w:rFonts w:hint="eastAsia" w:ascii="仿宋_GB2312" w:hAnsi="宋体" w:eastAsia="仿宋_GB2312" w:cs="宋体"/>
          <w:color w:val="000000"/>
          <w:kern w:val="0"/>
          <w:sz w:val="32"/>
          <w:szCs w:val="32"/>
        </w:rPr>
        <w:t>。</w:t>
      </w:r>
      <w:r>
        <w:rPr>
          <w:rFonts w:hint="eastAsia" w:ascii="仿宋_GB2312" w:eastAsia="仿宋_GB2312"/>
          <w:sz w:val="32"/>
          <w:szCs w:val="32"/>
        </w:rPr>
        <w:t>及时公开工程项目安全监督备案信息、竣工验收备案信息，以及注册地在北京的</w:t>
      </w:r>
      <w:r>
        <w:rPr>
          <w:rFonts w:hint="eastAsia" w:ascii="仿宋_GB2312" w:hAnsi="仿宋" w:eastAsia="仿宋_GB2312"/>
          <w:sz w:val="32"/>
          <w:szCs w:val="32"/>
        </w:rPr>
        <w:t>建设工程企业资质信息，同时</w:t>
      </w:r>
      <w:r>
        <w:rPr>
          <w:rFonts w:hint="eastAsia" w:ascii="仿宋_GB2312" w:eastAsia="仿宋_GB2312"/>
          <w:sz w:val="32"/>
          <w:szCs w:val="32"/>
        </w:rPr>
        <w:t>督促施工单位落实“九牌一图”制度，引导企业主动公开竣工验收有关信息。新建“质量监督信息”栏目，丰富“便民电话”栏目，主动公开建设项目的质量监督机构及各区安全质量监督机构联系方式。同时，</w:t>
      </w:r>
      <w:r>
        <w:rPr>
          <w:rFonts w:hint="eastAsia" w:ascii="仿宋_GB2312" w:hAnsi="华文仿宋" w:eastAsia="仿宋_GB2312"/>
          <w:sz w:val="32"/>
          <w:szCs w:val="32"/>
        </w:rPr>
        <w:t>按月公开全市建设工程的质量监督情况，适时通报</w:t>
      </w:r>
      <w:r>
        <w:rPr>
          <w:rFonts w:hint="eastAsia" w:ascii="仿宋_GB2312" w:eastAsia="仿宋_GB2312"/>
          <w:sz w:val="32"/>
          <w:szCs w:val="32"/>
        </w:rPr>
        <w:t>安全质量执法抽查中发现的典型问题，督促各参建单位进一步落实安全质量主体责任。</w:t>
      </w:r>
    </w:p>
    <w:p w14:paraId="2FEC8079">
      <w:pPr>
        <w:spacing w:line="580" w:lineRule="exact"/>
        <w:ind w:firstLine="645"/>
        <w:jc w:val="left"/>
        <w:rPr>
          <w:rFonts w:ascii="仿宋_GB2312" w:eastAsia="仿宋_GB2312"/>
          <w:sz w:val="32"/>
          <w:szCs w:val="32"/>
        </w:rPr>
      </w:pPr>
      <w:r>
        <w:drawing>
          <wp:anchor distT="0" distB="0" distL="114300" distR="114300" simplePos="0" relativeHeight="251659264" behindDoc="0" locked="0" layoutInCell="1" allowOverlap="1">
            <wp:simplePos x="0" y="0"/>
            <wp:positionH relativeFrom="column">
              <wp:posOffset>582295</wp:posOffset>
            </wp:positionH>
            <wp:positionV relativeFrom="paragraph">
              <wp:posOffset>102870</wp:posOffset>
            </wp:positionV>
            <wp:extent cx="4344670" cy="222059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rcRect l="10417" t="20555" r="10417" b="14722"/>
                    <a:stretch>
                      <a:fillRect/>
                    </a:stretch>
                  </pic:blipFill>
                  <pic:spPr>
                    <a:xfrm>
                      <a:off x="0" y="0"/>
                      <a:ext cx="4344670" cy="2220595"/>
                    </a:xfrm>
                    <a:prstGeom prst="rect">
                      <a:avLst/>
                    </a:prstGeom>
                    <a:ln>
                      <a:noFill/>
                    </a:ln>
                  </pic:spPr>
                </pic:pic>
              </a:graphicData>
            </a:graphic>
          </wp:anchor>
        </w:drawing>
      </w:r>
    </w:p>
    <w:p w14:paraId="1F60D9C5">
      <w:pPr>
        <w:spacing w:line="580" w:lineRule="exact"/>
        <w:ind w:firstLine="646"/>
        <w:jc w:val="left"/>
        <w:rPr>
          <w:rFonts w:ascii="仿宋_GB2312" w:eastAsia="仿宋_GB2312"/>
          <w:sz w:val="32"/>
          <w:szCs w:val="32"/>
        </w:rPr>
      </w:pPr>
    </w:p>
    <w:p w14:paraId="19BA49B3">
      <w:pPr>
        <w:spacing w:line="600" w:lineRule="exact"/>
        <w:ind w:firstLine="645"/>
        <w:jc w:val="left"/>
        <w:rPr>
          <w:rFonts w:ascii="仿宋_GB2312" w:hAnsi="仿宋" w:eastAsia="仿宋_GB2312"/>
          <w:color w:val="000000"/>
          <w:sz w:val="32"/>
          <w:szCs w:val="32"/>
        </w:rPr>
      </w:pPr>
    </w:p>
    <w:p w14:paraId="5277B680">
      <w:pPr>
        <w:spacing w:line="600" w:lineRule="exact"/>
        <w:ind w:firstLine="645"/>
        <w:jc w:val="left"/>
        <w:rPr>
          <w:rFonts w:ascii="仿宋_GB2312" w:hAnsi="仿宋" w:eastAsia="仿宋_GB2312"/>
          <w:color w:val="000000"/>
          <w:sz w:val="32"/>
          <w:szCs w:val="32"/>
        </w:rPr>
      </w:pPr>
    </w:p>
    <w:p w14:paraId="6DDF05F7">
      <w:pPr>
        <w:spacing w:line="600" w:lineRule="exact"/>
        <w:ind w:firstLine="645"/>
        <w:jc w:val="left"/>
        <w:rPr>
          <w:rFonts w:ascii="仿宋_GB2312" w:hAnsi="仿宋" w:eastAsia="仿宋_GB2312"/>
          <w:color w:val="000000"/>
          <w:sz w:val="32"/>
          <w:szCs w:val="32"/>
        </w:rPr>
      </w:pPr>
    </w:p>
    <w:p w14:paraId="2DDBCA91">
      <w:pPr>
        <w:spacing w:line="600" w:lineRule="exact"/>
        <w:ind w:firstLine="645"/>
        <w:jc w:val="left"/>
        <w:rPr>
          <w:rFonts w:ascii="仿宋_GB2312" w:hAnsi="仿宋" w:eastAsia="仿宋_GB2312"/>
          <w:color w:val="000000"/>
          <w:sz w:val="32"/>
          <w:szCs w:val="32"/>
        </w:rPr>
      </w:pPr>
    </w:p>
    <w:p w14:paraId="1612E579">
      <w:pPr>
        <w:spacing w:line="600" w:lineRule="exact"/>
        <w:ind w:firstLine="1960" w:firstLineChars="817"/>
        <w:jc w:val="left"/>
        <w:rPr>
          <w:rFonts w:ascii="仿宋_GB2312" w:hAnsi="仿宋" w:eastAsia="仿宋_GB2312"/>
          <w:color w:val="000000"/>
          <w:sz w:val="32"/>
          <w:szCs w:val="32"/>
        </w:rPr>
      </w:pPr>
      <w:r>
        <w:rPr>
          <w:rFonts w:ascii="Arial" w:hAnsi="Arial" w:cs="Arial"/>
          <w:kern w:val="0"/>
          <w:sz w:val="24"/>
        </w:rPr>
        <w:t>（图</w:t>
      </w:r>
      <w:r>
        <w:rPr>
          <w:rFonts w:hint="eastAsia" w:ascii="Arial" w:hAnsi="Arial" w:cs="Arial"/>
          <w:kern w:val="0"/>
          <w:sz w:val="24"/>
        </w:rPr>
        <w:t>1. 门户网站“重点工程建设”栏目</w:t>
      </w:r>
      <w:r>
        <w:rPr>
          <w:rFonts w:ascii="Arial" w:hAnsi="Arial" w:cs="Arial"/>
          <w:kern w:val="0"/>
          <w:sz w:val="24"/>
        </w:rPr>
        <w:t>）</w:t>
      </w:r>
    </w:p>
    <w:p w14:paraId="7BAC987E">
      <w:pPr>
        <w:spacing w:line="600" w:lineRule="exact"/>
        <w:ind w:firstLine="645"/>
        <w:jc w:val="left"/>
        <w:rPr>
          <w:rFonts w:ascii="仿宋_GB2312" w:eastAsia="仿宋_GB2312"/>
          <w:b/>
          <w:sz w:val="32"/>
          <w:szCs w:val="32"/>
        </w:rPr>
      </w:pPr>
      <w:r>
        <w:drawing>
          <wp:anchor distT="0" distB="0" distL="114300" distR="114300" simplePos="0" relativeHeight="251660288" behindDoc="0" locked="0" layoutInCell="1" allowOverlap="1">
            <wp:simplePos x="0" y="0"/>
            <wp:positionH relativeFrom="column">
              <wp:posOffset>896620</wp:posOffset>
            </wp:positionH>
            <wp:positionV relativeFrom="paragraph">
              <wp:posOffset>86995</wp:posOffset>
            </wp:positionV>
            <wp:extent cx="3810000" cy="23050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rcRect l="15452" t="11389" r="15104" b="21389"/>
                    <a:stretch>
                      <a:fillRect/>
                    </a:stretch>
                  </pic:blipFill>
                  <pic:spPr>
                    <a:xfrm>
                      <a:off x="0" y="0"/>
                      <a:ext cx="3810000" cy="2305050"/>
                    </a:xfrm>
                    <a:prstGeom prst="rect">
                      <a:avLst/>
                    </a:prstGeom>
                    <a:ln>
                      <a:noFill/>
                    </a:ln>
                  </pic:spPr>
                </pic:pic>
              </a:graphicData>
            </a:graphic>
          </wp:anchor>
        </w:drawing>
      </w:r>
    </w:p>
    <w:p w14:paraId="06642560">
      <w:pPr>
        <w:spacing w:line="600" w:lineRule="exact"/>
        <w:ind w:firstLine="645"/>
        <w:jc w:val="left"/>
        <w:rPr>
          <w:rFonts w:ascii="仿宋_GB2312" w:eastAsia="仿宋_GB2312"/>
          <w:b/>
          <w:sz w:val="32"/>
          <w:szCs w:val="32"/>
        </w:rPr>
      </w:pPr>
    </w:p>
    <w:p w14:paraId="3EB4D854">
      <w:pPr>
        <w:spacing w:line="600" w:lineRule="exact"/>
        <w:ind w:firstLine="645"/>
        <w:jc w:val="left"/>
        <w:rPr>
          <w:rFonts w:ascii="仿宋_GB2312" w:eastAsia="仿宋_GB2312"/>
          <w:b/>
          <w:sz w:val="32"/>
          <w:szCs w:val="32"/>
        </w:rPr>
      </w:pPr>
    </w:p>
    <w:p w14:paraId="3CBA35D7">
      <w:pPr>
        <w:spacing w:line="600" w:lineRule="exact"/>
        <w:ind w:firstLine="645"/>
        <w:jc w:val="left"/>
        <w:rPr>
          <w:rFonts w:ascii="仿宋_GB2312" w:eastAsia="仿宋_GB2312"/>
          <w:b/>
          <w:sz w:val="32"/>
          <w:szCs w:val="32"/>
        </w:rPr>
      </w:pPr>
    </w:p>
    <w:p w14:paraId="2CEA70DC">
      <w:pPr>
        <w:spacing w:line="600" w:lineRule="exact"/>
        <w:ind w:firstLine="645"/>
        <w:jc w:val="left"/>
        <w:rPr>
          <w:rFonts w:ascii="仿宋_GB2312" w:eastAsia="仿宋_GB2312"/>
          <w:b/>
          <w:sz w:val="32"/>
          <w:szCs w:val="32"/>
        </w:rPr>
      </w:pPr>
    </w:p>
    <w:p w14:paraId="304BF652">
      <w:pPr>
        <w:spacing w:line="600" w:lineRule="exact"/>
        <w:jc w:val="left"/>
        <w:rPr>
          <w:rFonts w:ascii="仿宋_GB2312" w:eastAsia="仿宋_GB2312"/>
          <w:b/>
          <w:sz w:val="32"/>
          <w:szCs w:val="32"/>
        </w:rPr>
      </w:pPr>
    </w:p>
    <w:p w14:paraId="726AB294">
      <w:pPr>
        <w:spacing w:line="600" w:lineRule="exact"/>
        <w:ind w:firstLine="1428" w:firstLineChars="595"/>
        <w:jc w:val="left"/>
        <w:rPr>
          <w:rFonts w:ascii="仿宋_GB2312" w:hAnsi="仿宋" w:eastAsia="仿宋_GB2312"/>
          <w:color w:val="000000"/>
          <w:sz w:val="32"/>
          <w:szCs w:val="32"/>
        </w:rPr>
      </w:pPr>
      <w:r>
        <w:rPr>
          <w:rFonts w:ascii="Arial" w:hAnsi="Arial" w:cs="Arial"/>
          <w:kern w:val="0"/>
          <w:sz w:val="24"/>
        </w:rPr>
        <w:t>（图</w:t>
      </w:r>
      <w:r>
        <w:rPr>
          <w:rFonts w:hint="eastAsia" w:ascii="Arial" w:hAnsi="Arial" w:cs="Arial"/>
          <w:kern w:val="0"/>
          <w:sz w:val="24"/>
        </w:rPr>
        <w:t>2. 门户网站“北京市建筑市场信息公开平台”栏目</w:t>
      </w:r>
      <w:r>
        <w:rPr>
          <w:rFonts w:ascii="Arial" w:hAnsi="Arial" w:cs="Arial"/>
          <w:kern w:val="0"/>
          <w:sz w:val="24"/>
        </w:rPr>
        <w:t>）</w:t>
      </w:r>
    </w:p>
    <w:p w14:paraId="065566D4">
      <w:pPr>
        <w:spacing w:line="600" w:lineRule="exact"/>
        <w:ind w:firstLine="645"/>
        <w:jc w:val="left"/>
        <w:rPr>
          <w:rFonts w:ascii="仿宋_GB2312" w:eastAsia="仿宋_GB2312"/>
          <w:b/>
          <w:sz w:val="32"/>
          <w:szCs w:val="32"/>
        </w:rPr>
      </w:pPr>
      <w:r>
        <w:drawing>
          <wp:anchor distT="0" distB="0" distL="114300" distR="114300" simplePos="0" relativeHeight="251661312" behindDoc="0" locked="0" layoutInCell="1" allowOverlap="1">
            <wp:simplePos x="0" y="0"/>
            <wp:positionH relativeFrom="column">
              <wp:posOffset>410845</wp:posOffset>
            </wp:positionH>
            <wp:positionV relativeFrom="paragraph">
              <wp:posOffset>153670</wp:posOffset>
            </wp:positionV>
            <wp:extent cx="4791075" cy="255206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rcRect l="6598" t="20000" r="6076" b="5556"/>
                    <a:stretch>
                      <a:fillRect/>
                    </a:stretch>
                  </pic:blipFill>
                  <pic:spPr>
                    <a:xfrm>
                      <a:off x="0" y="0"/>
                      <a:ext cx="4791075" cy="2552065"/>
                    </a:xfrm>
                    <a:prstGeom prst="rect">
                      <a:avLst/>
                    </a:prstGeom>
                    <a:ln>
                      <a:noFill/>
                    </a:ln>
                  </pic:spPr>
                </pic:pic>
              </a:graphicData>
            </a:graphic>
          </wp:anchor>
        </w:drawing>
      </w:r>
    </w:p>
    <w:p w14:paraId="26327332">
      <w:pPr>
        <w:spacing w:line="600" w:lineRule="exact"/>
        <w:ind w:firstLine="645"/>
        <w:jc w:val="left"/>
        <w:rPr>
          <w:rFonts w:ascii="仿宋_GB2312" w:eastAsia="仿宋_GB2312"/>
          <w:b/>
          <w:sz w:val="32"/>
          <w:szCs w:val="32"/>
        </w:rPr>
      </w:pPr>
    </w:p>
    <w:p w14:paraId="65DCE3BF">
      <w:pPr>
        <w:spacing w:line="600" w:lineRule="exact"/>
        <w:ind w:firstLine="645"/>
        <w:jc w:val="left"/>
        <w:rPr>
          <w:rFonts w:ascii="仿宋_GB2312" w:eastAsia="仿宋_GB2312"/>
          <w:b/>
          <w:sz w:val="32"/>
          <w:szCs w:val="32"/>
        </w:rPr>
      </w:pPr>
    </w:p>
    <w:p w14:paraId="3ACDFBC2">
      <w:pPr>
        <w:spacing w:line="600" w:lineRule="exact"/>
        <w:ind w:firstLine="645"/>
        <w:jc w:val="left"/>
        <w:rPr>
          <w:rFonts w:ascii="仿宋_GB2312" w:eastAsia="仿宋_GB2312"/>
          <w:b/>
          <w:sz w:val="32"/>
          <w:szCs w:val="32"/>
        </w:rPr>
      </w:pPr>
    </w:p>
    <w:p w14:paraId="0AAC0309">
      <w:pPr>
        <w:spacing w:line="600" w:lineRule="exact"/>
        <w:ind w:firstLine="645"/>
        <w:jc w:val="left"/>
        <w:rPr>
          <w:rFonts w:ascii="仿宋_GB2312" w:eastAsia="仿宋_GB2312"/>
          <w:b/>
          <w:sz w:val="32"/>
          <w:szCs w:val="32"/>
        </w:rPr>
      </w:pPr>
    </w:p>
    <w:p w14:paraId="00B301D7">
      <w:pPr>
        <w:spacing w:line="600" w:lineRule="exact"/>
        <w:ind w:firstLine="645"/>
        <w:jc w:val="left"/>
        <w:rPr>
          <w:rFonts w:ascii="仿宋_GB2312" w:eastAsia="仿宋_GB2312"/>
          <w:b/>
          <w:sz w:val="32"/>
          <w:szCs w:val="32"/>
        </w:rPr>
      </w:pPr>
    </w:p>
    <w:p w14:paraId="1F578AF4">
      <w:pPr>
        <w:spacing w:line="600" w:lineRule="exact"/>
        <w:ind w:firstLine="645"/>
        <w:jc w:val="left"/>
        <w:rPr>
          <w:rFonts w:ascii="仿宋_GB2312" w:eastAsia="仿宋_GB2312"/>
          <w:b/>
          <w:sz w:val="32"/>
          <w:szCs w:val="32"/>
        </w:rPr>
      </w:pPr>
    </w:p>
    <w:p w14:paraId="60102E20">
      <w:pPr>
        <w:spacing w:line="600" w:lineRule="exact"/>
        <w:ind w:firstLine="2027" w:firstLineChars="845"/>
        <w:jc w:val="left"/>
        <w:rPr>
          <w:rFonts w:ascii="仿宋_GB2312" w:hAnsi="仿宋" w:eastAsia="仿宋_GB2312"/>
          <w:color w:val="000000"/>
          <w:sz w:val="32"/>
          <w:szCs w:val="32"/>
        </w:rPr>
      </w:pPr>
      <w:r>
        <w:rPr>
          <w:rFonts w:ascii="Arial" w:hAnsi="Arial" w:cs="Arial"/>
          <w:kern w:val="0"/>
          <w:sz w:val="24"/>
        </w:rPr>
        <w:t>（图</w:t>
      </w:r>
      <w:r>
        <w:rPr>
          <w:rFonts w:hint="eastAsia" w:ascii="Arial" w:hAnsi="Arial" w:cs="Arial"/>
          <w:kern w:val="0"/>
          <w:sz w:val="24"/>
        </w:rPr>
        <w:t>3. 门户网站“质量监督信息”栏目</w:t>
      </w:r>
      <w:r>
        <w:rPr>
          <w:rFonts w:ascii="Arial" w:hAnsi="Arial" w:cs="Arial"/>
          <w:kern w:val="0"/>
          <w:sz w:val="24"/>
        </w:rPr>
        <w:t>）</w:t>
      </w:r>
    </w:p>
    <w:p w14:paraId="674E1D8F">
      <w:pPr>
        <w:spacing w:line="580" w:lineRule="exact"/>
        <w:ind w:firstLine="643" w:firstLineChars="200"/>
        <w:rPr>
          <w:rFonts w:ascii="仿宋_GB2312" w:eastAsia="仿宋_GB2312" w:cs="宋体"/>
          <w:kern w:val="0"/>
          <w:sz w:val="32"/>
          <w:szCs w:val="32"/>
          <w:lang w:val="zh-CN"/>
        </w:rPr>
      </w:pPr>
      <w:r>
        <w:rPr>
          <w:rFonts w:hint="eastAsia" w:ascii="仿宋_GB2312" w:eastAsia="仿宋_GB2312"/>
          <w:b/>
          <w:sz w:val="32"/>
          <w:szCs w:val="32"/>
        </w:rPr>
        <w:t>在保障性住房信息公开方面，</w:t>
      </w:r>
      <w:r>
        <w:rPr>
          <w:rFonts w:hint="eastAsia" w:ascii="仿宋_GB2312" w:eastAsia="仿宋_GB2312" w:cs="宋体"/>
          <w:kern w:val="0"/>
          <w:sz w:val="32"/>
          <w:szCs w:val="32"/>
          <w:lang w:val="zh-CN"/>
        </w:rPr>
        <w:t>在做好保障性住房建设计划、政策法规、办事指南等信息公开基础上，新增“曝光台”栏目，重点公示我市公共租赁住房违规转租、转借家庭基本信息、违规事实及初步处理结果；新增“媒体解读”栏目，及时转载北京日报、光明日报、新华社等权威媒体对住房保障的相关报道及政策解读；专题发布“北京共有产权房问答”“北京公共租赁房问答”各5期，为公众答疑解惑。1月、8月分别组织了副中心棚改、丰台区成寿寺集体土地建租赁房及石景山区古城集体土地建租赁房项目“政府开放日”活动，邀请媒体记者走进项目现场，参观保障房建设，拉近政府与群众的距离。同时，加强对住房保障领域公共企事业单位信息公开的监督指导，市保障性住房建设投资中心、区住房保障中心作为市区两级住房保障信息公开的重要责任单位，公开住房保障分配管理相关信息。</w:t>
      </w:r>
    </w:p>
    <w:p w14:paraId="5E10C454">
      <w:pPr>
        <w:spacing w:line="600" w:lineRule="exact"/>
        <w:ind w:firstLine="420" w:firstLineChars="200"/>
        <w:jc w:val="left"/>
        <w:rPr>
          <w:rFonts w:ascii="仿宋_GB2312" w:eastAsia="仿宋_GB2312"/>
          <w:sz w:val="32"/>
          <w:szCs w:val="32"/>
        </w:rPr>
      </w:pPr>
      <w:r>
        <w:drawing>
          <wp:anchor distT="0" distB="0" distL="114300" distR="114300" simplePos="0" relativeHeight="251662336" behindDoc="0" locked="0" layoutInCell="1" allowOverlap="1">
            <wp:simplePos x="0" y="0"/>
            <wp:positionH relativeFrom="column">
              <wp:posOffset>777875</wp:posOffset>
            </wp:positionH>
            <wp:positionV relativeFrom="paragraph">
              <wp:posOffset>33020</wp:posOffset>
            </wp:positionV>
            <wp:extent cx="4264660" cy="272669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rcRect l="10068" t="11389" r="10590" b="7500"/>
                    <a:stretch>
                      <a:fillRect/>
                    </a:stretch>
                  </pic:blipFill>
                  <pic:spPr>
                    <a:xfrm>
                      <a:off x="0" y="0"/>
                      <a:ext cx="4264579" cy="2726493"/>
                    </a:xfrm>
                    <a:prstGeom prst="rect">
                      <a:avLst/>
                    </a:prstGeom>
                    <a:ln>
                      <a:noFill/>
                    </a:ln>
                  </pic:spPr>
                </pic:pic>
              </a:graphicData>
            </a:graphic>
          </wp:anchor>
        </w:drawing>
      </w:r>
    </w:p>
    <w:p w14:paraId="010669D4">
      <w:pPr>
        <w:spacing w:line="600" w:lineRule="exact"/>
        <w:ind w:firstLine="640" w:firstLineChars="200"/>
        <w:jc w:val="left"/>
        <w:rPr>
          <w:rFonts w:ascii="仿宋_GB2312" w:eastAsia="仿宋_GB2312"/>
          <w:sz w:val="32"/>
          <w:szCs w:val="32"/>
        </w:rPr>
      </w:pPr>
    </w:p>
    <w:p w14:paraId="794B08CC">
      <w:pPr>
        <w:spacing w:line="600" w:lineRule="exact"/>
        <w:ind w:firstLine="640" w:firstLineChars="200"/>
        <w:jc w:val="left"/>
        <w:rPr>
          <w:rFonts w:ascii="仿宋_GB2312" w:eastAsia="仿宋_GB2312"/>
          <w:sz w:val="32"/>
          <w:szCs w:val="32"/>
        </w:rPr>
      </w:pPr>
    </w:p>
    <w:p w14:paraId="11D1B864">
      <w:pPr>
        <w:spacing w:line="600" w:lineRule="exact"/>
        <w:ind w:firstLine="640" w:firstLineChars="200"/>
        <w:jc w:val="left"/>
        <w:rPr>
          <w:rFonts w:ascii="仿宋_GB2312" w:eastAsia="仿宋_GB2312"/>
          <w:sz w:val="32"/>
          <w:szCs w:val="32"/>
        </w:rPr>
      </w:pPr>
    </w:p>
    <w:p w14:paraId="5B616218">
      <w:pPr>
        <w:spacing w:line="600" w:lineRule="exact"/>
        <w:ind w:firstLine="640" w:firstLineChars="200"/>
        <w:jc w:val="left"/>
        <w:rPr>
          <w:rFonts w:ascii="仿宋_GB2312" w:eastAsia="仿宋_GB2312"/>
          <w:sz w:val="32"/>
          <w:szCs w:val="32"/>
        </w:rPr>
      </w:pPr>
    </w:p>
    <w:p w14:paraId="6AEC0D44">
      <w:pPr>
        <w:spacing w:line="600" w:lineRule="exact"/>
        <w:ind w:firstLine="640" w:firstLineChars="200"/>
        <w:jc w:val="left"/>
        <w:rPr>
          <w:rFonts w:ascii="仿宋_GB2312" w:eastAsia="仿宋_GB2312"/>
          <w:sz w:val="32"/>
          <w:szCs w:val="32"/>
        </w:rPr>
      </w:pPr>
    </w:p>
    <w:p w14:paraId="0E99B2DD">
      <w:pPr>
        <w:spacing w:line="600" w:lineRule="exact"/>
        <w:ind w:firstLine="640" w:firstLineChars="200"/>
        <w:jc w:val="left"/>
        <w:rPr>
          <w:rFonts w:ascii="仿宋_GB2312" w:eastAsia="仿宋_GB2312"/>
          <w:sz w:val="32"/>
          <w:szCs w:val="32"/>
        </w:rPr>
      </w:pPr>
    </w:p>
    <w:p w14:paraId="5CA450E7">
      <w:pPr>
        <w:spacing w:line="600" w:lineRule="exact"/>
        <w:ind w:firstLine="2160" w:firstLineChars="900"/>
        <w:jc w:val="left"/>
        <w:rPr>
          <w:rFonts w:ascii="仿宋_GB2312" w:eastAsia="仿宋_GB2312"/>
          <w:sz w:val="32"/>
          <w:szCs w:val="32"/>
        </w:rPr>
      </w:pPr>
      <w:r>
        <w:rPr>
          <w:rFonts w:ascii="Arial" w:hAnsi="Arial" w:cs="Arial"/>
          <w:kern w:val="0"/>
          <w:sz w:val="24"/>
        </w:rPr>
        <w:t>（图</w:t>
      </w:r>
      <w:r>
        <w:rPr>
          <w:rFonts w:hint="eastAsia" w:ascii="Arial" w:hAnsi="Arial" w:cs="Arial"/>
          <w:kern w:val="0"/>
          <w:sz w:val="24"/>
        </w:rPr>
        <w:t>4. 门户网站“住房保障—曝光台”栏目</w:t>
      </w:r>
      <w:r>
        <w:rPr>
          <w:rFonts w:ascii="Arial" w:hAnsi="Arial" w:cs="Arial"/>
          <w:kern w:val="0"/>
          <w:sz w:val="24"/>
        </w:rPr>
        <w:t>）</w:t>
      </w:r>
    </w:p>
    <w:p w14:paraId="208653F1">
      <w:pPr>
        <w:spacing w:line="580" w:lineRule="exact"/>
        <w:ind w:firstLine="643" w:firstLineChars="200"/>
        <w:rPr>
          <w:rFonts w:ascii="仿宋_GB2312" w:eastAsia="仿宋_GB2312"/>
          <w:sz w:val="32"/>
          <w:szCs w:val="32"/>
        </w:rPr>
      </w:pPr>
      <w:r>
        <w:rPr>
          <w:rFonts w:hint="eastAsia" w:ascii="仿宋_GB2312" w:eastAsia="仿宋_GB2312"/>
          <w:b/>
          <w:sz w:val="32"/>
          <w:szCs w:val="32"/>
        </w:rPr>
        <w:t>在房地产市场信息公开方面，</w:t>
      </w:r>
      <w:r>
        <w:rPr>
          <w:rFonts w:hint="eastAsia" w:ascii="仿宋_GB2312" w:eastAsia="仿宋_GB2312"/>
          <w:sz w:val="32"/>
          <w:szCs w:val="32"/>
        </w:rPr>
        <w:t>出台房地产领域政策措施时，</w:t>
      </w:r>
      <w:r>
        <w:rPr>
          <w:rFonts w:hint="eastAsia" w:ascii="仿宋_GB2312" w:hAnsi="楷体" w:eastAsia="仿宋_GB2312"/>
          <w:sz w:val="32"/>
          <w:szCs w:val="32"/>
        </w:rPr>
        <w:t>同步</w:t>
      </w:r>
      <w:r>
        <w:rPr>
          <w:rFonts w:hint="eastAsia" w:ascii="仿宋_GB2312" w:eastAsia="仿宋_GB2312"/>
          <w:sz w:val="32"/>
          <w:szCs w:val="32"/>
        </w:rPr>
        <w:t>制定新闻通稿和政策解读，通过主流媒体和新媒体做好宣传引导。及时准确发布新建商品房项目信息，做好预、现售商品房项目信息公示，按月曝光房地产经纪、住房租赁经营业务被投诉前10的企业名单，加强房地产经纪机构及其从业人员信息公示。自2018年9月1日开展网络平台房源发布专项执法检查以来，每周向社会公布检查结果，共曝光违规发布房源信息经纪机构145家。在持续加强房地产市场整治执法工作中，请新闻媒体参加一线执法，及时报道执法工作动态，并通过政务微信“安居北京”报道执法工作，促进房地产市场平稳健康发展。</w:t>
      </w:r>
    </w:p>
    <w:p w14:paraId="2F462136">
      <w:pPr>
        <w:spacing w:line="580" w:lineRule="exact"/>
        <w:ind w:firstLine="645"/>
        <w:jc w:val="left"/>
        <w:rPr>
          <w:rFonts w:ascii="楷体_GB2312" w:eastAsia="楷体_GB2312"/>
          <w:sz w:val="32"/>
          <w:szCs w:val="32"/>
        </w:rPr>
      </w:pPr>
      <w:r>
        <w:rPr>
          <w:rFonts w:hint="eastAsia" w:ascii="仿宋_GB2312" w:eastAsia="仿宋_GB2312"/>
          <w:b/>
          <w:sz w:val="32"/>
          <w:szCs w:val="32"/>
        </w:rPr>
        <w:t>在农村危房改造信息公开方面，</w:t>
      </w:r>
      <w:r>
        <w:rPr>
          <w:rFonts w:hint="eastAsia" w:ascii="仿宋_GB2312" w:eastAsia="仿宋_GB2312"/>
          <w:sz w:val="32"/>
          <w:szCs w:val="32"/>
        </w:rPr>
        <w:t>建立“新农村建设”专栏，</w:t>
      </w:r>
      <w:r>
        <w:rPr>
          <w:rFonts w:hint="eastAsia" w:ascii="仿宋_GB2312" w:eastAsia="仿宋_GB2312"/>
          <w:color w:val="000000" w:themeColor="text1"/>
          <w:sz w:val="32"/>
          <w:szCs w:val="32"/>
        </w:rPr>
        <w:t>及时发布农村危房改造政策，包括年度农村危房改造工作工作目标、改造任务、补助对象范围、补助资金标准、建设标准、工作流程等信息，通过政务微信“安居北京”及时发布政策解读。同时督促区级相关部门，落实好农村危房改造信息公开主体责任，加大对农村危房改造对象认定过程和改造结果的公开力度。</w:t>
      </w:r>
    </w:p>
    <w:p w14:paraId="13060BF9">
      <w:pPr>
        <w:spacing w:line="580" w:lineRule="exact"/>
        <w:ind w:firstLine="640" w:firstLineChars="200"/>
        <w:rPr>
          <w:rFonts w:ascii="楷体_GB2312" w:hAnsi="华文中宋" w:eastAsia="楷体_GB2312"/>
          <w:snapToGrid w:val="0"/>
          <w:kern w:val="0"/>
          <w:sz w:val="32"/>
          <w:szCs w:val="32"/>
        </w:rPr>
      </w:pPr>
      <w:r>
        <w:rPr>
          <w:rFonts w:hint="eastAsia" w:ascii="楷体_GB2312" w:hAnsi="华文中宋" w:eastAsia="楷体_GB2312"/>
          <w:snapToGrid w:val="0"/>
          <w:kern w:val="0"/>
          <w:sz w:val="32"/>
          <w:szCs w:val="32"/>
        </w:rPr>
        <w:t>（二）围绕公众关切，加强解读回应</w:t>
      </w:r>
    </w:p>
    <w:p w14:paraId="73B38061">
      <w:pPr>
        <w:spacing w:line="580" w:lineRule="exact"/>
        <w:ind w:firstLine="646"/>
        <w:jc w:val="left"/>
        <w:rPr>
          <w:rFonts w:ascii="仿宋_GB2312" w:eastAsia="仿宋_GB2312"/>
          <w:color w:val="000000" w:themeColor="text1"/>
          <w:sz w:val="32"/>
          <w:szCs w:val="32"/>
        </w:rPr>
      </w:pPr>
      <w:r>
        <w:rPr>
          <w:rFonts w:hint="eastAsia" w:ascii="仿宋_GB2312" w:eastAsia="仿宋_GB2312"/>
          <w:color w:val="000000" w:themeColor="text1"/>
          <w:sz w:val="32"/>
          <w:szCs w:val="32"/>
        </w:rPr>
        <w:t>坚持政策文件与政策解读同步研究、同步部署、同步推进，</w:t>
      </w:r>
      <w:r>
        <w:rPr>
          <w:rFonts w:hint="eastAsia" w:ascii="仿宋_GB2312" w:hAnsi="宋体" w:eastAsia="仿宋_GB2312"/>
          <w:color w:val="000000" w:themeColor="text1"/>
          <w:sz w:val="32"/>
          <w:szCs w:val="32"/>
        </w:rPr>
        <w:t>按照文件公布前、公布时、执行过程中三个阶段，把握好政策解读的节奏和力度。</w:t>
      </w:r>
      <w:r>
        <w:rPr>
          <w:rFonts w:hint="eastAsia" w:ascii="仿宋_GB2312" w:eastAsia="仿宋_GB2312"/>
          <w:color w:val="000000" w:themeColor="text1"/>
          <w:sz w:val="32"/>
          <w:szCs w:val="32"/>
        </w:rPr>
        <w:t>每次政策发布，均通过门户网站“政策解读”专栏、</w:t>
      </w:r>
      <w:r>
        <w:rPr>
          <w:rFonts w:hint="eastAsia" w:ascii="仿宋_GB2312" w:hAnsi="宋体" w:eastAsia="仿宋_GB2312"/>
          <w:color w:val="000000" w:themeColor="text1"/>
          <w:sz w:val="32"/>
          <w:szCs w:val="32"/>
        </w:rPr>
        <w:t>政务微博、微信、今日头条客户端等深入解读政策措施。</w:t>
      </w:r>
      <w:r>
        <w:rPr>
          <w:rFonts w:hint="eastAsia" w:ascii="仿宋_GB2312" w:eastAsia="仿宋_GB2312"/>
          <w:color w:val="000000" w:themeColor="text1"/>
          <w:sz w:val="32"/>
          <w:szCs w:val="32"/>
        </w:rPr>
        <w:t>委主要领导带头宣讲政策，通过参加“市民对话一把手”直播访谈，对“317系列新政”实施效果、2018年房地产市场调控政策、共有产权住房建设分配和老楼加装电梯等热点问题进行权威回应，通过接听12345非紧急救助热线电话，与公众开展互动交流。委新闻发言人、委领导班子成员共参加新闻发布会3场，对住房保障、优化营商环境、建筑节能与建设科技发展等一系列重点工作和重要政策进行详细解读。此外，还通过组织集体采访、发布新闻通稿、</w:t>
      </w:r>
      <w:r>
        <w:rPr>
          <w:rFonts w:hint="eastAsia" w:ascii="仿宋_GB2312" w:eastAsia="仿宋_GB2312"/>
          <w:sz w:val="32"/>
          <w:szCs w:val="32"/>
        </w:rPr>
        <w:t>动画视频等多种形式，</w:t>
      </w:r>
      <w:r>
        <w:rPr>
          <w:rFonts w:hint="eastAsia" w:ascii="仿宋_GB2312" w:eastAsia="仿宋_GB2312"/>
          <w:color w:val="000000" w:themeColor="text1"/>
          <w:sz w:val="32"/>
          <w:szCs w:val="32"/>
        </w:rPr>
        <w:t>对精简审批要件办理施工许可证、社会投资建设项目联合验收、</w:t>
      </w:r>
      <w:r>
        <w:rPr>
          <w:rFonts w:hint="eastAsia" w:ascii="仿宋_GB2312" w:eastAsia="仿宋_GB2312" w:cs="仿宋"/>
          <w:sz w:val="32"/>
          <w:szCs w:val="32"/>
        </w:rPr>
        <w:t>电子化招投标、</w:t>
      </w:r>
      <w:r>
        <w:rPr>
          <w:rFonts w:hint="eastAsia" w:ascii="仿宋_GB2312" w:hAnsi="仿宋" w:eastAsia="仿宋_GB2312"/>
          <w:sz w:val="32"/>
          <w:szCs w:val="32"/>
        </w:rPr>
        <w:t>施工扬尘污染防治</w:t>
      </w:r>
      <w:r>
        <w:rPr>
          <w:rFonts w:hint="eastAsia" w:ascii="仿宋_GB2312" w:eastAsia="仿宋_GB2312" w:cs="仿宋"/>
          <w:sz w:val="32"/>
          <w:szCs w:val="32"/>
        </w:rPr>
        <w:t>等进行宣传解读</w:t>
      </w:r>
      <w:r>
        <w:rPr>
          <w:rFonts w:hint="eastAsia" w:ascii="仿宋_GB2312" w:eastAsia="仿宋_GB2312"/>
          <w:color w:val="000000" w:themeColor="text1"/>
          <w:sz w:val="32"/>
          <w:szCs w:val="32"/>
        </w:rPr>
        <w:t>。同时，注重加强政务舆情的收集、研判工作，妥善回应房租上涨、公租房违规转租转借等舆情事件。</w:t>
      </w:r>
      <w:r>
        <w:rPr>
          <w:rFonts w:ascii="仿宋_GB2312" w:eastAsia="仿宋_GB2312"/>
          <w:color w:val="000000" w:themeColor="text1"/>
          <w:sz w:val="32"/>
          <w:szCs w:val="32"/>
        </w:rPr>
        <w:t xml:space="preserve"> </w:t>
      </w:r>
    </w:p>
    <w:p w14:paraId="78443B6E">
      <w:pPr>
        <w:spacing w:line="580" w:lineRule="exact"/>
        <w:ind w:firstLine="645"/>
        <w:rPr>
          <w:rFonts w:ascii="仿宋_GB2312" w:eastAsia="仿宋_GB2312"/>
          <w:sz w:val="32"/>
          <w:szCs w:val="32"/>
        </w:rPr>
      </w:pPr>
    </w:p>
    <w:p w14:paraId="2C5683AC">
      <w:pPr>
        <w:spacing w:line="580" w:lineRule="exact"/>
        <w:ind w:firstLine="645"/>
        <w:rPr>
          <w:rFonts w:ascii="仿宋_GB2312" w:eastAsia="仿宋_GB2312"/>
          <w:sz w:val="32"/>
          <w:szCs w:val="32"/>
        </w:rPr>
      </w:pPr>
    </w:p>
    <w:p w14:paraId="64C36206">
      <w:pPr>
        <w:spacing w:line="580" w:lineRule="exact"/>
        <w:rPr>
          <w:rFonts w:ascii="仿宋_GB2312" w:eastAsia="仿宋_GB2312"/>
          <w:sz w:val="32"/>
          <w:szCs w:val="32"/>
        </w:rPr>
      </w:pPr>
    </w:p>
    <w:p w14:paraId="1A402B0C">
      <w:pPr>
        <w:spacing w:line="580" w:lineRule="exact"/>
        <w:ind w:firstLine="645"/>
        <w:rPr>
          <w:rFonts w:ascii="仿宋_GB2312" w:eastAsia="仿宋_GB2312"/>
          <w:sz w:val="32"/>
          <w:szCs w:val="32"/>
        </w:rPr>
      </w:pPr>
      <w:bookmarkStart w:id="8" w:name="OLE_LINK9"/>
      <w:r>
        <w:rPr>
          <w:rFonts w:ascii="仿宋_GB2312" w:eastAsia="仿宋_GB2312"/>
          <w:sz w:val="32"/>
          <w:szCs w:val="32"/>
        </w:rPr>
        <w:drawing>
          <wp:anchor distT="0" distB="0" distL="114300" distR="114300" simplePos="0" relativeHeight="251663360" behindDoc="0" locked="0" layoutInCell="1" allowOverlap="1">
            <wp:simplePos x="0" y="0"/>
            <wp:positionH relativeFrom="column">
              <wp:posOffset>925195</wp:posOffset>
            </wp:positionH>
            <wp:positionV relativeFrom="paragraph">
              <wp:posOffset>134620</wp:posOffset>
            </wp:positionV>
            <wp:extent cx="3848100" cy="2515870"/>
            <wp:effectExtent l="0" t="0" r="0" b="0"/>
            <wp:wrapNone/>
            <wp:docPr id="10" name="图片 10" descr="E:\2018年工作\20190108数据报送和年度报告\20190122处室报送图片素材\微信图片_2019012214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18年工作\20190108数据报送和年度报告\20190122处室报送图片素材\微信图片_201901221446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8100" cy="2515870"/>
                    </a:xfrm>
                    <a:prstGeom prst="rect">
                      <a:avLst/>
                    </a:prstGeom>
                    <a:noFill/>
                    <a:ln>
                      <a:noFill/>
                    </a:ln>
                  </pic:spPr>
                </pic:pic>
              </a:graphicData>
            </a:graphic>
          </wp:anchor>
        </w:drawing>
      </w:r>
    </w:p>
    <w:p w14:paraId="62927032">
      <w:pPr>
        <w:spacing w:line="580" w:lineRule="exact"/>
        <w:ind w:firstLine="645"/>
        <w:rPr>
          <w:rFonts w:ascii="仿宋_GB2312" w:eastAsia="仿宋_GB2312"/>
          <w:sz w:val="32"/>
          <w:szCs w:val="32"/>
        </w:rPr>
      </w:pPr>
    </w:p>
    <w:p w14:paraId="1A729D2D">
      <w:pPr>
        <w:spacing w:line="580" w:lineRule="exact"/>
        <w:ind w:firstLine="645"/>
        <w:rPr>
          <w:rFonts w:ascii="仿宋_GB2312" w:eastAsia="仿宋_GB2312"/>
          <w:sz w:val="32"/>
          <w:szCs w:val="32"/>
        </w:rPr>
      </w:pPr>
    </w:p>
    <w:p w14:paraId="3E24A727">
      <w:pPr>
        <w:spacing w:line="580" w:lineRule="exact"/>
        <w:ind w:firstLine="1560" w:firstLineChars="650"/>
        <w:rPr>
          <w:rFonts w:ascii="Arial" w:hAnsi="Arial" w:cs="Arial"/>
          <w:kern w:val="0"/>
          <w:sz w:val="24"/>
        </w:rPr>
      </w:pPr>
    </w:p>
    <w:p w14:paraId="785DDDCC">
      <w:pPr>
        <w:spacing w:line="580" w:lineRule="exact"/>
        <w:ind w:firstLine="1560" w:firstLineChars="650"/>
        <w:rPr>
          <w:rFonts w:ascii="Arial" w:hAnsi="Arial" w:cs="Arial"/>
          <w:kern w:val="0"/>
          <w:sz w:val="24"/>
        </w:rPr>
      </w:pPr>
    </w:p>
    <w:p w14:paraId="6E586DD4">
      <w:pPr>
        <w:spacing w:line="580" w:lineRule="exact"/>
        <w:ind w:firstLine="1560" w:firstLineChars="650"/>
        <w:rPr>
          <w:rFonts w:ascii="Arial" w:hAnsi="Arial" w:cs="Arial"/>
          <w:kern w:val="0"/>
          <w:sz w:val="24"/>
        </w:rPr>
      </w:pPr>
    </w:p>
    <w:p w14:paraId="6387E9BC">
      <w:pPr>
        <w:spacing w:line="580" w:lineRule="exact"/>
        <w:ind w:firstLine="1560" w:firstLineChars="650"/>
        <w:rPr>
          <w:rFonts w:ascii="Arial" w:hAnsi="Arial" w:cs="Arial"/>
          <w:kern w:val="0"/>
          <w:sz w:val="24"/>
        </w:rPr>
      </w:pPr>
    </w:p>
    <w:p w14:paraId="1198C957">
      <w:pPr>
        <w:spacing w:line="580" w:lineRule="exact"/>
        <w:ind w:firstLine="1560" w:firstLineChars="650"/>
        <w:rPr>
          <w:rFonts w:ascii="仿宋_GB2312" w:eastAsia="仿宋_GB2312"/>
          <w:sz w:val="32"/>
          <w:szCs w:val="32"/>
        </w:rPr>
      </w:pPr>
      <w:r>
        <w:rPr>
          <w:rFonts w:ascii="Arial" w:hAnsi="Arial" w:cs="Arial"/>
          <w:kern w:val="0"/>
          <w:sz w:val="24"/>
        </w:rPr>
        <w:t>（图</w:t>
      </w:r>
      <w:r>
        <w:rPr>
          <w:rFonts w:hint="eastAsia" w:ascii="Arial" w:hAnsi="Arial" w:cs="Arial"/>
          <w:kern w:val="0"/>
          <w:sz w:val="24"/>
        </w:rPr>
        <w:t>5. 委主要领导参加“市民对话一把手”直播访谈</w:t>
      </w:r>
      <w:r>
        <w:rPr>
          <w:rFonts w:ascii="Arial" w:hAnsi="Arial" w:cs="Arial"/>
          <w:kern w:val="0"/>
          <w:sz w:val="24"/>
        </w:rPr>
        <w:t>）</w:t>
      </w:r>
    </w:p>
    <w:p w14:paraId="10D74901">
      <w:pPr>
        <w:spacing w:line="580" w:lineRule="exact"/>
        <w:ind w:firstLine="645"/>
        <w:rPr>
          <w:rFonts w:ascii="楷体_GB2312" w:hAnsi="华文中宋" w:eastAsia="楷体_GB2312"/>
          <w:snapToGrid w:val="0"/>
          <w:kern w:val="0"/>
          <w:sz w:val="32"/>
          <w:szCs w:val="32"/>
        </w:rPr>
      </w:pPr>
      <w:r>
        <w:rPr>
          <w:rFonts w:hint="eastAsia" w:ascii="楷体_GB2312" w:hAnsi="华文中宋" w:eastAsia="楷体_GB2312"/>
          <w:snapToGrid w:val="0"/>
          <w:kern w:val="0"/>
          <w:sz w:val="32"/>
          <w:szCs w:val="32"/>
        </w:rPr>
        <w:t>（三）围绕办事需求，优化政务服务</w:t>
      </w:r>
    </w:p>
    <w:p w14:paraId="01D44E28">
      <w:pPr>
        <w:spacing w:line="580" w:lineRule="exact"/>
        <w:ind w:firstLine="643" w:firstLineChars="200"/>
        <w:rPr>
          <w:rFonts w:ascii="仿宋_GB2312" w:eastAsia="仿宋_GB2312" w:cs="宋体"/>
          <w:kern w:val="0"/>
          <w:sz w:val="32"/>
          <w:szCs w:val="32"/>
          <w:lang w:val="zh-CN"/>
        </w:rPr>
      </w:pPr>
      <w:r>
        <w:rPr>
          <w:rFonts w:hint="eastAsia" w:ascii="仿宋_GB2312" w:hAnsi="仿宋_GB2312" w:eastAsia="仿宋_GB2312" w:cs="仿宋_GB2312"/>
          <w:b/>
          <w:sz w:val="32"/>
          <w:szCs w:val="32"/>
        </w:rPr>
        <w:t>在推进网上办事服务公开方面，</w:t>
      </w:r>
      <w:r>
        <w:rPr>
          <w:rFonts w:hint="eastAsia" w:ascii="仿宋_GB2312" w:hAnsi="仿宋_GB2312" w:eastAsia="仿宋_GB2312" w:cs="仿宋_GB2312"/>
          <w:sz w:val="32"/>
          <w:szCs w:val="32"/>
        </w:rPr>
        <w:t>实现施工许可、建设工程企业资质以及部分从业人员的证书电子化，</w:t>
      </w:r>
      <w:r>
        <w:rPr>
          <w:rFonts w:hint="eastAsia" w:ascii="仿宋_GB2312" w:eastAsia="仿宋_GB2312"/>
          <w:sz w:val="32"/>
          <w:szCs w:val="32"/>
        </w:rPr>
        <w:t>降低了办事人员的取证成本，减少了跑腿次数，增加了证书的安全可靠性</w:t>
      </w:r>
      <w:r>
        <w:rPr>
          <w:rFonts w:hint="eastAsia" w:ascii="仿宋_GB2312" w:hAnsi="仿宋_GB2312" w:eastAsia="仿宋_GB2312" w:cs="仿宋_GB2312"/>
          <w:sz w:val="32"/>
          <w:szCs w:val="32"/>
        </w:rPr>
        <w:t>。</w:t>
      </w:r>
      <w:r>
        <w:rPr>
          <w:rFonts w:hint="eastAsia" w:ascii="仿宋_GB2312" w:eastAsia="仿宋_GB2312" w:cs="宋体"/>
          <w:kern w:val="0"/>
          <w:sz w:val="32"/>
          <w:szCs w:val="32"/>
          <w:lang w:val="zh-CN"/>
        </w:rPr>
        <w:t>实现“法人一证通数字证书”统一登录认证，企事业单位及人员可通过“一证通”直接登录我委网上办事大厅办理相关业务。</w:t>
      </w:r>
      <w:r>
        <w:rPr>
          <w:rFonts w:hint="eastAsia" w:ascii="仿宋_GB2312" w:hAnsi="华文中宋" w:eastAsia="仿宋_GB2312"/>
          <w:color w:val="000000"/>
          <w:sz w:val="32"/>
          <w:szCs w:val="32"/>
        </w:rPr>
        <w:t>在投资项目审批过程中，将我委业务系统与市投资项目在线审批监管平台进行对接，保障市区两级审批大厅的“一站式”审批顺利完成。</w:t>
      </w:r>
    </w:p>
    <w:p w14:paraId="6C8C3ACF">
      <w:pPr>
        <w:spacing w:line="580" w:lineRule="exact"/>
        <w:ind w:firstLine="643" w:firstLineChars="200"/>
        <w:rPr>
          <w:rFonts w:ascii="仿宋_GB2312" w:hAnsi="仿宋_GB2312" w:eastAsia="仿宋_GB2312" w:cs="仿宋_GB2312"/>
          <w:sz w:val="32"/>
          <w:szCs w:val="32"/>
        </w:rPr>
      </w:pPr>
      <w:r>
        <w:rPr>
          <w:rFonts w:hint="eastAsia" w:ascii="仿宋_GB2312" w:hAnsi="华文中宋" w:eastAsia="仿宋_GB2312"/>
          <w:b/>
          <w:color w:val="000000"/>
          <w:sz w:val="32"/>
          <w:szCs w:val="32"/>
        </w:rPr>
        <w:t>在规范实体政务大厅建设方面，</w:t>
      </w:r>
      <w:r>
        <w:rPr>
          <w:rFonts w:hint="eastAsia" w:ascii="仿宋_GB2312" w:hAnsi="仿宋_GB2312" w:eastAsia="仿宋_GB2312" w:cs="仿宋_GB2312"/>
          <w:sz w:val="32"/>
          <w:szCs w:val="32"/>
        </w:rPr>
        <w:t>积极落实事项“一站式”办理，目前我委142项审批服务事项进驻市政务服务中心，实现“一口进出、内部流转”。绝大部分证书的变更、补办等简单事项实现在大厅即时办结。</w:t>
      </w:r>
    </w:p>
    <w:p w14:paraId="43796585">
      <w:pPr>
        <w:spacing w:line="580" w:lineRule="exact"/>
        <w:ind w:firstLine="643" w:firstLineChars="200"/>
        <w:rPr>
          <w:rFonts w:ascii="仿宋_GB2312" w:eastAsia="仿宋_GB2312"/>
          <w:sz w:val="32"/>
          <w:szCs w:val="32"/>
        </w:rPr>
      </w:pPr>
      <w:r>
        <w:rPr>
          <w:rFonts w:hint="eastAsia" w:ascii="仿宋_GB2312" w:hAnsi="华文中宋" w:eastAsia="仿宋_GB2312"/>
          <w:b/>
          <w:color w:val="000000"/>
          <w:sz w:val="32"/>
          <w:szCs w:val="32"/>
        </w:rPr>
        <w:t>在优化审批办事服务方面，</w:t>
      </w:r>
      <w:r>
        <w:rPr>
          <w:rFonts w:hint="eastAsia" w:ascii="仿宋_GB2312" w:hAnsi="仿宋_GB2312" w:eastAsia="仿宋_GB2312" w:cs="仿宋_GB2312"/>
          <w:sz w:val="32"/>
          <w:szCs w:val="32"/>
        </w:rPr>
        <w:t>动态更新网上办事服务信息，</w:t>
      </w:r>
      <w:r>
        <w:rPr>
          <w:rFonts w:hint="eastAsia" w:ascii="仿宋_GB2312" w:hAnsi="宋体" w:eastAsia="仿宋_GB2312"/>
          <w:sz w:val="32"/>
          <w:szCs w:val="32"/>
        </w:rPr>
        <w:t>确保首都之窗、我委门户网站公布办事指南的准确性</w:t>
      </w:r>
      <w:r>
        <w:rPr>
          <w:rFonts w:hint="eastAsia" w:ascii="仿宋_GB2312" w:eastAsia="仿宋_GB2312" w:cs="宋体"/>
          <w:kern w:val="0"/>
          <w:sz w:val="32"/>
          <w:szCs w:val="32"/>
          <w:lang w:val="zh-CN"/>
        </w:rPr>
        <w:t>。</w:t>
      </w:r>
      <w:r>
        <w:rPr>
          <w:rFonts w:hint="eastAsia" w:ascii="仿宋_GB2312" w:eastAsia="仿宋_GB2312"/>
          <w:sz w:val="32"/>
          <w:szCs w:val="32"/>
        </w:rPr>
        <w:t>印发《关于做好工程建设项目审批制度改革试点工作的通知》（京建发〔</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470</w:t>
      </w:r>
      <w:r>
        <w:rPr>
          <w:rFonts w:hint="eastAsia" w:ascii="仿宋_GB2312" w:eastAsia="仿宋_GB2312"/>
          <w:sz w:val="32"/>
          <w:szCs w:val="32"/>
        </w:rPr>
        <w:t>号），将施工许可审批时限从法定的</w:t>
      </w:r>
      <w:r>
        <w:rPr>
          <w:rFonts w:ascii="仿宋_GB2312" w:eastAsia="仿宋_GB2312"/>
          <w:sz w:val="32"/>
          <w:szCs w:val="32"/>
        </w:rPr>
        <w:t>15</w:t>
      </w:r>
      <w:r>
        <w:rPr>
          <w:rFonts w:hint="eastAsia" w:ascii="仿宋_GB2312" w:eastAsia="仿宋_GB2312"/>
          <w:sz w:val="32"/>
          <w:szCs w:val="32"/>
        </w:rPr>
        <w:t>天压缩为</w:t>
      </w:r>
      <w:r>
        <w:rPr>
          <w:rFonts w:ascii="仿宋_GB2312" w:eastAsia="仿宋_GB2312"/>
          <w:sz w:val="32"/>
          <w:szCs w:val="32"/>
        </w:rPr>
        <w:t>5</w:t>
      </w:r>
      <w:r>
        <w:rPr>
          <w:rFonts w:hint="eastAsia" w:ascii="仿宋_GB2312" w:eastAsia="仿宋_GB2312"/>
          <w:sz w:val="32"/>
          <w:szCs w:val="32"/>
        </w:rPr>
        <w:t>个工作日，大大缩短办理施工许可证的时间。</w:t>
      </w:r>
    </w:p>
    <w:p w14:paraId="16FE546E">
      <w:pPr>
        <w:spacing w:line="580" w:lineRule="exact"/>
        <w:ind w:firstLine="640" w:firstLineChars="200"/>
        <w:rPr>
          <w:rFonts w:ascii="楷体_GB2312" w:hAnsi="华文中宋" w:eastAsia="楷体_GB2312"/>
          <w:snapToGrid w:val="0"/>
          <w:kern w:val="0"/>
          <w:sz w:val="32"/>
          <w:szCs w:val="32"/>
        </w:rPr>
      </w:pPr>
      <w:r>
        <w:rPr>
          <w:rFonts w:hint="eastAsia" w:ascii="楷体_GB2312" w:hAnsi="华文中宋" w:eastAsia="楷体_GB2312"/>
          <w:snapToGrid w:val="0"/>
          <w:kern w:val="0"/>
          <w:sz w:val="32"/>
          <w:szCs w:val="32"/>
        </w:rPr>
        <w:t>（四）围绕利企便民，优化公开平台建设</w:t>
      </w:r>
    </w:p>
    <w:p w14:paraId="01F9C779">
      <w:pPr>
        <w:spacing w:line="580" w:lineRule="exact"/>
        <w:ind w:firstLine="640"/>
        <w:rPr>
          <w:rFonts w:ascii="仿宋_GB2312" w:hAnsi="华文中宋" w:eastAsia="仿宋_GB2312"/>
          <w:color w:val="000000"/>
          <w:sz w:val="32"/>
          <w:szCs w:val="32"/>
        </w:rPr>
      </w:pPr>
      <w:r>
        <w:rPr>
          <w:rFonts w:hint="eastAsia" w:ascii="仿宋_GB2312" w:hAnsi="华文中宋" w:eastAsia="仿宋_GB2312"/>
          <w:b/>
          <w:color w:val="000000"/>
          <w:sz w:val="32"/>
          <w:szCs w:val="32"/>
        </w:rPr>
        <w:t>强化门户网站建设管理。</w:t>
      </w:r>
      <w:r>
        <w:rPr>
          <w:rFonts w:hint="eastAsia" w:ascii="仿宋_GB2312" w:hAnsi="华文中宋" w:eastAsia="仿宋_GB2312"/>
          <w:color w:val="000000"/>
          <w:sz w:val="32"/>
          <w:szCs w:val="32"/>
        </w:rPr>
        <w:t>按照《政府网站发展指引》要求，对门户网站的管理职责、</w:t>
      </w:r>
      <w:r>
        <w:rPr>
          <w:rFonts w:hint="eastAsia" w:ascii="仿宋_GB2312" w:eastAsia="仿宋_GB2312"/>
          <w:sz w:val="32"/>
          <w:szCs w:val="32"/>
        </w:rPr>
        <w:t>功能布局、工作机制</w:t>
      </w:r>
      <w:r>
        <w:rPr>
          <w:rFonts w:hint="eastAsia" w:ascii="仿宋_GB2312" w:hAnsi="华文中宋" w:eastAsia="仿宋_GB2312"/>
          <w:color w:val="000000"/>
          <w:sz w:val="32"/>
          <w:szCs w:val="32"/>
        </w:rPr>
        <w:t>进行相应调整，明确办公室为门户网站的主管、主办部门。完成门户网站域名调整工作，新建“通报”专栏，集中展示警示、表彰信息和风采展示视频，助力社会信用体系建设，维护市场秩序，保护群众权益。同时，加强对网站的安全检查，通过技术手段及时发现问题及时整改，保证系统安全。</w:t>
      </w:r>
    </w:p>
    <w:p w14:paraId="29947E15">
      <w:pPr>
        <w:spacing w:line="580" w:lineRule="exact"/>
        <w:ind w:firstLine="640"/>
        <w:rPr>
          <w:rFonts w:ascii="仿宋_GB2312" w:hAnsi="华文中宋" w:eastAsia="仿宋_GB2312"/>
          <w:color w:val="000000"/>
          <w:sz w:val="32"/>
          <w:szCs w:val="32"/>
        </w:rPr>
      </w:pPr>
      <w:r>
        <w:drawing>
          <wp:anchor distT="0" distB="0" distL="114300" distR="114300" simplePos="0" relativeHeight="251664384" behindDoc="0" locked="0" layoutInCell="1" allowOverlap="1">
            <wp:simplePos x="0" y="0"/>
            <wp:positionH relativeFrom="column">
              <wp:posOffset>629920</wp:posOffset>
            </wp:positionH>
            <wp:positionV relativeFrom="paragraph">
              <wp:posOffset>54610</wp:posOffset>
            </wp:positionV>
            <wp:extent cx="4342130" cy="227647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rcRect l="10242" t="25834" r="10592" b="7777"/>
                    <a:stretch>
                      <a:fillRect/>
                    </a:stretch>
                  </pic:blipFill>
                  <pic:spPr>
                    <a:xfrm>
                      <a:off x="0" y="0"/>
                      <a:ext cx="4342297" cy="2276475"/>
                    </a:xfrm>
                    <a:prstGeom prst="rect">
                      <a:avLst/>
                    </a:prstGeom>
                    <a:ln>
                      <a:noFill/>
                    </a:ln>
                  </pic:spPr>
                </pic:pic>
              </a:graphicData>
            </a:graphic>
          </wp:anchor>
        </w:drawing>
      </w:r>
    </w:p>
    <w:p w14:paraId="7532CEA8">
      <w:pPr>
        <w:spacing w:line="580" w:lineRule="exact"/>
        <w:ind w:firstLine="640"/>
        <w:rPr>
          <w:rFonts w:ascii="仿宋_GB2312" w:hAnsi="华文中宋" w:eastAsia="仿宋_GB2312"/>
          <w:color w:val="000000"/>
          <w:sz w:val="32"/>
          <w:szCs w:val="32"/>
        </w:rPr>
      </w:pPr>
    </w:p>
    <w:p w14:paraId="14CDB31A">
      <w:pPr>
        <w:spacing w:line="580" w:lineRule="exact"/>
        <w:ind w:firstLine="640"/>
        <w:rPr>
          <w:rFonts w:ascii="仿宋_GB2312" w:hAnsi="华文中宋" w:eastAsia="仿宋_GB2312"/>
          <w:color w:val="000000"/>
          <w:sz w:val="32"/>
          <w:szCs w:val="32"/>
        </w:rPr>
      </w:pPr>
    </w:p>
    <w:p w14:paraId="0C4E51A0">
      <w:pPr>
        <w:spacing w:line="580" w:lineRule="exact"/>
        <w:ind w:firstLine="640"/>
        <w:rPr>
          <w:rFonts w:ascii="仿宋_GB2312" w:hAnsi="华文中宋" w:eastAsia="仿宋_GB2312"/>
          <w:color w:val="000000"/>
          <w:sz w:val="32"/>
          <w:szCs w:val="32"/>
        </w:rPr>
      </w:pPr>
    </w:p>
    <w:p w14:paraId="0AEEAC8E">
      <w:pPr>
        <w:spacing w:line="580" w:lineRule="exact"/>
        <w:ind w:firstLine="640"/>
        <w:rPr>
          <w:rFonts w:ascii="仿宋_GB2312" w:hAnsi="华文中宋" w:eastAsia="仿宋_GB2312"/>
          <w:color w:val="000000"/>
          <w:sz w:val="32"/>
          <w:szCs w:val="32"/>
        </w:rPr>
      </w:pPr>
    </w:p>
    <w:p w14:paraId="5C2D86A7">
      <w:pPr>
        <w:spacing w:line="580" w:lineRule="exact"/>
        <w:ind w:firstLine="640"/>
        <w:rPr>
          <w:rFonts w:ascii="仿宋_GB2312" w:hAnsi="华文中宋" w:eastAsia="仿宋_GB2312"/>
          <w:color w:val="000000"/>
          <w:sz w:val="32"/>
          <w:szCs w:val="32"/>
        </w:rPr>
      </w:pPr>
    </w:p>
    <w:p w14:paraId="57676434">
      <w:pPr>
        <w:spacing w:line="580" w:lineRule="exact"/>
        <w:ind w:firstLine="2640" w:firstLineChars="1100"/>
        <w:jc w:val="left"/>
        <w:rPr>
          <w:rFonts w:ascii="仿宋_GB2312" w:hAnsi="华文仿宋" w:eastAsia="仿宋_GB2312"/>
          <w:sz w:val="32"/>
          <w:szCs w:val="32"/>
        </w:rPr>
      </w:pPr>
      <w:r>
        <w:rPr>
          <w:rFonts w:ascii="Arial" w:hAnsi="Arial" w:cs="Arial"/>
          <w:kern w:val="0"/>
          <w:sz w:val="24"/>
        </w:rPr>
        <w:t>（图</w:t>
      </w:r>
      <w:r>
        <w:rPr>
          <w:rFonts w:hint="eastAsia" w:ascii="Arial" w:hAnsi="Arial" w:cs="Arial"/>
          <w:kern w:val="0"/>
          <w:sz w:val="24"/>
        </w:rPr>
        <w:t>6. 门户网站“通报”专栏</w:t>
      </w:r>
      <w:r>
        <w:rPr>
          <w:rFonts w:ascii="Arial" w:hAnsi="Arial" w:cs="Arial"/>
          <w:kern w:val="0"/>
          <w:sz w:val="24"/>
        </w:rPr>
        <w:t>）</w:t>
      </w:r>
    </w:p>
    <w:p w14:paraId="5DEAEA5F">
      <w:pPr>
        <w:spacing w:line="580" w:lineRule="exact"/>
        <w:ind w:firstLine="640"/>
        <w:rPr>
          <w:rFonts w:ascii="仿宋_GB2312" w:hAnsi="华文中宋" w:eastAsia="仿宋_GB2312"/>
          <w:color w:val="000000"/>
          <w:sz w:val="32"/>
          <w:szCs w:val="32"/>
        </w:rPr>
      </w:pPr>
      <w:r>
        <w:rPr>
          <w:rFonts w:hint="eastAsia" w:ascii="仿宋_GB2312" w:hAnsi="华文中宋" w:eastAsia="仿宋_GB2312"/>
          <w:b/>
          <w:color w:val="000000"/>
          <w:sz w:val="32"/>
          <w:szCs w:val="32"/>
        </w:rPr>
        <w:t>用好“两微一端”新平台。</w:t>
      </w:r>
      <w:r>
        <w:rPr>
          <w:rFonts w:hint="eastAsia" w:ascii="仿宋_GB2312" w:eastAsia="仿宋_GB2312"/>
          <w:color w:val="000000" w:themeColor="text1"/>
          <w:sz w:val="32"/>
          <w:szCs w:val="32"/>
        </w:rPr>
        <w:t>按照分众传播需求，整合传统媒体、门户网站、客户端和“两微”公众号、今日头条、腾讯、澎湃、现场云、喜马拉雅等新媒体平台，打造具有图、文、影、音四大功效的融媒体立体矩阵。</w:t>
      </w:r>
      <w:r>
        <w:rPr>
          <w:rFonts w:hint="eastAsia" w:ascii="仿宋_GB2312" w:eastAsia="仿宋_GB2312"/>
          <w:sz w:val="32"/>
          <w:szCs w:val="32"/>
        </w:rPr>
        <w:t>2018年，“安居北京”新媒体平台粉丝总数累计近135万，总阅读数超3000万次。建立新媒体发布审核机制，发布内容以新闻通稿、政策解读、官方声明、便民服务为主，充分利用一图读懂、二维动画、视频直播等形式，不断提高内容的可用性、实用性、易用性。</w:t>
      </w:r>
      <w:r>
        <w:rPr>
          <w:rFonts w:hint="eastAsia" w:ascii="仿宋_GB2312" w:hAnsi="华文中宋" w:eastAsia="仿宋_GB2312"/>
          <w:color w:val="000000"/>
          <w:sz w:val="32"/>
          <w:szCs w:val="32"/>
        </w:rPr>
        <w:t>我委自主建设的“</w:t>
      </w:r>
      <w:r>
        <w:rPr>
          <w:rFonts w:ascii="仿宋_GB2312" w:hAnsi="华文中宋" w:eastAsia="仿宋_GB2312"/>
          <w:color w:val="000000"/>
          <w:sz w:val="32"/>
          <w:szCs w:val="32"/>
        </w:rPr>
        <w:t>北京住建网</w:t>
      </w:r>
      <w:r>
        <w:rPr>
          <w:rFonts w:hint="eastAsia" w:ascii="仿宋_GB2312" w:hAnsi="华文中宋" w:eastAsia="仿宋_GB2312"/>
          <w:color w:val="000000"/>
          <w:sz w:val="32"/>
          <w:szCs w:val="32"/>
        </w:rPr>
        <w:t>”</w:t>
      </w:r>
      <w:r>
        <w:rPr>
          <w:rFonts w:ascii="仿宋_GB2312" w:hAnsi="华文中宋" w:eastAsia="仿宋_GB2312"/>
          <w:color w:val="000000"/>
          <w:sz w:val="32"/>
          <w:szCs w:val="32"/>
        </w:rPr>
        <w:t>App移动终端应用软件</w:t>
      </w:r>
      <w:r>
        <w:rPr>
          <w:rFonts w:hint="eastAsia" w:ascii="仿宋_GB2312" w:hAnsi="华文中宋" w:eastAsia="仿宋_GB2312"/>
          <w:color w:val="000000"/>
          <w:sz w:val="32"/>
          <w:szCs w:val="32"/>
        </w:rPr>
        <w:t>，与门户网站数据实时同步，集合信息公开、政民互动、共有产权住房查询三大功能，截至目前，访问总量约20万次，日均访问量约1100次，关注用户约8万。</w:t>
      </w:r>
    </w:p>
    <w:p w14:paraId="1FD57B61">
      <w:pPr>
        <w:spacing w:line="580" w:lineRule="exact"/>
        <w:ind w:firstLine="640" w:firstLineChars="200"/>
        <w:rPr>
          <w:rFonts w:ascii="楷体_GB2312" w:hAnsi="华文中宋" w:eastAsia="楷体_GB2312"/>
          <w:snapToGrid w:val="0"/>
          <w:kern w:val="0"/>
          <w:sz w:val="32"/>
          <w:szCs w:val="32"/>
        </w:rPr>
      </w:pPr>
      <w:r>
        <w:rPr>
          <w:rFonts w:hint="eastAsia" w:ascii="楷体_GB2312" w:hAnsi="华文中宋" w:eastAsia="楷体_GB2312"/>
          <w:snapToGrid w:val="0"/>
          <w:kern w:val="0"/>
          <w:sz w:val="32"/>
          <w:szCs w:val="32"/>
        </w:rPr>
        <w:t>（五）强化组织领导，健全工作机制</w:t>
      </w:r>
    </w:p>
    <w:p w14:paraId="5CDBCFDB">
      <w:pPr>
        <w:spacing w:line="580" w:lineRule="exact"/>
        <w:ind w:firstLine="640" w:firstLineChars="200"/>
        <w:rPr>
          <w:rFonts w:ascii="仿宋_GB2312" w:hAnsi="华文中宋" w:eastAsia="仿宋_GB2312"/>
          <w:snapToGrid w:val="0"/>
          <w:kern w:val="0"/>
          <w:sz w:val="32"/>
          <w:szCs w:val="32"/>
        </w:rPr>
      </w:pPr>
      <w:r>
        <w:rPr>
          <w:rFonts w:hint="eastAsia" w:ascii="仿宋_GB2312" w:eastAsia="仿宋_GB2312"/>
          <w:sz w:val="32"/>
          <w:szCs w:val="32"/>
        </w:rPr>
        <w:t>我委主要领导及主管领导高度重视政务公开工作，多次对政务公开清单管理、门户网站建设和宣传解读工作作出部署，并就依申请难点问题进行专题研究。</w:t>
      </w:r>
      <w:r>
        <w:rPr>
          <w:rFonts w:hint="eastAsia" w:ascii="仿宋_GB2312" w:hAnsi="仿宋_GB2312" w:eastAsia="仿宋_GB2312"/>
          <w:sz w:val="32"/>
          <w:szCs w:val="18"/>
        </w:rPr>
        <w:t>办公室、法制处、宣传中心、信息中心各负其责，密切配合，</w:t>
      </w:r>
      <w:r>
        <w:rPr>
          <w:rFonts w:hint="eastAsia" w:ascii="仿宋_GB2312" w:eastAsia="仿宋_GB2312"/>
          <w:sz w:val="32"/>
          <w:szCs w:val="32"/>
        </w:rPr>
        <w:t>统筹推进</w:t>
      </w:r>
      <w:r>
        <w:rPr>
          <w:rFonts w:hint="eastAsia" w:ascii="仿宋_GB2312" w:hAnsi="华文中宋" w:eastAsia="仿宋_GB2312"/>
          <w:snapToGrid w:val="0"/>
          <w:kern w:val="0"/>
          <w:sz w:val="32"/>
          <w:szCs w:val="32"/>
        </w:rPr>
        <w:t>全委政务公开工作</w:t>
      </w:r>
      <w:r>
        <w:rPr>
          <w:rFonts w:hint="eastAsia" w:ascii="仿宋_GB2312" w:eastAsia="仿宋_GB2312"/>
          <w:sz w:val="32"/>
          <w:szCs w:val="32"/>
        </w:rPr>
        <w:t>。</w:t>
      </w:r>
      <w:r>
        <w:rPr>
          <w:rFonts w:hint="eastAsia" w:ascii="仿宋_GB2312" w:hAnsi="华文中宋" w:eastAsia="仿宋_GB2312"/>
          <w:snapToGrid w:val="0"/>
          <w:kern w:val="0"/>
          <w:sz w:val="32"/>
          <w:szCs w:val="32"/>
        </w:rPr>
        <w:t>办公室作为推进政府信息与政务公开的日常办事机构，下设信息公开窗口1个，专职工作人员4名。2018年，共</w:t>
      </w:r>
      <w:r>
        <w:rPr>
          <w:rFonts w:hint="eastAsia" w:ascii="仿宋_GB2312" w:eastAsia="仿宋_GB2312"/>
          <w:sz w:val="32"/>
          <w:szCs w:val="32"/>
        </w:rPr>
        <w:t>组织</w:t>
      </w:r>
      <w:r>
        <w:rPr>
          <w:rFonts w:hint="eastAsia" w:ascii="仿宋_GB2312" w:hAnsi="华文中宋" w:eastAsia="仿宋_GB2312"/>
          <w:snapToGrid w:val="0"/>
          <w:kern w:val="0"/>
          <w:sz w:val="32"/>
          <w:szCs w:val="32"/>
        </w:rPr>
        <w:t>召开政务公开工作会19次，市住房城乡建设系统政务公开与新闻宣传培训会1次，接受培训人员110人次。</w:t>
      </w:r>
    </w:p>
    <w:p w14:paraId="58BF3031">
      <w:pPr>
        <w:spacing w:line="580" w:lineRule="exact"/>
        <w:ind w:firstLine="640" w:firstLineChars="200"/>
        <w:rPr>
          <w:rFonts w:ascii="仿宋_GB2312" w:eastAsia="仿宋_GB2312"/>
          <w:sz w:val="32"/>
          <w:szCs w:val="32"/>
        </w:rPr>
      </w:pPr>
      <w:r>
        <w:rPr>
          <w:rFonts w:hint="eastAsia" w:ascii="仿宋_GB2312" w:hAnsi="华文中宋" w:eastAsia="仿宋_GB2312"/>
          <w:snapToGrid w:val="0"/>
          <w:kern w:val="0"/>
          <w:sz w:val="32"/>
          <w:szCs w:val="32"/>
        </w:rPr>
        <w:t>为将政务公开各项工作落到实处，我委不断建立健全工作机制。</w:t>
      </w:r>
      <w:r>
        <w:rPr>
          <w:rFonts w:hint="eastAsia" w:ascii="仿宋_GB2312" w:eastAsia="仿宋_GB2312"/>
          <w:b/>
          <w:sz w:val="32"/>
          <w:szCs w:val="32"/>
        </w:rPr>
        <w:t>一是</w:t>
      </w:r>
      <w:r>
        <w:rPr>
          <w:rFonts w:hint="eastAsia" w:ascii="仿宋_GB2312" w:hAnsi="华文中宋" w:eastAsia="仿宋_GB2312"/>
          <w:color w:val="000000"/>
          <w:sz w:val="32"/>
          <w:szCs w:val="32"/>
        </w:rPr>
        <w:t>制定年度</w:t>
      </w:r>
      <w:r>
        <w:rPr>
          <w:rFonts w:hint="eastAsia" w:ascii="仿宋_GB2312" w:eastAsia="仿宋_GB2312"/>
          <w:sz w:val="32"/>
          <w:szCs w:val="32"/>
        </w:rPr>
        <w:t>政务公开工作方案，及时将市政府、住建部部署的年度重点任务分解至各责任单位。</w:t>
      </w:r>
      <w:r>
        <w:rPr>
          <w:rFonts w:hint="eastAsia" w:eastAsia="仿宋_GB2312"/>
          <w:b/>
          <w:sz w:val="32"/>
          <w:szCs w:val="32"/>
        </w:rPr>
        <w:t>二是</w:t>
      </w:r>
      <w:r>
        <w:rPr>
          <w:rFonts w:hint="eastAsia" w:eastAsia="仿宋_GB2312"/>
          <w:sz w:val="32"/>
          <w:szCs w:val="32"/>
        </w:rPr>
        <w:t>进一步完善信息发布和政策解读的责任主体和工作流程，在公文审核环节加强对公文公开属性的审查，加强对规范性文件配发政策解读、预公开的审查。</w:t>
      </w:r>
      <w:r>
        <w:rPr>
          <w:rFonts w:hint="eastAsia" w:ascii="仿宋_GB2312" w:hAnsi="华文中宋" w:eastAsia="仿宋_GB2312"/>
          <w:b/>
          <w:color w:val="000000"/>
          <w:sz w:val="32"/>
          <w:szCs w:val="32"/>
        </w:rPr>
        <w:t>三是</w:t>
      </w:r>
      <w:r>
        <w:rPr>
          <w:rFonts w:hint="eastAsia" w:ascii="仿宋_GB2312" w:hAnsi="华文中宋" w:eastAsia="仿宋_GB2312"/>
          <w:color w:val="000000"/>
          <w:sz w:val="32"/>
          <w:szCs w:val="32"/>
        </w:rPr>
        <w:t>进一步规范“我为政府网站找错”网民留言办理程序，通过设置专人定时查收留言、运用政务内网迅速转办等方式，为网民留言办理提速。</w:t>
      </w:r>
      <w:r>
        <w:rPr>
          <w:rFonts w:hint="eastAsia" w:ascii="仿宋_GB2312" w:eastAsia="仿宋_GB2312"/>
          <w:b/>
          <w:sz w:val="32"/>
          <w:szCs w:val="32"/>
        </w:rPr>
        <w:t>四是</w:t>
      </w:r>
      <w:r>
        <w:rPr>
          <w:rFonts w:hint="eastAsia" w:ascii="仿宋_GB2312" w:eastAsia="仿宋_GB2312"/>
          <w:sz w:val="32"/>
          <w:szCs w:val="32"/>
        </w:rPr>
        <w:t>探索制定阅卷流程，针对依申请公开提供信息数量较多的情形，在不损害公民知情权的前提下，以阅卷公开替代复制公开，并协调业务处室相关人员现场进行答疑解惑，充分满足申请人的信息需求。</w:t>
      </w:r>
    </w:p>
    <w:p w14:paraId="4FAA3DE9">
      <w:pPr>
        <w:spacing w:line="580" w:lineRule="exact"/>
        <w:ind w:firstLine="640" w:firstLineChars="200"/>
        <w:jc w:val="center"/>
        <w:rPr>
          <w:rFonts w:ascii="黑体" w:hAnsi="仿宋" w:eastAsia="黑体"/>
          <w:bCs/>
          <w:sz w:val="32"/>
          <w:szCs w:val="32"/>
        </w:rPr>
      </w:pPr>
    </w:p>
    <w:p w14:paraId="2BF953DF">
      <w:pPr>
        <w:spacing w:line="580" w:lineRule="exact"/>
        <w:ind w:firstLine="640" w:firstLineChars="200"/>
        <w:jc w:val="center"/>
        <w:rPr>
          <w:rFonts w:ascii="仿宋_GB2312" w:eastAsia="仿宋_GB2312" w:cs="仿宋_GB2312"/>
          <w:sz w:val="32"/>
          <w:szCs w:val="32"/>
        </w:rPr>
      </w:pPr>
      <w:r>
        <w:rPr>
          <w:rFonts w:hint="eastAsia" w:ascii="黑体" w:hAnsi="仿宋" w:eastAsia="黑体"/>
          <w:bCs/>
          <w:sz w:val="32"/>
          <w:szCs w:val="32"/>
        </w:rPr>
        <w:t>二、政府信息主动公开情况</w:t>
      </w:r>
    </w:p>
    <w:p w14:paraId="66667DBA">
      <w:pPr>
        <w:spacing w:line="580" w:lineRule="exact"/>
        <w:ind w:firstLine="645"/>
        <w:rPr>
          <w:rFonts w:ascii="仿宋_GB2312" w:hAnsi="华文中宋" w:eastAsia="仿宋_GB2312"/>
          <w:snapToGrid w:val="0"/>
          <w:color w:val="000000"/>
          <w:kern w:val="0"/>
          <w:sz w:val="32"/>
          <w:szCs w:val="32"/>
        </w:rPr>
      </w:pPr>
      <w:r>
        <w:rPr>
          <w:rFonts w:hint="eastAsia" w:ascii="仿宋_GB2312" w:hAnsi="华文中宋" w:eastAsia="仿宋_GB2312"/>
          <w:snapToGrid w:val="0"/>
          <w:color w:val="000000"/>
          <w:kern w:val="0"/>
          <w:sz w:val="32"/>
          <w:szCs w:val="32"/>
        </w:rPr>
        <w:t>2018年我委主动公开政府信息6599条，其中制发的26件规范性文件全部主动公开，并同步</w:t>
      </w:r>
      <w:r>
        <w:rPr>
          <w:rFonts w:ascii="仿宋_GB2312" w:hAnsi="华文中宋" w:eastAsia="仿宋_GB2312"/>
          <w:snapToGrid w:val="0"/>
          <w:color w:val="000000"/>
          <w:kern w:val="0"/>
          <w:sz w:val="32"/>
          <w:szCs w:val="32"/>
        </w:rPr>
        <w:t>向市政府信息公开查阅大厅</w:t>
      </w:r>
      <w:r>
        <w:rPr>
          <w:rFonts w:hint="eastAsia" w:ascii="仿宋_GB2312" w:hAnsi="华文中宋" w:eastAsia="仿宋_GB2312"/>
          <w:snapToGrid w:val="0"/>
          <w:color w:val="000000"/>
          <w:kern w:val="0"/>
          <w:sz w:val="32"/>
          <w:szCs w:val="32"/>
        </w:rPr>
        <w:t>、</w:t>
      </w:r>
      <w:r>
        <w:rPr>
          <w:rFonts w:ascii="仿宋_GB2312" w:hAnsi="华文中宋" w:eastAsia="仿宋_GB2312"/>
          <w:snapToGrid w:val="0"/>
          <w:color w:val="000000"/>
          <w:kern w:val="0"/>
          <w:sz w:val="32"/>
          <w:szCs w:val="32"/>
        </w:rPr>
        <w:t>北京市档案馆、首都图书馆移送</w:t>
      </w:r>
      <w:r>
        <w:rPr>
          <w:rFonts w:hint="eastAsia" w:ascii="仿宋_GB2312" w:hAnsi="华文中宋" w:eastAsia="仿宋_GB2312"/>
          <w:snapToGrid w:val="0"/>
          <w:color w:val="000000"/>
          <w:kern w:val="0"/>
          <w:sz w:val="32"/>
          <w:szCs w:val="32"/>
        </w:rPr>
        <w:t>。主动公开重点领域政府信息2649条，其中财政预算决算、“三公”经费和行政经费信息2条；保障性安居工程建设计划、项目开工和竣工情况，保障性住房的分配和退出等信息84条；招投标违法违规行为及处理情况、国有资金占控股或者主导地位依法应当招标的项目信息2563条。</w:t>
      </w:r>
    </w:p>
    <w:p w14:paraId="4B0FEB15">
      <w:pPr>
        <w:spacing w:line="580" w:lineRule="exact"/>
        <w:jc w:val="center"/>
        <w:rPr>
          <w:rFonts w:ascii="黑体" w:hAnsi="仿宋" w:eastAsia="黑体"/>
          <w:bCs/>
          <w:sz w:val="32"/>
          <w:szCs w:val="32"/>
        </w:rPr>
      </w:pPr>
    </w:p>
    <w:p w14:paraId="44D177F3">
      <w:pPr>
        <w:spacing w:line="580" w:lineRule="exact"/>
        <w:jc w:val="center"/>
        <w:rPr>
          <w:rFonts w:ascii="黑体" w:hAnsi="仿宋" w:eastAsia="黑体"/>
          <w:bCs/>
          <w:sz w:val="32"/>
          <w:szCs w:val="32"/>
        </w:rPr>
      </w:pPr>
      <w:r>
        <w:rPr>
          <w:rFonts w:hint="eastAsia" w:ascii="黑体" w:hAnsi="仿宋" w:eastAsia="黑体"/>
          <w:bCs/>
          <w:sz w:val="32"/>
          <w:szCs w:val="32"/>
        </w:rPr>
        <w:t>三、政府信息依申请公开和不予公开情况</w:t>
      </w:r>
    </w:p>
    <w:p w14:paraId="4918D20A">
      <w:pPr>
        <w:spacing w:line="580" w:lineRule="exact"/>
        <w:ind w:firstLine="640" w:firstLineChars="200"/>
        <w:rPr>
          <w:rFonts w:ascii="楷体_GB2312" w:hAnsi="华文中宋" w:eastAsia="楷体_GB2312"/>
          <w:snapToGrid w:val="0"/>
          <w:kern w:val="0"/>
          <w:sz w:val="32"/>
          <w:szCs w:val="32"/>
        </w:rPr>
      </w:pPr>
      <w:r>
        <w:rPr>
          <w:rFonts w:hint="eastAsia" w:ascii="楷体_GB2312" w:hAnsi="华文中宋" w:eastAsia="楷体_GB2312"/>
          <w:snapToGrid w:val="0"/>
          <w:kern w:val="0"/>
          <w:sz w:val="32"/>
          <w:szCs w:val="32"/>
        </w:rPr>
        <w:t>（一）申请情况</w:t>
      </w:r>
    </w:p>
    <w:p w14:paraId="335E4820">
      <w:pPr>
        <w:spacing w:line="580" w:lineRule="exact"/>
        <w:ind w:firstLine="645"/>
        <w:rPr>
          <w:rFonts w:ascii="仿宋_GB2312" w:eastAsia="仿宋_GB2312"/>
          <w:sz w:val="32"/>
          <w:szCs w:val="32"/>
        </w:rPr>
      </w:pPr>
      <w:r>
        <w:rPr>
          <w:rFonts w:hint="eastAsia" w:ascii="仿宋_GB2312" w:eastAsia="仿宋_GB2312"/>
          <w:sz w:val="32"/>
          <w:szCs w:val="32"/>
          <w:lang w:val="zh-CN"/>
        </w:rPr>
        <w:t>2018年共收到政府信息公开申请1299件，与2017年度相比，减少了52件。从申请方式看，当面申请</w:t>
      </w:r>
      <w:r>
        <w:rPr>
          <w:rFonts w:ascii="仿宋_GB2312" w:eastAsia="仿宋_GB2312"/>
          <w:sz w:val="32"/>
          <w:szCs w:val="32"/>
          <w:lang w:val="zh-CN"/>
        </w:rPr>
        <w:t>596</w:t>
      </w:r>
      <w:r>
        <w:rPr>
          <w:rFonts w:hint="eastAsia" w:ascii="仿宋_GB2312" w:eastAsia="仿宋_GB2312"/>
          <w:sz w:val="32"/>
          <w:szCs w:val="32"/>
          <w:lang w:val="zh-CN"/>
        </w:rPr>
        <w:t>件，占45.88%；以信函形式申请</w:t>
      </w:r>
      <w:r>
        <w:rPr>
          <w:rFonts w:ascii="仿宋_GB2312" w:eastAsia="仿宋_GB2312"/>
          <w:sz w:val="32"/>
          <w:szCs w:val="32"/>
          <w:lang w:val="zh-CN"/>
        </w:rPr>
        <w:t>423</w:t>
      </w:r>
      <w:r>
        <w:rPr>
          <w:rFonts w:hint="eastAsia" w:ascii="仿宋_GB2312" w:eastAsia="仿宋_GB2312"/>
          <w:sz w:val="32"/>
          <w:szCs w:val="32"/>
          <w:lang w:val="zh-CN"/>
        </w:rPr>
        <w:t>件，占32.56%；通过网络申请</w:t>
      </w:r>
      <w:r>
        <w:rPr>
          <w:rFonts w:ascii="仿宋_GB2312" w:eastAsia="仿宋_GB2312"/>
          <w:sz w:val="32"/>
          <w:szCs w:val="32"/>
          <w:lang w:val="zh-CN"/>
        </w:rPr>
        <w:t>280</w:t>
      </w:r>
      <w:r>
        <w:rPr>
          <w:rFonts w:hint="eastAsia" w:ascii="仿宋_GB2312" w:eastAsia="仿宋_GB2312"/>
          <w:sz w:val="32"/>
          <w:szCs w:val="32"/>
          <w:lang w:val="zh-CN"/>
        </w:rPr>
        <w:t>件，占21.56%。</w:t>
      </w:r>
      <w:r>
        <w:rPr>
          <w:rFonts w:ascii="仿宋_GB2312" w:eastAsia="仿宋_GB2312"/>
          <w:sz w:val="32"/>
          <w:szCs w:val="32"/>
        </w:rPr>
        <w:t xml:space="preserve"> </w:t>
      </w:r>
    </w:p>
    <w:p w14:paraId="3E95F7E5">
      <w:pPr>
        <w:spacing w:line="600" w:lineRule="exact"/>
        <w:ind w:firstLine="645"/>
        <w:rPr>
          <w:rFonts w:ascii="仿宋_GB2312" w:eastAsia="仿宋_GB2312"/>
          <w:sz w:val="32"/>
          <w:szCs w:val="32"/>
          <w:lang w:val="zh-CN"/>
        </w:rPr>
      </w:pPr>
      <w:r>
        <w:drawing>
          <wp:anchor distT="0" distB="0" distL="114300" distR="114300" simplePos="0" relativeHeight="251665408" behindDoc="0" locked="0" layoutInCell="1" allowOverlap="1">
            <wp:simplePos x="0" y="0"/>
            <wp:positionH relativeFrom="column">
              <wp:posOffset>544195</wp:posOffset>
            </wp:positionH>
            <wp:positionV relativeFrom="paragraph">
              <wp:posOffset>39370</wp:posOffset>
            </wp:positionV>
            <wp:extent cx="4257675" cy="2324100"/>
            <wp:effectExtent l="0" t="0" r="0" b="0"/>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ADBCBDF">
      <w:pPr>
        <w:spacing w:line="600" w:lineRule="exact"/>
        <w:ind w:firstLine="645"/>
        <w:rPr>
          <w:rFonts w:ascii="仿宋_GB2312" w:eastAsia="仿宋_GB2312"/>
          <w:sz w:val="32"/>
          <w:szCs w:val="32"/>
          <w:lang w:val="zh-CN"/>
        </w:rPr>
      </w:pPr>
    </w:p>
    <w:p w14:paraId="0741CD81">
      <w:pPr>
        <w:spacing w:line="600" w:lineRule="exact"/>
        <w:ind w:firstLine="645"/>
        <w:rPr>
          <w:rFonts w:ascii="仿宋_GB2312" w:eastAsia="仿宋_GB2312"/>
          <w:sz w:val="32"/>
          <w:szCs w:val="32"/>
          <w:lang w:val="zh-CN"/>
        </w:rPr>
      </w:pPr>
    </w:p>
    <w:p w14:paraId="7214C19E">
      <w:pPr>
        <w:spacing w:line="600" w:lineRule="exact"/>
        <w:ind w:firstLine="645"/>
        <w:rPr>
          <w:rFonts w:ascii="仿宋_GB2312" w:eastAsia="仿宋_GB2312"/>
          <w:sz w:val="32"/>
          <w:szCs w:val="32"/>
          <w:lang w:val="zh-CN"/>
        </w:rPr>
      </w:pPr>
    </w:p>
    <w:p w14:paraId="0B208DFC">
      <w:pPr>
        <w:spacing w:line="600" w:lineRule="exact"/>
        <w:ind w:firstLine="645"/>
        <w:rPr>
          <w:rFonts w:ascii="仿宋_GB2312" w:eastAsia="仿宋_GB2312"/>
          <w:sz w:val="32"/>
          <w:szCs w:val="32"/>
          <w:lang w:val="zh-CN"/>
        </w:rPr>
      </w:pPr>
    </w:p>
    <w:p w14:paraId="2463108E">
      <w:pPr>
        <w:spacing w:line="600" w:lineRule="exact"/>
        <w:ind w:firstLine="645"/>
        <w:rPr>
          <w:rFonts w:ascii="仿宋_GB2312" w:eastAsia="仿宋_GB2312"/>
          <w:sz w:val="32"/>
          <w:szCs w:val="32"/>
          <w:lang w:val="zh-CN"/>
        </w:rPr>
      </w:pPr>
    </w:p>
    <w:p w14:paraId="3FE87168">
      <w:pPr>
        <w:spacing w:line="600" w:lineRule="exact"/>
        <w:ind w:firstLine="2880" w:firstLineChars="1200"/>
        <w:rPr>
          <w:rFonts w:ascii="仿宋_GB2312" w:eastAsia="仿宋_GB2312"/>
          <w:sz w:val="32"/>
          <w:szCs w:val="32"/>
          <w:lang w:val="zh-CN"/>
        </w:rPr>
      </w:pPr>
      <w:r>
        <w:rPr>
          <w:rFonts w:ascii="Arial" w:hAnsi="Arial" w:cs="Arial"/>
          <w:kern w:val="0"/>
          <w:sz w:val="24"/>
        </w:rPr>
        <w:t>（图</w:t>
      </w:r>
      <w:r>
        <w:rPr>
          <w:rFonts w:hint="eastAsia" w:ascii="Arial" w:hAnsi="Arial" w:cs="Arial"/>
          <w:kern w:val="0"/>
          <w:sz w:val="24"/>
        </w:rPr>
        <w:t>7. 按申请方式统计）</w:t>
      </w:r>
    </w:p>
    <w:p w14:paraId="03ADB917">
      <w:pPr>
        <w:spacing w:line="580" w:lineRule="exact"/>
        <w:ind w:firstLine="640" w:firstLineChars="200"/>
        <w:rPr>
          <w:rFonts w:ascii="仿宋_GB2312" w:eastAsia="仿宋_GB2312"/>
          <w:sz w:val="32"/>
          <w:szCs w:val="32"/>
        </w:rPr>
      </w:pPr>
      <w:r>
        <w:rPr>
          <w:rFonts w:hint="eastAsia" w:ascii="仿宋_GB2312" w:eastAsia="仿宋_GB2312"/>
          <w:sz w:val="32"/>
          <w:szCs w:val="32"/>
        </w:rPr>
        <w:t>从申请内容看，申请量居前的事项为施工许可信息、住房保障信息、征收拆迁信息、房屋测绘备案信息、房地产市场信息、竣工验收备案信息。</w:t>
      </w:r>
    </w:p>
    <w:p w14:paraId="356AFC5B">
      <w:pPr>
        <w:spacing w:line="580" w:lineRule="exact"/>
        <w:rPr>
          <w:rFonts w:ascii="仿宋_GB2312" w:hAnsi="华文中宋" w:eastAsia="仿宋_GB2312"/>
          <w:snapToGrid w:val="0"/>
          <w:kern w:val="0"/>
          <w:sz w:val="32"/>
          <w:szCs w:val="32"/>
        </w:rPr>
      </w:pPr>
      <w:r>
        <w:rPr>
          <w:rFonts w:hint="eastAsia" w:ascii="仿宋_GB2312" w:hAnsi="华文中宋" w:eastAsia="仿宋_GB2312"/>
          <w:snapToGrid w:val="0"/>
          <w:kern w:val="0"/>
          <w:sz w:val="32"/>
          <w:szCs w:val="32"/>
        </w:rPr>
        <w:t>　　</w:t>
      </w:r>
      <w:r>
        <w:rPr>
          <w:rFonts w:hint="eastAsia" w:ascii="楷体_GB2312" w:hAnsi="华文中宋" w:eastAsia="楷体_GB2312"/>
          <w:snapToGrid w:val="0"/>
          <w:kern w:val="0"/>
          <w:sz w:val="32"/>
          <w:szCs w:val="32"/>
        </w:rPr>
        <w:t>（二）答复情况</w:t>
      </w:r>
    </w:p>
    <w:p w14:paraId="45401CB4">
      <w:pPr>
        <w:spacing w:line="580" w:lineRule="exact"/>
        <w:ind w:firstLine="645"/>
        <w:rPr>
          <w:rFonts w:ascii="仿宋_GB2312" w:eastAsia="仿宋_GB2312"/>
          <w:sz w:val="32"/>
          <w:szCs w:val="32"/>
          <w:lang w:val="zh-CN"/>
        </w:rPr>
      </w:pPr>
      <w:r>
        <w:rPr>
          <w:rFonts w:hint="eastAsia" w:ascii="仿宋_GB2312" w:eastAsia="仿宋_GB2312"/>
          <w:sz w:val="32"/>
          <w:szCs w:val="32"/>
          <w:lang w:val="zh-CN"/>
        </w:rPr>
        <w:t>2018年</w:t>
      </w:r>
      <w:r>
        <w:rPr>
          <w:rFonts w:ascii="仿宋_GB2312" w:eastAsia="仿宋_GB2312"/>
          <w:sz w:val="32"/>
          <w:szCs w:val="32"/>
          <w:lang w:val="zh-CN"/>
        </w:rPr>
        <w:t>已到答复期的</w:t>
      </w:r>
      <w:r>
        <w:rPr>
          <w:rFonts w:hint="eastAsia" w:ascii="仿宋_GB2312" w:eastAsia="仿宋_GB2312"/>
          <w:sz w:val="32"/>
          <w:szCs w:val="32"/>
          <w:lang w:val="zh-CN"/>
        </w:rPr>
        <w:t>1314</w:t>
      </w:r>
      <w:r>
        <w:rPr>
          <w:rFonts w:hint="eastAsia" w:ascii="仿宋_GB2312" w:eastAsia="仿宋_GB2312"/>
          <w:sz w:val="32"/>
          <w:szCs w:val="32"/>
        </w:rPr>
        <w:t>件申请均</w:t>
      </w:r>
      <w:r>
        <w:rPr>
          <w:rFonts w:ascii="仿宋_GB2312" w:eastAsia="仿宋_GB2312"/>
          <w:sz w:val="32"/>
          <w:szCs w:val="32"/>
          <w:lang w:val="zh-CN"/>
        </w:rPr>
        <w:t>全部</w:t>
      </w:r>
      <w:r>
        <w:rPr>
          <w:rFonts w:hint="eastAsia" w:ascii="仿宋_GB2312" w:eastAsia="仿宋_GB2312"/>
          <w:sz w:val="32"/>
          <w:szCs w:val="32"/>
          <w:lang w:val="zh-CN"/>
        </w:rPr>
        <w:t>按时办结</w:t>
      </w:r>
      <w:r>
        <w:rPr>
          <w:rFonts w:ascii="仿宋_GB2312" w:eastAsia="仿宋_GB2312"/>
          <w:sz w:val="32"/>
          <w:szCs w:val="32"/>
          <w:lang w:val="zh-CN"/>
        </w:rPr>
        <w:t>，其中</w:t>
      </w:r>
      <w:r>
        <w:rPr>
          <w:rFonts w:hint="eastAsia" w:ascii="仿宋_GB2312" w:eastAsia="仿宋_GB2312"/>
          <w:sz w:val="32"/>
          <w:szCs w:val="32"/>
          <w:lang w:val="zh-CN"/>
        </w:rPr>
        <w:t>：</w:t>
      </w:r>
    </w:p>
    <w:p w14:paraId="3B426FF3">
      <w:pPr>
        <w:spacing w:line="580" w:lineRule="exact"/>
        <w:ind w:firstLine="645"/>
        <w:rPr>
          <w:rFonts w:ascii="仿宋_GB2312" w:eastAsia="仿宋_GB2312"/>
          <w:sz w:val="32"/>
          <w:szCs w:val="32"/>
          <w:lang w:val="zh-CN"/>
        </w:rPr>
      </w:pPr>
      <w:r>
        <w:rPr>
          <w:rFonts w:hint="eastAsia" w:ascii="仿宋_GB2312" w:eastAsia="仿宋_GB2312"/>
          <w:sz w:val="32"/>
          <w:szCs w:val="32"/>
          <w:lang w:val="zh-CN"/>
        </w:rPr>
        <w:t>“属于已主动公开范围”28件，占2.13%；“同意公开”388件，占29.53%；“同意部分公开”9件，占0.68%。</w:t>
      </w:r>
    </w:p>
    <w:p w14:paraId="318EFC1E">
      <w:pPr>
        <w:spacing w:line="580" w:lineRule="exact"/>
        <w:ind w:firstLine="645"/>
        <w:rPr>
          <w:rFonts w:ascii="仿宋_GB2312" w:eastAsia="仿宋_GB2312"/>
          <w:sz w:val="32"/>
          <w:szCs w:val="32"/>
          <w:lang w:val="zh-CN"/>
        </w:rPr>
      </w:pPr>
      <w:r>
        <w:rPr>
          <w:rFonts w:hint="eastAsia" w:ascii="仿宋_GB2312" w:eastAsia="仿宋_GB2312"/>
          <w:sz w:val="32"/>
          <w:szCs w:val="32"/>
          <w:lang w:val="zh-CN"/>
        </w:rPr>
        <w:t>“不同意公开”118件，占8.98%。其中，涉及国家秘密4件；不是《条例》所指政府信息25件；法律法规规定的其他情形89件。</w:t>
      </w:r>
    </w:p>
    <w:p w14:paraId="7C5D0F0E">
      <w:pPr>
        <w:spacing w:line="580" w:lineRule="exact"/>
        <w:ind w:firstLine="645"/>
        <w:rPr>
          <w:rFonts w:ascii="仿宋_GB2312" w:eastAsia="仿宋_GB2312"/>
          <w:sz w:val="32"/>
          <w:szCs w:val="32"/>
          <w:lang w:val="zh-CN"/>
        </w:rPr>
      </w:pPr>
      <w:r>
        <w:rPr>
          <w:rFonts w:hint="eastAsia" w:ascii="仿宋_GB2312" w:eastAsia="仿宋_GB2312"/>
          <w:sz w:val="32"/>
          <w:szCs w:val="32"/>
          <w:lang w:val="zh-CN"/>
        </w:rPr>
        <w:t>“不属于本行政机关公开”367件，占27.93%。</w:t>
      </w:r>
    </w:p>
    <w:p w14:paraId="0176641B">
      <w:pPr>
        <w:spacing w:line="580" w:lineRule="exact"/>
        <w:ind w:firstLine="645"/>
        <w:rPr>
          <w:rFonts w:ascii="仿宋_GB2312" w:eastAsia="仿宋_GB2312"/>
          <w:sz w:val="32"/>
          <w:szCs w:val="32"/>
          <w:lang w:val="zh-CN"/>
        </w:rPr>
      </w:pPr>
      <w:r>
        <w:rPr>
          <w:rFonts w:hint="eastAsia" w:ascii="仿宋_GB2312" w:eastAsia="仿宋_GB2312"/>
          <w:sz w:val="32"/>
          <w:szCs w:val="32"/>
          <w:lang w:val="zh-CN"/>
        </w:rPr>
        <w:t>“信息不存在”297件，占22.6%。</w:t>
      </w:r>
    </w:p>
    <w:p w14:paraId="44022026">
      <w:pPr>
        <w:spacing w:line="580" w:lineRule="exact"/>
        <w:ind w:firstLine="645"/>
        <w:rPr>
          <w:rFonts w:ascii="仿宋_GB2312" w:eastAsia="仿宋_GB2312"/>
          <w:sz w:val="32"/>
          <w:szCs w:val="32"/>
          <w:lang w:val="zh-CN"/>
        </w:rPr>
      </w:pPr>
      <w:r>
        <w:rPr>
          <w:rFonts w:hint="eastAsia" w:ascii="仿宋_GB2312" w:eastAsia="仿宋_GB2312"/>
          <w:sz w:val="32"/>
          <w:szCs w:val="32"/>
          <w:lang w:val="zh-CN"/>
        </w:rPr>
        <w:t>“告知作出更改补充”42件，占3.2%。</w:t>
      </w:r>
    </w:p>
    <w:p w14:paraId="098BEF51">
      <w:pPr>
        <w:spacing w:line="580" w:lineRule="exact"/>
        <w:ind w:firstLine="645"/>
        <w:rPr>
          <w:rFonts w:ascii="仿宋_GB2312" w:eastAsia="仿宋_GB2312"/>
          <w:sz w:val="32"/>
          <w:szCs w:val="32"/>
          <w:lang w:val="zh-CN"/>
        </w:rPr>
      </w:pPr>
      <w:r>
        <w:rPr>
          <w:rFonts w:hint="eastAsia" w:ascii="仿宋_GB2312" w:eastAsia="仿宋_GB2312"/>
          <w:sz w:val="32"/>
          <w:szCs w:val="32"/>
          <w:lang w:val="zh-CN"/>
        </w:rPr>
        <w:t>“告知通过其他途径办理”65件，4.95%。</w:t>
      </w:r>
    </w:p>
    <w:p w14:paraId="185F6933">
      <w:pPr>
        <w:spacing w:line="600" w:lineRule="exact"/>
        <w:ind w:firstLine="645"/>
        <w:rPr>
          <w:rFonts w:ascii="仿宋_GB2312" w:eastAsia="仿宋_GB2312"/>
          <w:sz w:val="32"/>
          <w:szCs w:val="32"/>
          <w:lang w:val="zh-CN"/>
        </w:rPr>
      </w:pPr>
      <w:r>
        <w:drawing>
          <wp:anchor distT="0" distB="0" distL="114300" distR="114300" simplePos="0" relativeHeight="251666432" behindDoc="0" locked="0" layoutInCell="1" allowOverlap="1">
            <wp:simplePos x="0" y="0"/>
            <wp:positionH relativeFrom="column">
              <wp:posOffset>572135</wp:posOffset>
            </wp:positionH>
            <wp:positionV relativeFrom="paragraph">
              <wp:posOffset>29845</wp:posOffset>
            </wp:positionV>
            <wp:extent cx="4371975" cy="2343150"/>
            <wp:effectExtent l="0" t="0" r="0" b="0"/>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4D7A142">
      <w:pPr>
        <w:spacing w:line="600" w:lineRule="exact"/>
        <w:ind w:firstLine="645"/>
        <w:rPr>
          <w:rFonts w:ascii="仿宋_GB2312" w:eastAsia="仿宋_GB2312"/>
          <w:sz w:val="32"/>
          <w:szCs w:val="32"/>
          <w:lang w:val="zh-CN"/>
        </w:rPr>
      </w:pPr>
    </w:p>
    <w:p w14:paraId="0EB10999">
      <w:pPr>
        <w:spacing w:line="600" w:lineRule="exact"/>
        <w:ind w:firstLine="645"/>
        <w:rPr>
          <w:rFonts w:ascii="仿宋_GB2312" w:eastAsia="仿宋_GB2312"/>
          <w:sz w:val="32"/>
          <w:szCs w:val="32"/>
          <w:lang w:val="zh-CN"/>
        </w:rPr>
      </w:pPr>
    </w:p>
    <w:p w14:paraId="52B47ADF">
      <w:pPr>
        <w:spacing w:line="600" w:lineRule="exact"/>
        <w:ind w:firstLine="645"/>
        <w:rPr>
          <w:rFonts w:ascii="仿宋_GB2312" w:eastAsia="仿宋_GB2312"/>
          <w:sz w:val="32"/>
          <w:szCs w:val="32"/>
          <w:lang w:val="zh-CN"/>
        </w:rPr>
      </w:pPr>
    </w:p>
    <w:p w14:paraId="1DB1B2DA">
      <w:pPr>
        <w:spacing w:line="600" w:lineRule="exact"/>
        <w:ind w:firstLine="645"/>
        <w:rPr>
          <w:rFonts w:ascii="仿宋_GB2312" w:eastAsia="仿宋_GB2312"/>
          <w:sz w:val="32"/>
          <w:szCs w:val="32"/>
          <w:lang w:val="zh-CN"/>
        </w:rPr>
      </w:pPr>
    </w:p>
    <w:p w14:paraId="40147A7E">
      <w:pPr>
        <w:spacing w:line="600" w:lineRule="exact"/>
        <w:ind w:firstLine="645"/>
        <w:rPr>
          <w:rFonts w:ascii="仿宋_GB2312" w:eastAsia="仿宋_GB2312"/>
          <w:sz w:val="32"/>
          <w:szCs w:val="32"/>
          <w:lang w:val="zh-CN"/>
        </w:rPr>
      </w:pPr>
    </w:p>
    <w:p w14:paraId="46BB331E">
      <w:pPr>
        <w:spacing w:line="600" w:lineRule="exact"/>
        <w:ind w:firstLine="3000" w:firstLineChars="1250"/>
        <w:rPr>
          <w:rFonts w:ascii="仿宋_GB2312" w:eastAsia="仿宋_GB2312"/>
          <w:sz w:val="32"/>
          <w:szCs w:val="32"/>
          <w:lang w:val="zh-CN"/>
        </w:rPr>
      </w:pPr>
      <w:r>
        <w:rPr>
          <w:rFonts w:ascii="Arial" w:hAnsi="Arial" w:cs="Arial"/>
          <w:kern w:val="0"/>
          <w:sz w:val="24"/>
        </w:rPr>
        <w:t>（图</w:t>
      </w:r>
      <w:r>
        <w:rPr>
          <w:rFonts w:hint="eastAsia" w:ascii="Arial" w:hAnsi="Arial" w:cs="Arial"/>
          <w:kern w:val="0"/>
          <w:sz w:val="24"/>
        </w:rPr>
        <w:t>8. 按答复类型统计）</w:t>
      </w:r>
    </w:p>
    <w:p w14:paraId="5714004F">
      <w:pPr>
        <w:spacing w:line="580" w:lineRule="exact"/>
        <w:jc w:val="center"/>
        <w:rPr>
          <w:rFonts w:ascii="黑体" w:hAnsi="仿宋" w:eastAsia="黑体"/>
          <w:bCs/>
          <w:sz w:val="32"/>
          <w:szCs w:val="32"/>
        </w:rPr>
      </w:pPr>
    </w:p>
    <w:p w14:paraId="3E4149C6">
      <w:pPr>
        <w:spacing w:line="580" w:lineRule="exact"/>
        <w:jc w:val="center"/>
        <w:rPr>
          <w:rFonts w:ascii="黑体" w:hAnsi="仿宋" w:eastAsia="黑体"/>
          <w:bCs/>
          <w:sz w:val="32"/>
          <w:szCs w:val="32"/>
        </w:rPr>
      </w:pPr>
      <w:r>
        <w:rPr>
          <w:rFonts w:hint="eastAsia" w:ascii="黑体" w:hAnsi="仿宋" w:eastAsia="黑体"/>
          <w:bCs/>
          <w:sz w:val="32"/>
          <w:szCs w:val="32"/>
        </w:rPr>
        <w:t>四、行政复议和行政诉讼情况</w:t>
      </w:r>
    </w:p>
    <w:p w14:paraId="2A7A8957">
      <w:pPr>
        <w:spacing w:line="580" w:lineRule="exact"/>
        <w:ind w:firstLine="640" w:firstLineChars="200"/>
        <w:rPr>
          <w:rFonts w:ascii="仿宋_GB2312" w:eastAsia="仿宋_GB2312"/>
          <w:sz w:val="32"/>
          <w:szCs w:val="32"/>
          <w:lang w:val="zh-CN"/>
        </w:rPr>
      </w:pPr>
      <w:r>
        <w:rPr>
          <w:rFonts w:hint="eastAsia" w:ascii="仿宋_GB2312" w:eastAsia="仿宋_GB2312"/>
          <w:sz w:val="32"/>
          <w:szCs w:val="32"/>
          <w:lang w:val="zh-CN"/>
        </w:rPr>
        <w:t>2018年，</w:t>
      </w:r>
      <w:r>
        <w:rPr>
          <w:rFonts w:ascii="仿宋_GB2312" w:eastAsia="仿宋_GB2312"/>
          <w:sz w:val="32"/>
          <w:szCs w:val="32"/>
          <w:lang w:val="zh-CN"/>
        </w:rPr>
        <w:t>针对我委政府信息公开的行政复议</w:t>
      </w:r>
      <w:r>
        <w:rPr>
          <w:rFonts w:hint="eastAsia" w:ascii="仿宋_GB2312" w:eastAsia="仿宋_GB2312"/>
          <w:sz w:val="32"/>
          <w:szCs w:val="32"/>
          <w:lang w:val="zh-CN"/>
        </w:rPr>
        <w:t>案件68件，其中，维持行政机关做出的信息公开答复的59件，撤销的1件，部分撤销的1件，终止审理的3件，未审结的4件。行政诉讼案件23件，其中，驳回原告诉讼请求的1件，撤回起诉的2件，裁定驳回起诉的3件，未审结的17件。无举报投诉案件。</w:t>
      </w:r>
    </w:p>
    <w:p w14:paraId="6EF4CA1E">
      <w:pPr>
        <w:spacing w:line="580" w:lineRule="exact"/>
        <w:jc w:val="center"/>
        <w:rPr>
          <w:rFonts w:ascii="仿宋_GB2312" w:eastAsia="仿宋_GB2312"/>
          <w:sz w:val="32"/>
          <w:szCs w:val="32"/>
          <w:lang w:val="zh-CN"/>
        </w:rPr>
      </w:pPr>
    </w:p>
    <w:p w14:paraId="1E4AE917">
      <w:pPr>
        <w:spacing w:line="580" w:lineRule="exact"/>
        <w:jc w:val="center"/>
        <w:rPr>
          <w:rFonts w:ascii="黑体" w:hAnsi="黑体" w:eastAsia="黑体"/>
          <w:sz w:val="32"/>
          <w:szCs w:val="32"/>
          <w:lang w:val="zh-CN"/>
        </w:rPr>
      </w:pPr>
      <w:bookmarkStart w:id="9" w:name="OLE_LINK7"/>
      <w:r>
        <w:rPr>
          <w:rFonts w:hint="eastAsia" w:ascii="黑体" w:hAnsi="黑体" w:eastAsia="黑体"/>
          <w:sz w:val="32"/>
          <w:szCs w:val="32"/>
          <w:lang w:val="zh-CN"/>
        </w:rPr>
        <w:t>五、政府信息公开收费及免除费用情况</w:t>
      </w:r>
    </w:p>
    <w:p w14:paraId="08542D9F">
      <w:pPr>
        <w:spacing w:line="580" w:lineRule="exact"/>
        <w:ind w:firstLine="640" w:firstLineChars="200"/>
        <w:rPr>
          <w:rFonts w:ascii="仿宋_GB2312" w:eastAsia="仿宋_GB2312"/>
          <w:sz w:val="32"/>
          <w:szCs w:val="32"/>
          <w:lang w:val="zh-CN"/>
        </w:rPr>
      </w:pPr>
      <w:r>
        <w:rPr>
          <w:rFonts w:hint="eastAsia" w:ascii="仿宋_GB2312" w:eastAsia="仿宋_GB2312"/>
          <w:sz w:val="32"/>
          <w:szCs w:val="32"/>
          <w:lang w:val="zh-CN"/>
        </w:rPr>
        <w:t>按照市财政局、市发展改革委《关于清理规范一批行政事业性收费有关政策的通知》（京财综﹝2017﹞569号）要求，我委于2017年4月1日起停止收取依申请公开政府信息费用，2018年未收费。</w:t>
      </w:r>
    </w:p>
    <w:p w14:paraId="6A948F8D">
      <w:pPr>
        <w:spacing w:line="580" w:lineRule="exact"/>
        <w:jc w:val="center"/>
        <w:rPr>
          <w:rFonts w:ascii="黑体" w:hAnsi="仿宋" w:eastAsia="黑体"/>
          <w:bCs/>
          <w:sz w:val="32"/>
          <w:szCs w:val="32"/>
        </w:rPr>
      </w:pPr>
    </w:p>
    <w:p w14:paraId="727B4CD4">
      <w:pPr>
        <w:spacing w:line="580" w:lineRule="exact"/>
        <w:jc w:val="center"/>
        <w:rPr>
          <w:rFonts w:ascii="黑体" w:hAnsi="仿宋" w:eastAsia="黑体"/>
          <w:bCs/>
          <w:sz w:val="32"/>
          <w:szCs w:val="32"/>
        </w:rPr>
      </w:pPr>
      <w:r>
        <w:rPr>
          <w:rFonts w:hint="eastAsia" w:ascii="黑体" w:hAnsi="仿宋" w:eastAsia="黑体"/>
          <w:bCs/>
          <w:sz w:val="32"/>
          <w:szCs w:val="32"/>
        </w:rPr>
        <w:t>六</w:t>
      </w:r>
      <w:bookmarkEnd w:id="9"/>
      <w:r>
        <w:rPr>
          <w:rFonts w:hint="eastAsia" w:ascii="黑体" w:hAnsi="仿宋" w:eastAsia="黑体"/>
          <w:bCs/>
          <w:sz w:val="32"/>
          <w:szCs w:val="32"/>
        </w:rPr>
        <w:t>、存在不足及改进措施</w:t>
      </w:r>
    </w:p>
    <w:p w14:paraId="709C252F">
      <w:pPr>
        <w:spacing w:line="580" w:lineRule="exact"/>
        <w:ind w:firstLine="640" w:firstLineChars="200"/>
        <w:rPr>
          <w:rFonts w:ascii="仿宋_GB2312" w:hAnsi="仿宋" w:eastAsia="仿宋_GB2312"/>
          <w:color w:val="FF0000"/>
          <w:kern w:val="0"/>
          <w:sz w:val="32"/>
          <w:szCs w:val="32"/>
        </w:rPr>
      </w:pPr>
      <w:r>
        <w:rPr>
          <w:rFonts w:hint="eastAsia" w:ascii="仿宋_GB2312" w:hAnsi="宋体" w:eastAsia="仿宋_GB2312" w:cs="宋体"/>
          <w:color w:val="000000"/>
          <w:kern w:val="0"/>
          <w:sz w:val="32"/>
          <w:szCs w:val="32"/>
        </w:rPr>
        <w:t>我委政府信息和政务公开工作存在的不足包括：一是公开意识仍有待增强，公开工作与业务工作联系不够紧密；二是主动公开信息的规范性、准确性有待提高；三是依申请答复的便民性有待提高。</w:t>
      </w:r>
    </w:p>
    <w:p w14:paraId="065B4A38">
      <w:pPr>
        <w:spacing w:line="580" w:lineRule="exact"/>
        <w:ind w:firstLine="645"/>
        <w:jc w:val="left"/>
        <w:rPr>
          <w:rFonts w:ascii="仿宋_GB2312" w:eastAsia="仿宋_GB2312"/>
          <w:sz w:val="32"/>
          <w:szCs w:val="32"/>
        </w:rPr>
      </w:pPr>
      <w:r>
        <w:rPr>
          <w:rFonts w:hint="eastAsia" w:ascii="仿宋_GB2312" w:hAnsi="Arial" w:eastAsia="仿宋_GB2312" w:cs="Arial"/>
          <w:sz w:val="32"/>
          <w:szCs w:val="32"/>
        </w:rPr>
        <w:t>2019年</w:t>
      </w:r>
      <w:r>
        <w:rPr>
          <w:rFonts w:ascii="仿宋_GB2312" w:hAnsi="仿宋" w:eastAsia="仿宋_GB2312"/>
          <w:kern w:val="0"/>
          <w:sz w:val="32"/>
          <w:szCs w:val="32"/>
        </w:rPr>
        <w:t>，我委将</w:t>
      </w:r>
      <w:r>
        <w:rPr>
          <w:rFonts w:hint="eastAsia" w:ascii="仿宋_GB2312" w:hAnsi="仿宋" w:eastAsia="仿宋_GB2312"/>
          <w:kern w:val="0"/>
          <w:sz w:val="32"/>
          <w:szCs w:val="32"/>
        </w:rPr>
        <w:t>着重加强</w:t>
      </w:r>
      <w:r>
        <w:rPr>
          <w:rFonts w:ascii="仿宋_GB2312" w:hAnsi="仿宋" w:eastAsia="仿宋_GB2312"/>
          <w:kern w:val="0"/>
          <w:sz w:val="32"/>
          <w:szCs w:val="32"/>
        </w:rPr>
        <w:t>以下工作：</w:t>
      </w:r>
      <w:r>
        <w:rPr>
          <w:rFonts w:hint="eastAsia" w:ascii="仿宋_GB2312" w:hAnsi="仿宋" w:eastAsia="仿宋_GB2312"/>
          <w:kern w:val="0"/>
          <w:sz w:val="32"/>
          <w:szCs w:val="32"/>
        </w:rPr>
        <w:t>一是进一步完善</w:t>
      </w:r>
      <w:r>
        <w:rPr>
          <w:rFonts w:hint="eastAsia" w:ascii="仿宋_GB2312" w:hAnsi="Courier New" w:eastAsia="仿宋_GB2312" w:cs="Courier New"/>
          <w:sz w:val="32"/>
          <w:szCs w:val="32"/>
        </w:rPr>
        <w:t>政务公开工作制度，健全政府信息公开审查机制，完善信息发布及维护机制；二是梳理整合信息资源，科学规划网站栏目，创新公开方式，方便公众查阅使用；三是不断增强依申请公开答复的便民性，准确回应公众的特殊信息需求；四是</w:t>
      </w:r>
      <w:r>
        <w:rPr>
          <w:rFonts w:hint="eastAsia" w:ascii="仿宋_GB2312" w:eastAsia="仿宋_GB2312"/>
          <w:sz w:val="32"/>
          <w:szCs w:val="32"/>
        </w:rPr>
        <w:t>加强对委内部门、区级部门的业务培训和监督指导，不断提高本系统政府政务公开工作的规范性。</w:t>
      </w:r>
    </w:p>
    <w:p w14:paraId="7E1643BA">
      <w:pPr>
        <w:spacing w:line="580" w:lineRule="exact"/>
        <w:ind w:firstLine="645"/>
        <w:jc w:val="left"/>
        <w:rPr>
          <w:rFonts w:ascii="仿宋_GB2312" w:eastAsia="仿宋_GB2312"/>
          <w:sz w:val="32"/>
          <w:szCs w:val="32"/>
        </w:rPr>
      </w:pPr>
    </w:p>
    <w:p w14:paraId="7A52C82D">
      <w:pPr>
        <w:spacing w:line="580" w:lineRule="exact"/>
        <w:ind w:firstLine="640" w:firstLineChars="200"/>
        <w:rPr>
          <w:rFonts w:ascii="仿宋_GB2312" w:hAnsi="仿宋" w:eastAsia="仿宋_GB2312"/>
          <w:kern w:val="0"/>
          <w:sz w:val="32"/>
          <w:szCs w:val="32"/>
        </w:rPr>
      </w:pPr>
      <w:r>
        <w:rPr>
          <w:rFonts w:hint="eastAsia" w:ascii="仿宋_GB2312" w:hAnsi="仿宋" w:eastAsia="仿宋_GB2312"/>
          <w:color w:val="FF0000"/>
          <w:kern w:val="0"/>
          <w:sz w:val="32"/>
          <w:szCs w:val="32"/>
        </w:rPr>
        <w:t xml:space="preserve">                     </w:t>
      </w:r>
      <w:r>
        <w:rPr>
          <w:rFonts w:hint="eastAsia" w:ascii="仿宋_GB2312" w:hAnsi="仿宋" w:eastAsia="仿宋_GB2312"/>
          <w:kern w:val="0"/>
          <w:sz w:val="32"/>
          <w:szCs w:val="32"/>
        </w:rPr>
        <w:t>北京市住房和城乡建设委员会</w:t>
      </w:r>
    </w:p>
    <w:p w14:paraId="29C6829B">
      <w:pPr>
        <w:spacing w:line="580" w:lineRule="exact"/>
        <w:ind w:right="1920" w:firstLine="640" w:firstLineChars="200"/>
        <w:jc w:val="right"/>
        <w:rPr>
          <w:rFonts w:ascii="仿宋_GB2312" w:hAnsi="仿宋" w:eastAsia="仿宋_GB2312"/>
          <w:sz w:val="32"/>
          <w:szCs w:val="32"/>
        </w:rPr>
      </w:pPr>
      <w:r>
        <w:rPr>
          <w:rFonts w:hint="eastAsia" w:ascii="仿宋_GB2312" w:hAnsi="仿宋" w:eastAsia="仿宋_GB2312"/>
          <w:sz w:val="32"/>
          <w:szCs w:val="32"/>
        </w:rPr>
        <w:t>2019年3月</w:t>
      </w:r>
    </w:p>
    <w:p w14:paraId="33E0293A">
      <w:pPr>
        <w:spacing w:line="600" w:lineRule="exact"/>
        <w:rPr>
          <w:rFonts w:ascii="黑体" w:hAnsi="黑体" w:eastAsia="黑体"/>
          <w:sz w:val="32"/>
          <w:szCs w:val="32"/>
        </w:rPr>
      </w:pPr>
      <w:r>
        <w:rPr>
          <w:rFonts w:ascii="黑体" w:hAnsi="黑体" w:eastAsia="黑体"/>
          <w:sz w:val="32"/>
          <w:szCs w:val="32"/>
        </w:rPr>
        <w:t>附</w:t>
      </w:r>
      <w:r>
        <w:rPr>
          <w:rFonts w:hint="eastAsia" w:ascii="黑体" w:hAnsi="黑体" w:eastAsia="黑体"/>
          <w:sz w:val="32"/>
          <w:szCs w:val="32"/>
        </w:rPr>
        <w:t>表：</w:t>
      </w:r>
    </w:p>
    <w:p w14:paraId="476D4A62">
      <w:pPr>
        <w:spacing w:line="600" w:lineRule="exact"/>
        <w:ind w:right="640" w:firstLine="880" w:firstLineChars="200"/>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北京市住房和城乡建设委员会</w:t>
      </w:r>
    </w:p>
    <w:p w14:paraId="44CC53B5">
      <w:pPr>
        <w:spacing w:line="600" w:lineRule="exact"/>
        <w:ind w:right="640" w:firstLine="880" w:firstLineChars="200"/>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政府信息公开情况统计表</w:t>
      </w:r>
    </w:p>
    <w:p w14:paraId="53285512">
      <w:pPr>
        <w:spacing w:line="600" w:lineRule="exact"/>
        <w:ind w:right="640" w:firstLine="600" w:firstLineChars="200"/>
        <w:jc w:val="center"/>
        <w:rPr>
          <w:rFonts w:ascii="黑体" w:hAnsi="黑体" w:eastAsia="黑体"/>
          <w:sz w:val="30"/>
          <w:szCs w:val="30"/>
        </w:rPr>
      </w:pPr>
      <w:r>
        <w:rPr>
          <w:rFonts w:hint="eastAsia" w:ascii="黑体" w:hAnsi="黑体" w:eastAsia="黑体"/>
          <w:sz w:val="30"/>
          <w:szCs w:val="30"/>
        </w:rPr>
        <w:t>（2018年度）</w:t>
      </w:r>
    </w:p>
    <w:tbl>
      <w:tblPr>
        <w:tblStyle w:val="8"/>
        <w:tblW w:w="9563" w:type="dxa"/>
        <w:jc w:val="center"/>
        <w:tblLayout w:type="autofit"/>
        <w:tblCellMar>
          <w:top w:w="0" w:type="dxa"/>
          <w:left w:w="108" w:type="dxa"/>
          <w:bottom w:w="0" w:type="dxa"/>
          <w:right w:w="108" w:type="dxa"/>
        </w:tblCellMar>
      </w:tblPr>
      <w:tblGrid>
        <w:gridCol w:w="7763"/>
        <w:gridCol w:w="720"/>
        <w:gridCol w:w="1080"/>
      </w:tblGrid>
      <w:tr w14:paraId="3CAEFC6E">
        <w:tblPrEx>
          <w:tblCellMar>
            <w:top w:w="0" w:type="dxa"/>
            <w:left w:w="108" w:type="dxa"/>
            <w:bottom w:w="0" w:type="dxa"/>
            <w:right w:w="108" w:type="dxa"/>
          </w:tblCellMar>
        </w:tblPrEx>
        <w:trPr>
          <w:trHeight w:val="402" w:hRule="atLeast"/>
          <w:jc w:val="center"/>
        </w:trPr>
        <w:tc>
          <w:tcPr>
            <w:tcW w:w="7763" w:type="dxa"/>
            <w:tcBorders>
              <w:top w:val="single" w:color="auto" w:sz="8" w:space="0"/>
              <w:left w:val="single" w:color="auto" w:sz="8" w:space="0"/>
              <w:bottom w:val="single" w:color="auto" w:sz="4" w:space="0"/>
              <w:right w:val="single" w:color="auto" w:sz="4" w:space="0"/>
            </w:tcBorders>
            <w:shd w:val="clear" w:color="auto" w:fill="auto"/>
            <w:noWrap/>
            <w:vAlign w:val="center"/>
          </w:tcPr>
          <w:p w14:paraId="7A80F914">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 计 指 标</w:t>
            </w:r>
          </w:p>
        </w:tc>
        <w:tc>
          <w:tcPr>
            <w:tcW w:w="720" w:type="dxa"/>
            <w:tcBorders>
              <w:top w:val="single" w:color="auto" w:sz="8" w:space="0"/>
              <w:left w:val="nil"/>
              <w:bottom w:val="single" w:color="auto" w:sz="4" w:space="0"/>
              <w:right w:val="single" w:color="auto" w:sz="4" w:space="0"/>
            </w:tcBorders>
            <w:shd w:val="clear" w:color="auto" w:fill="auto"/>
            <w:noWrap/>
            <w:vAlign w:val="center"/>
          </w:tcPr>
          <w:p w14:paraId="2C54EEC1">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单位</w:t>
            </w:r>
          </w:p>
        </w:tc>
        <w:tc>
          <w:tcPr>
            <w:tcW w:w="1080" w:type="dxa"/>
            <w:tcBorders>
              <w:top w:val="single" w:color="auto" w:sz="8" w:space="0"/>
              <w:left w:val="nil"/>
              <w:bottom w:val="single" w:color="auto" w:sz="4" w:space="0"/>
              <w:right w:val="single" w:color="auto" w:sz="8" w:space="0"/>
            </w:tcBorders>
            <w:shd w:val="clear" w:color="auto" w:fill="auto"/>
            <w:noWrap/>
            <w:vAlign w:val="center"/>
          </w:tcPr>
          <w:p w14:paraId="10B1E985">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统计数</w:t>
            </w:r>
          </w:p>
        </w:tc>
      </w:tr>
      <w:tr w14:paraId="738C6114">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08696135">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一、主动公开情况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07FCB89F">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shd w:val="clear" w:color="auto" w:fill="auto"/>
            <w:noWrap/>
            <w:vAlign w:val="center"/>
          </w:tcPr>
          <w:p w14:paraId="07A23161">
            <w:pPr>
              <w:widowControl/>
              <w:jc w:val="center"/>
              <w:rPr>
                <w:rFonts w:ascii="宋体" w:hAnsi="宋体" w:cs="宋体"/>
                <w:color w:val="000000"/>
                <w:kern w:val="0"/>
                <w:sz w:val="24"/>
              </w:rPr>
            </w:pPr>
          </w:p>
        </w:tc>
      </w:tr>
      <w:tr w14:paraId="2B4E05EE">
        <w:tblPrEx>
          <w:tblCellMar>
            <w:top w:w="0" w:type="dxa"/>
            <w:left w:w="108" w:type="dxa"/>
            <w:bottom w:w="0" w:type="dxa"/>
            <w:right w:w="108" w:type="dxa"/>
          </w:tblCellMar>
        </w:tblPrEx>
        <w:trPr>
          <w:trHeight w:val="660" w:hRule="atLeast"/>
          <w:jc w:val="center"/>
        </w:trPr>
        <w:tc>
          <w:tcPr>
            <w:tcW w:w="7763" w:type="dxa"/>
            <w:tcBorders>
              <w:top w:val="nil"/>
              <w:left w:val="single" w:color="auto" w:sz="8" w:space="0"/>
              <w:bottom w:val="single" w:color="auto" w:sz="4" w:space="0"/>
              <w:right w:val="single" w:color="auto" w:sz="4" w:space="0"/>
            </w:tcBorders>
            <w:shd w:val="clear" w:color="auto" w:fill="auto"/>
            <w:vAlign w:val="center"/>
          </w:tcPr>
          <w:p w14:paraId="77B4919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（一）主动公开政府信息数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shd w:val="clear" w:color="auto" w:fill="auto"/>
            <w:noWrap/>
            <w:vAlign w:val="center"/>
          </w:tcPr>
          <w:p w14:paraId="225551E1">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758CC09F">
            <w:pPr>
              <w:widowControl/>
              <w:jc w:val="center"/>
              <w:rPr>
                <w:rFonts w:ascii="仿宋_GB2312" w:hAnsi="宋体" w:eastAsia="仿宋_GB2312" w:cs="宋体"/>
                <w:kern w:val="0"/>
                <w:sz w:val="24"/>
              </w:rPr>
            </w:pPr>
            <w:r>
              <w:rPr>
                <w:rFonts w:hint="eastAsia" w:ascii="仿宋_GB2312" w:hAnsi="宋体" w:eastAsia="仿宋_GB2312" w:cs="宋体"/>
                <w:kern w:val="0"/>
                <w:sz w:val="24"/>
              </w:rPr>
              <w:t>6599</w:t>
            </w:r>
          </w:p>
        </w:tc>
      </w:tr>
      <w:tr w14:paraId="261A6A9D">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6314642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其中：主动公开规范性文件数</w:t>
            </w:r>
          </w:p>
        </w:tc>
        <w:tc>
          <w:tcPr>
            <w:tcW w:w="720" w:type="dxa"/>
            <w:tcBorders>
              <w:top w:val="nil"/>
              <w:left w:val="nil"/>
              <w:bottom w:val="single" w:color="auto" w:sz="4" w:space="0"/>
              <w:right w:val="single" w:color="auto" w:sz="4" w:space="0"/>
            </w:tcBorders>
            <w:shd w:val="clear" w:color="auto" w:fill="auto"/>
            <w:noWrap/>
            <w:vAlign w:val="center"/>
          </w:tcPr>
          <w:p w14:paraId="275CCFA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34797FF9">
            <w:pPr>
              <w:widowControl/>
              <w:jc w:val="center"/>
              <w:rPr>
                <w:rFonts w:ascii="仿宋_GB2312" w:hAnsi="宋体" w:eastAsia="仿宋_GB2312" w:cs="宋体"/>
                <w:kern w:val="0"/>
                <w:sz w:val="24"/>
              </w:rPr>
            </w:pPr>
            <w:r>
              <w:rPr>
                <w:rFonts w:hint="eastAsia" w:ascii="仿宋_GB2312" w:hAnsi="宋体" w:eastAsia="仿宋_GB2312" w:cs="宋体"/>
                <w:kern w:val="0"/>
                <w:sz w:val="24"/>
              </w:rPr>
              <w:t>26</w:t>
            </w:r>
          </w:p>
        </w:tc>
      </w:tr>
      <w:tr w14:paraId="04D69534">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nil"/>
              <w:right w:val="single" w:color="auto" w:sz="4" w:space="0"/>
            </w:tcBorders>
            <w:shd w:val="clear" w:color="auto" w:fill="auto"/>
            <w:noWrap/>
            <w:vAlign w:val="center"/>
          </w:tcPr>
          <w:p w14:paraId="7FC8031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制发规范性文件总数</w:t>
            </w:r>
          </w:p>
        </w:tc>
        <w:tc>
          <w:tcPr>
            <w:tcW w:w="720" w:type="dxa"/>
            <w:tcBorders>
              <w:top w:val="nil"/>
              <w:left w:val="nil"/>
              <w:bottom w:val="single" w:color="auto" w:sz="4" w:space="0"/>
              <w:right w:val="single" w:color="auto" w:sz="4" w:space="0"/>
            </w:tcBorders>
            <w:shd w:val="clear" w:color="auto" w:fill="auto"/>
            <w:noWrap/>
            <w:vAlign w:val="center"/>
          </w:tcPr>
          <w:p w14:paraId="6F78528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1DA9CF3">
            <w:pPr>
              <w:widowControl/>
              <w:jc w:val="center"/>
              <w:rPr>
                <w:rFonts w:ascii="仿宋_GB2312" w:hAnsi="宋体" w:eastAsia="仿宋_GB2312" w:cs="宋体"/>
                <w:kern w:val="0"/>
                <w:sz w:val="24"/>
              </w:rPr>
            </w:pPr>
            <w:r>
              <w:rPr>
                <w:rFonts w:hint="eastAsia" w:ascii="仿宋_GB2312" w:hAnsi="宋体" w:eastAsia="仿宋_GB2312" w:cs="宋体"/>
                <w:kern w:val="0"/>
                <w:sz w:val="24"/>
              </w:rPr>
              <w:t>26</w:t>
            </w:r>
          </w:p>
        </w:tc>
      </w:tr>
      <w:tr w14:paraId="29335CFE">
        <w:tblPrEx>
          <w:tblCellMar>
            <w:top w:w="0" w:type="dxa"/>
            <w:left w:w="108" w:type="dxa"/>
            <w:bottom w:w="0" w:type="dxa"/>
            <w:right w:w="108" w:type="dxa"/>
          </w:tblCellMar>
        </w:tblPrEx>
        <w:trPr>
          <w:trHeight w:val="660" w:hRule="atLeast"/>
          <w:jc w:val="center"/>
        </w:trPr>
        <w:tc>
          <w:tcPr>
            <w:tcW w:w="7763" w:type="dxa"/>
            <w:tcBorders>
              <w:top w:val="single" w:color="auto" w:sz="4" w:space="0"/>
              <w:left w:val="single" w:color="auto" w:sz="8" w:space="0"/>
              <w:bottom w:val="single" w:color="auto" w:sz="4" w:space="0"/>
              <w:right w:val="single" w:color="auto" w:sz="4" w:space="0"/>
            </w:tcBorders>
            <w:shd w:val="clear" w:color="auto" w:fill="auto"/>
            <w:vAlign w:val="center"/>
          </w:tcPr>
          <w:p w14:paraId="6B27A68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（二）重点领域公开政府信息数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shd w:val="clear" w:color="auto" w:fill="auto"/>
            <w:noWrap/>
            <w:vAlign w:val="center"/>
          </w:tcPr>
          <w:p w14:paraId="2A982BCB">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28EBAF82">
            <w:pPr>
              <w:widowControl/>
              <w:jc w:val="center"/>
              <w:rPr>
                <w:rFonts w:ascii="仿宋_GB2312" w:hAnsi="宋体" w:eastAsia="仿宋_GB2312" w:cs="宋体"/>
                <w:kern w:val="0"/>
                <w:sz w:val="24"/>
              </w:rPr>
            </w:pPr>
            <w:r>
              <w:rPr>
                <w:rFonts w:hint="eastAsia" w:ascii="仿宋_GB2312" w:hAnsi="宋体" w:eastAsia="仿宋_GB2312" w:cs="宋体"/>
                <w:kern w:val="0"/>
                <w:sz w:val="24"/>
              </w:rPr>
              <w:t>2649</w:t>
            </w:r>
          </w:p>
        </w:tc>
      </w:tr>
      <w:tr w14:paraId="7075C153">
        <w:tblPrEx>
          <w:tblCellMar>
            <w:top w:w="0" w:type="dxa"/>
            <w:left w:w="108" w:type="dxa"/>
            <w:bottom w:w="0" w:type="dxa"/>
            <w:right w:w="108" w:type="dxa"/>
          </w:tblCellMar>
        </w:tblPrEx>
        <w:trPr>
          <w:trHeight w:val="600"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03EEFCFD">
            <w:pPr>
              <w:widowControl/>
              <w:ind w:left="1680" w:hanging="1680" w:hangingChars="700"/>
              <w:rPr>
                <w:rFonts w:ascii="仿宋_GB2312" w:hAnsi="宋体" w:eastAsia="仿宋_GB2312" w:cs="宋体"/>
                <w:kern w:val="0"/>
                <w:sz w:val="24"/>
              </w:rPr>
            </w:pPr>
            <w:r>
              <w:rPr>
                <w:rFonts w:hint="eastAsia" w:ascii="仿宋_GB2312" w:hAnsi="宋体" w:eastAsia="仿宋_GB2312" w:cs="宋体"/>
                <w:kern w:val="0"/>
                <w:sz w:val="24"/>
              </w:rPr>
              <w:t xml:space="preserve">        其中：主动公开财政预算决算、“三公”经费</w:t>
            </w:r>
            <w:bookmarkStart w:id="10" w:name="_GoBack"/>
            <w:bookmarkEnd w:id="10"/>
            <w:r>
              <w:rPr>
                <w:rFonts w:hint="eastAsia" w:ascii="仿宋_GB2312" w:hAnsi="宋体" w:eastAsia="仿宋_GB2312" w:cs="宋体"/>
                <w:kern w:val="0"/>
                <w:sz w:val="24"/>
              </w:rPr>
              <w:t>和行政经费信息数</w:t>
            </w:r>
          </w:p>
        </w:tc>
        <w:tc>
          <w:tcPr>
            <w:tcW w:w="720" w:type="dxa"/>
            <w:tcBorders>
              <w:top w:val="nil"/>
              <w:left w:val="single" w:color="auto" w:sz="4" w:space="0"/>
              <w:bottom w:val="single" w:color="auto" w:sz="4" w:space="0"/>
              <w:right w:val="single" w:color="auto" w:sz="4" w:space="0"/>
            </w:tcBorders>
            <w:shd w:val="clear" w:color="auto" w:fill="auto"/>
            <w:noWrap/>
            <w:vAlign w:val="center"/>
          </w:tcPr>
          <w:p w14:paraId="1ECBB6D5">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65CB81DF">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4E0EE885">
        <w:tblPrEx>
          <w:tblCellMar>
            <w:top w:w="0" w:type="dxa"/>
            <w:left w:w="108" w:type="dxa"/>
            <w:bottom w:w="0" w:type="dxa"/>
            <w:right w:w="108" w:type="dxa"/>
          </w:tblCellMar>
        </w:tblPrEx>
        <w:trPr>
          <w:trHeight w:val="645"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314A9FD5">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主动公开保障性安居工程建设计划、项目开工和竣工情况，保障性住房的分配和退出等信息数</w:t>
            </w:r>
          </w:p>
        </w:tc>
        <w:tc>
          <w:tcPr>
            <w:tcW w:w="720" w:type="dxa"/>
            <w:tcBorders>
              <w:top w:val="nil"/>
              <w:left w:val="single" w:color="auto" w:sz="4" w:space="0"/>
              <w:bottom w:val="single" w:color="auto" w:sz="4" w:space="0"/>
              <w:right w:val="single" w:color="auto" w:sz="4" w:space="0"/>
            </w:tcBorders>
            <w:shd w:val="clear" w:color="auto" w:fill="auto"/>
            <w:noWrap/>
            <w:vAlign w:val="center"/>
          </w:tcPr>
          <w:p w14:paraId="3CD84DB8">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7DBD0285">
            <w:pPr>
              <w:widowControl/>
              <w:jc w:val="center"/>
              <w:rPr>
                <w:rFonts w:ascii="仿宋_GB2312" w:hAnsi="宋体" w:eastAsia="仿宋_GB2312" w:cs="宋体"/>
                <w:kern w:val="0"/>
                <w:sz w:val="24"/>
              </w:rPr>
            </w:pPr>
            <w:r>
              <w:rPr>
                <w:rFonts w:hint="eastAsia" w:ascii="仿宋_GB2312" w:hAnsi="宋体" w:eastAsia="仿宋_GB2312" w:cs="宋体"/>
                <w:kern w:val="0"/>
                <w:sz w:val="24"/>
              </w:rPr>
              <w:t>84</w:t>
            </w:r>
          </w:p>
        </w:tc>
      </w:tr>
      <w:tr w14:paraId="5A12438E">
        <w:tblPrEx>
          <w:tblCellMar>
            <w:top w:w="0" w:type="dxa"/>
            <w:left w:w="108" w:type="dxa"/>
            <w:bottom w:w="0" w:type="dxa"/>
            <w:right w:w="108" w:type="dxa"/>
          </w:tblCellMar>
        </w:tblPrEx>
        <w:trPr>
          <w:trHeight w:val="570"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4F06FB30">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主动公开食品安全标准，食品生产经营许可、专项检查整治等信息数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396151F0">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5F393F62">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5F264D49">
        <w:tblPrEx>
          <w:tblCellMar>
            <w:top w:w="0" w:type="dxa"/>
            <w:left w:w="108" w:type="dxa"/>
            <w:bottom w:w="0" w:type="dxa"/>
            <w:right w:w="108" w:type="dxa"/>
          </w:tblCellMar>
        </w:tblPrEx>
        <w:trPr>
          <w:trHeight w:val="585"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2BC319D7">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主动公开环境核查审批、环境状况公报和重特大突发环境事件等信息数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395574A2">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4E4289CA">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63FAA03">
        <w:tblPrEx>
          <w:tblCellMar>
            <w:top w:w="0" w:type="dxa"/>
            <w:left w:w="108" w:type="dxa"/>
            <w:bottom w:w="0" w:type="dxa"/>
            <w:right w:w="108" w:type="dxa"/>
          </w:tblCellMar>
        </w:tblPrEx>
        <w:trPr>
          <w:trHeight w:val="780"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6B1F5664">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主动公开招投标违法违规行为及处理情况、国有资金占控股或者主导地位依法应当招标的项目等信息数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19614140">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62C0131F">
            <w:pPr>
              <w:widowControl/>
              <w:jc w:val="center"/>
              <w:rPr>
                <w:rFonts w:ascii="仿宋_GB2312" w:hAnsi="宋体" w:eastAsia="仿宋_GB2312" w:cs="宋体"/>
                <w:kern w:val="0"/>
                <w:sz w:val="24"/>
              </w:rPr>
            </w:pPr>
            <w:r>
              <w:rPr>
                <w:rFonts w:hint="eastAsia" w:ascii="仿宋_GB2312" w:hAnsi="宋体" w:eastAsia="仿宋_GB2312" w:cs="宋体"/>
                <w:kern w:val="0"/>
                <w:sz w:val="24"/>
              </w:rPr>
              <w:t>2563</w:t>
            </w:r>
          </w:p>
        </w:tc>
      </w:tr>
      <w:tr w14:paraId="4F614ABD">
        <w:tblPrEx>
          <w:tblCellMar>
            <w:top w:w="0" w:type="dxa"/>
            <w:left w:w="108" w:type="dxa"/>
            <w:bottom w:w="0" w:type="dxa"/>
            <w:right w:w="108" w:type="dxa"/>
          </w:tblCellMar>
        </w:tblPrEx>
        <w:trPr>
          <w:trHeight w:val="555"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3EF35FBD">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主动公开生产安全事故的政府举措、处置进展、风险预警、防范措施等信息数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5CD2E9A6">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6D1DB937">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65334BD8">
        <w:tblPrEx>
          <w:tblCellMar>
            <w:top w:w="0" w:type="dxa"/>
            <w:left w:w="108" w:type="dxa"/>
            <w:bottom w:w="0" w:type="dxa"/>
            <w:right w:w="108" w:type="dxa"/>
          </w:tblCellMar>
        </w:tblPrEx>
        <w:trPr>
          <w:trHeight w:val="690"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27FE4E9E">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主动公开农用地转为建设用地批准、征收集体土地批准、征地公告、征地补偿安置公示、集体土地征收结案等信息数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0CD47334">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697939C7">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775823FD">
        <w:tblPrEx>
          <w:tblCellMar>
            <w:top w:w="0" w:type="dxa"/>
            <w:left w:w="108" w:type="dxa"/>
            <w:bottom w:w="0" w:type="dxa"/>
            <w:right w:w="108" w:type="dxa"/>
          </w:tblCellMar>
        </w:tblPrEx>
        <w:trPr>
          <w:trHeight w:val="720"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6B163827">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主动公开政府指导价、政府定价和收费标准调整的项目、价格、依据、执行时间和范围等信息数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17AA6631">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7123DD5B">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ECB0AD4">
        <w:tblPrEx>
          <w:tblCellMar>
            <w:top w:w="0" w:type="dxa"/>
            <w:left w:w="108" w:type="dxa"/>
            <w:bottom w:w="0" w:type="dxa"/>
            <w:right w:w="108" w:type="dxa"/>
          </w:tblCellMar>
        </w:tblPrEx>
        <w:trPr>
          <w:trHeight w:val="525"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09E0BAB3">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主动公开本市企业信用信息系统中的警示信息和良好信息等信息数</w:t>
            </w:r>
          </w:p>
        </w:tc>
        <w:tc>
          <w:tcPr>
            <w:tcW w:w="720" w:type="dxa"/>
            <w:tcBorders>
              <w:top w:val="nil"/>
              <w:left w:val="single" w:color="auto" w:sz="4" w:space="0"/>
              <w:bottom w:val="single" w:color="auto" w:sz="4" w:space="0"/>
              <w:right w:val="single" w:color="auto" w:sz="4" w:space="0"/>
            </w:tcBorders>
            <w:shd w:val="clear" w:color="auto" w:fill="auto"/>
            <w:noWrap/>
            <w:vAlign w:val="center"/>
          </w:tcPr>
          <w:p w14:paraId="0E1BDD30">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395A29BF">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459C331">
        <w:tblPrEx>
          <w:tblCellMar>
            <w:top w:w="0" w:type="dxa"/>
            <w:left w:w="108" w:type="dxa"/>
            <w:bottom w:w="0" w:type="dxa"/>
            <w:right w:w="108" w:type="dxa"/>
          </w:tblCellMar>
        </w:tblPrEx>
        <w:trPr>
          <w:trHeight w:val="585"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65FD5FE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主动公开政府部门预算执行审计结果等信息数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241FE406">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558D717E">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E716639">
        <w:tblPrEx>
          <w:tblCellMar>
            <w:top w:w="0" w:type="dxa"/>
            <w:left w:w="108" w:type="dxa"/>
            <w:bottom w:w="0" w:type="dxa"/>
            <w:right w:w="108" w:type="dxa"/>
          </w:tblCellMar>
        </w:tblPrEx>
        <w:trPr>
          <w:trHeight w:val="675"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4C0169AE">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主动公开行政机关对与人民群众利益密切相关的公共企事业单位进行监督管理的信息数</w:t>
            </w:r>
          </w:p>
        </w:tc>
        <w:tc>
          <w:tcPr>
            <w:tcW w:w="720" w:type="dxa"/>
            <w:tcBorders>
              <w:top w:val="nil"/>
              <w:left w:val="single" w:color="auto" w:sz="4" w:space="0"/>
              <w:bottom w:val="single" w:color="auto" w:sz="8" w:space="0"/>
              <w:right w:val="single" w:color="auto" w:sz="4" w:space="0"/>
            </w:tcBorders>
            <w:shd w:val="clear" w:color="auto" w:fill="auto"/>
            <w:vAlign w:val="center"/>
          </w:tcPr>
          <w:p w14:paraId="607597C8">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8" w:space="0"/>
              <w:right w:val="single" w:color="auto" w:sz="8" w:space="0"/>
            </w:tcBorders>
            <w:shd w:val="clear" w:color="auto" w:fill="auto"/>
            <w:vAlign w:val="center"/>
          </w:tcPr>
          <w:p w14:paraId="057FF969">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B5EEAEC">
        <w:tblPrEx>
          <w:tblCellMar>
            <w:top w:w="0" w:type="dxa"/>
            <w:left w:w="108" w:type="dxa"/>
            <w:bottom w:w="0" w:type="dxa"/>
            <w:right w:w="108" w:type="dxa"/>
          </w:tblCellMar>
        </w:tblPrEx>
        <w:trPr>
          <w:trHeight w:val="405"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7850A34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主动公开市人民政府决定主动公开的其他信息数</w:t>
            </w:r>
          </w:p>
        </w:tc>
        <w:tc>
          <w:tcPr>
            <w:tcW w:w="720" w:type="dxa"/>
            <w:tcBorders>
              <w:top w:val="single" w:color="auto" w:sz="8" w:space="0"/>
              <w:left w:val="single" w:color="auto" w:sz="4" w:space="0"/>
              <w:bottom w:val="single" w:color="auto" w:sz="8" w:space="0"/>
              <w:right w:val="single" w:color="auto" w:sz="8" w:space="0"/>
            </w:tcBorders>
            <w:shd w:val="clear" w:color="auto" w:fill="auto"/>
            <w:vAlign w:val="center"/>
          </w:tcPr>
          <w:p w14:paraId="454B48D1">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8" w:space="0"/>
              <w:left w:val="single" w:color="auto" w:sz="8" w:space="0"/>
              <w:bottom w:val="single" w:color="auto" w:sz="8" w:space="0"/>
              <w:right w:val="single" w:color="auto" w:sz="8" w:space="0"/>
            </w:tcBorders>
            <w:shd w:val="clear" w:color="auto" w:fill="auto"/>
            <w:vAlign w:val="center"/>
          </w:tcPr>
          <w:p w14:paraId="6684C09A">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4B784A43">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D6B56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（三）通过不同渠道和方式公开政府信息的情况</w:t>
            </w:r>
          </w:p>
        </w:tc>
        <w:tc>
          <w:tcPr>
            <w:tcW w:w="720" w:type="dxa"/>
            <w:tcBorders>
              <w:top w:val="single" w:color="auto" w:sz="8" w:space="0"/>
              <w:left w:val="nil"/>
              <w:bottom w:val="single" w:color="auto" w:sz="4" w:space="0"/>
              <w:right w:val="single" w:color="auto" w:sz="4" w:space="0"/>
              <w:tr2bl w:val="single" w:color="auto" w:sz="4" w:space="0"/>
            </w:tcBorders>
            <w:shd w:val="clear" w:color="auto" w:fill="auto"/>
            <w:noWrap/>
            <w:vAlign w:val="center"/>
          </w:tcPr>
          <w:p w14:paraId="05560B24">
            <w:pPr>
              <w:widowControl/>
              <w:jc w:val="center"/>
              <w:rPr>
                <w:rFonts w:ascii="仿宋_GB2312" w:hAnsi="宋体" w:eastAsia="仿宋_GB2312" w:cs="宋体"/>
                <w:kern w:val="0"/>
                <w:sz w:val="24"/>
              </w:rPr>
            </w:pPr>
          </w:p>
        </w:tc>
        <w:tc>
          <w:tcPr>
            <w:tcW w:w="1080" w:type="dxa"/>
            <w:tcBorders>
              <w:top w:val="single" w:color="auto" w:sz="8" w:space="0"/>
              <w:left w:val="nil"/>
              <w:bottom w:val="single" w:color="auto" w:sz="4" w:space="0"/>
              <w:right w:val="single" w:color="auto" w:sz="8" w:space="0"/>
            </w:tcBorders>
            <w:shd w:val="clear" w:color="auto" w:fill="auto"/>
            <w:noWrap/>
            <w:vAlign w:val="center"/>
          </w:tcPr>
          <w:p w14:paraId="6D43A8F7">
            <w:pPr>
              <w:widowControl/>
              <w:jc w:val="center"/>
              <w:rPr>
                <w:rFonts w:ascii="仿宋_GB2312" w:hAnsi="宋体" w:eastAsia="仿宋_GB2312" w:cs="宋体"/>
                <w:kern w:val="0"/>
                <w:sz w:val="24"/>
              </w:rPr>
            </w:pPr>
            <w:r>
              <w:rPr>
                <w:rFonts w:hint="eastAsia" w:ascii="仿宋_GB2312" w:hAnsi="宋体" w:eastAsia="仿宋_GB2312" w:cs="宋体"/>
                <w:kern w:val="0"/>
                <w:sz w:val="24"/>
              </w:rPr>
              <w:t>12975</w:t>
            </w:r>
          </w:p>
        </w:tc>
      </w:tr>
      <w:tr w14:paraId="73C3180F">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520B0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1.政府公报公开政府信息数</w:t>
            </w:r>
          </w:p>
        </w:tc>
        <w:tc>
          <w:tcPr>
            <w:tcW w:w="720" w:type="dxa"/>
            <w:tcBorders>
              <w:top w:val="nil"/>
              <w:left w:val="nil"/>
              <w:bottom w:val="single" w:color="auto" w:sz="4" w:space="0"/>
              <w:right w:val="single" w:color="auto" w:sz="4" w:space="0"/>
            </w:tcBorders>
            <w:shd w:val="clear" w:color="auto" w:fill="auto"/>
            <w:noWrap/>
            <w:vAlign w:val="center"/>
          </w:tcPr>
          <w:p w14:paraId="29102044">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1D36E1B7">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1CE1524">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1A792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2.政府网站公开政府信息数</w:t>
            </w:r>
          </w:p>
        </w:tc>
        <w:tc>
          <w:tcPr>
            <w:tcW w:w="720" w:type="dxa"/>
            <w:tcBorders>
              <w:top w:val="nil"/>
              <w:left w:val="nil"/>
              <w:bottom w:val="single" w:color="auto" w:sz="4" w:space="0"/>
              <w:right w:val="single" w:color="auto" w:sz="4" w:space="0"/>
            </w:tcBorders>
            <w:shd w:val="clear" w:color="auto" w:fill="auto"/>
            <w:noWrap/>
            <w:vAlign w:val="center"/>
          </w:tcPr>
          <w:p w14:paraId="2B55C033">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30FD18F7">
            <w:pPr>
              <w:widowControl/>
              <w:jc w:val="center"/>
              <w:rPr>
                <w:rFonts w:ascii="仿宋_GB2312" w:hAnsi="宋体" w:eastAsia="仿宋_GB2312" w:cs="宋体"/>
                <w:kern w:val="0"/>
                <w:sz w:val="24"/>
              </w:rPr>
            </w:pPr>
            <w:r>
              <w:rPr>
                <w:rFonts w:hint="eastAsia" w:ascii="仿宋_GB2312" w:hAnsi="宋体" w:eastAsia="仿宋_GB2312" w:cs="宋体"/>
                <w:kern w:val="0"/>
                <w:sz w:val="24"/>
              </w:rPr>
              <w:t>5921</w:t>
            </w:r>
          </w:p>
        </w:tc>
      </w:tr>
      <w:tr w14:paraId="77396BC0">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3ADE1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3.政务微博公开政府信息数</w:t>
            </w:r>
          </w:p>
        </w:tc>
        <w:tc>
          <w:tcPr>
            <w:tcW w:w="720" w:type="dxa"/>
            <w:tcBorders>
              <w:top w:val="nil"/>
              <w:left w:val="nil"/>
              <w:bottom w:val="single" w:color="auto" w:sz="4" w:space="0"/>
              <w:right w:val="single" w:color="auto" w:sz="4" w:space="0"/>
            </w:tcBorders>
            <w:shd w:val="clear" w:color="auto" w:fill="auto"/>
            <w:noWrap/>
            <w:vAlign w:val="center"/>
          </w:tcPr>
          <w:p w14:paraId="57CFC452">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0CAD23CF">
            <w:pPr>
              <w:widowControl/>
              <w:jc w:val="center"/>
              <w:rPr>
                <w:rFonts w:ascii="仿宋_GB2312" w:hAnsi="宋体" w:eastAsia="仿宋_GB2312" w:cs="宋体"/>
                <w:kern w:val="0"/>
                <w:sz w:val="24"/>
              </w:rPr>
            </w:pPr>
            <w:r>
              <w:rPr>
                <w:rFonts w:hint="eastAsia" w:ascii="仿宋_GB2312" w:hAnsi="宋体" w:eastAsia="仿宋_GB2312" w:cs="宋体"/>
                <w:kern w:val="0"/>
                <w:sz w:val="24"/>
              </w:rPr>
              <w:t>678</w:t>
            </w:r>
          </w:p>
        </w:tc>
      </w:tr>
      <w:tr w14:paraId="49FF1529">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C0FB2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4.政务微信公开政府信息数</w:t>
            </w:r>
          </w:p>
        </w:tc>
        <w:tc>
          <w:tcPr>
            <w:tcW w:w="720" w:type="dxa"/>
            <w:tcBorders>
              <w:top w:val="nil"/>
              <w:left w:val="nil"/>
              <w:bottom w:val="single" w:color="auto" w:sz="4" w:space="0"/>
              <w:right w:val="single" w:color="auto" w:sz="4" w:space="0"/>
            </w:tcBorders>
            <w:shd w:val="clear" w:color="auto" w:fill="auto"/>
            <w:noWrap/>
            <w:vAlign w:val="center"/>
          </w:tcPr>
          <w:p w14:paraId="73788B25">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43685FAD">
            <w:pPr>
              <w:widowControl/>
              <w:jc w:val="center"/>
              <w:rPr>
                <w:rFonts w:ascii="仿宋_GB2312" w:hAnsi="宋体" w:eastAsia="仿宋_GB2312" w:cs="宋体"/>
                <w:kern w:val="0"/>
                <w:sz w:val="24"/>
              </w:rPr>
            </w:pPr>
            <w:r>
              <w:rPr>
                <w:rFonts w:hint="eastAsia" w:ascii="仿宋_GB2312" w:hAnsi="宋体" w:eastAsia="仿宋_GB2312" w:cs="宋体"/>
                <w:kern w:val="0"/>
                <w:sz w:val="24"/>
              </w:rPr>
              <w:t>521</w:t>
            </w:r>
          </w:p>
        </w:tc>
      </w:tr>
      <w:tr w14:paraId="04C9ADBB">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08629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5.其他方式公开政府信息数</w:t>
            </w:r>
          </w:p>
        </w:tc>
        <w:tc>
          <w:tcPr>
            <w:tcW w:w="720" w:type="dxa"/>
            <w:tcBorders>
              <w:top w:val="nil"/>
              <w:left w:val="nil"/>
              <w:bottom w:val="single" w:color="auto" w:sz="4" w:space="0"/>
              <w:right w:val="single" w:color="auto" w:sz="4" w:space="0"/>
            </w:tcBorders>
            <w:shd w:val="clear" w:color="auto" w:fill="auto"/>
            <w:noWrap/>
            <w:vAlign w:val="center"/>
          </w:tcPr>
          <w:p w14:paraId="2BB269B9">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5D43B9FD">
            <w:pPr>
              <w:widowControl/>
              <w:jc w:val="center"/>
              <w:rPr>
                <w:rFonts w:ascii="仿宋_GB2312" w:hAnsi="宋体" w:eastAsia="仿宋_GB2312" w:cs="宋体"/>
                <w:kern w:val="0"/>
                <w:sz w:val="24"/>
              </w:rPr>
            </w:pPr>
            <w:r>
              <w:rPr>
                <w:rFonts w:hint="eastAsia" w:ascii="仿宋_GB2312" w:hAnsi="宋体" w:eastAsia="仿宋_GB2312" w:cs="宋体"/>
                <w:kern w:val="0"/>
                <w:sz w:val="24"/>
              </w:rPr>
              <w:t>5855</w:t>
            </w:r>
          </w:p>
        </w:tc>
      </w:tr>
      <w:tr w14:paraId="3EAF6C2B">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FD9A3E">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二、回应解读情况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1905BC5B">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14:paraId="26D0C909">
            <w:pPr>
              <w:widowControl/>
              <w:jc w:val="center"/>
              <w:rPr>
                <w:rFonts w:ascii="仿宋_GB2312" w:hAnsi="宋体" w:eastAsia="仿宋_GB2312" w:cs="宋体"/>
                <w:kern w:val="0"/>
                <w:sz w:val="24"/>
              </w:rPr>
            </w:pPr>
          </w:p>
        </w:tc>
      </w:tr>
      <w:tr w14:paraId="75614F66">
        <w:tblPrEx>
          <w:tblCellMar>
            <w:top w:w="0" w:type="dxa"/>
            <w:left w:w="108" w:type="dxa"/>
            <w:bottom w:w="0" w:type="dxa"/>
            <w:right w:w="108" w:type="dxa"/>
          </w:tblCellMar>
        </w:tblPrEx>
        <w:trPr>
          <w:trHeight w:val="660"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202CB53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（一）回应公众关注热点或重大舆情数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（不同方式回应同一热点或舆情计1次）</w:t>
            </w:r>
          </w:p>
        </w:tc>
        <w:tc>
          <w:tcPr>
            <w:tcW w:w="720" w:type="dxa"/>
            <w:tcBorders>
              <w:top w:val="nil"/>
              <w:left w:val="nil"/>
              <w:bottom w:val="single" w:color="auto" w:sz="4" w:space="0"/>
              <w:right w:val="single" w:color="auto" w:sz="4" w:space="0"/>
            </w:tcBorders>
            <w:shd w:val="clear" w:color="auto" w:fill="auto"/>
            <w:noWrap/>
            <w:vAlign w:val="center"/>
          </w:tcPr>
          <w:p w14:paraId="160CADAB">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7BC3A547">
            <w:pPr>
              <w:widowControl/>
              <w:jc w:val="center"/>
              <w:rPr>
                <w:rFonts w:ascii="仿宋_GB2312" w:hAnsi="宋体" w:eastAsia="仿宋_GB2312" w:cs="宋体"/>
                <w:kern w:val="0"/>
                <w:sz w:val="24"/>
              </w:rPr>
            </w:pPr>
            <w:r>
              <w:rPr>
                <w:rFonts w:hint="eastAsia" w:ascii="仿宋_GB2312" w:hAnsi="宋体" w:eastAsia="仿宋_GB2312" w:cs="宋体"/>
                <w:kern w:val="0"/>
                <w:sz w:val="24"/>
              </w:rPr>
              <w:t>28</w:t>
            </w:r>
          </w:p>
        </w:tc>
      </w:tr>
      <w:tr w14:paraId="063963DA">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vAlign w:val="center"/>
          </w:tcPr>
          <w:p w14:paraId="3ECD892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（二）通过不同渠道和方式回应解读的情况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32FEA11A">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14:paraId="215AD309">
            <w:pPr>
              <w:widowControl/>
              <w:jc w:val="center"/>
              <w:rPr>
                <w:rFonts w:ascii="仿宋_GB2312" w:hAnsi="宋体" w:eastAsia="仿宋_GB2312" w:cs="宋体"/>
                <w:kern w:val="0"/>
                <w:sz w:val="24"/>
              </w:rPr>
            </w:pPr>
            <w:r>
              <w:rPr>
                <w:rFonts w:hint="eastAsia" w:ascii="仿宋_GB2312" w:hAnsi="宋体" w:eastAsia="仿宋_GB2312" w:cs="宋体"/>
                <w:kern w:val="0"/>
                <w:sz w:val="24"/>
              </w:rPr>
              <w:t>87</w:t>
            </w:r>
          </w:p>
        </w:tc>
      </w:tr>
      <w:tr w14:paraId="52956392">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CA84F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1.参加或举办新闻发布会总次数</w:t>
            </w:r>
          </w:p>
        </w:tc>
        <w:tc>
          <w:tcPr>
            <w:tcW w:w="720" w:type="dxa"/>
            <w:tcBorders>
              <w:top w:val="nil"/>
              <w:left w:val="nil"/>
              <w:bottom w:val="single" w:color="auto" w:sz="4" w:space="0"/>
              <w:right w:val="single" w:color="auto" w:sz="4" w:space="0"/>
            </w:tcBorders>
            <w:shd w:val="clear" w:color="auto" w:fill="auto"/>
            <w:noWrap/>
            <w:vAlign w:val="center"/>
          </w:tcPr>
          <w:p w14:paraId="01EBE80C">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009B53C5">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r>
      <w:tr w14:paraId="6D165C3F">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C9249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其中：主要负责同志参加新闻发布会次数</w:t>
            </w:r>
          </w:p>
        </w:tc>
        <w:tc>
          <w:tcPr>
            <w:tcW w:w="720" w:type="dxa"/>
            <w:tcBorders>
              <w:top w:val="nil"/>
              <w:left w:val="nil"/>
              <w:bottom w:val="single" w:color="auto" w:sz="4" w:space="0"/>
              <w:right w:val="single" w:color="auto" w:sz="4" w:space="0"/>
            </w:tcBorders>
            <w:shd w:val="clear" w:color="auto" w:fill="auto"/>
            <w:noWrap/>
            <w:vAlign w:val="center"/>
          </w:tcPr>
          <w:p w14:paraId="6E49E67E">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547A4166">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FB95DA0">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0BA0935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2.政府网站在线访谈次数</w:t>
            </w:r>
          </w:p>
        </w:tc>
        <w:tc>
          <w:tcPr>
            <w:tcW w:w="720" w:type="dxa"/>
            <w:tcBorders>
              <w:top w:val="nil"/>
              <w:left w:val="nil"/>
              <w:bottom w:val="single" w:color="auto" w:sz="4" w:space="0"/>
              <w:right w:val="single" w:color="auto" w:sz="4" w:space="0"/>
            </w:tcBorders>
            <w:shd w:val="clear" w:color="auto" w:fill="auto"/>
            <w:noWrap/>
            <w:vAlign w:val="center"/>
          </w:tcPr>
          <w:p w14:paraId="3218A7A2">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0A1C7931">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42E8335F">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22E4397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其中：主要负责同志参加政府网站在线访谈次数</w:t>
            </w:r>
          </w:p>
        </w:tc>
        <w:tc>
          <w:tcPr>
            <w:tcW w:w="720" w:type="dxa"/>
            <w:tcBorders>
              <w:top w:val="nil"/>
              <w:left w:val="nil"/>
              <w:bottom w:val="single" w:color="auto" w:sz="4" w:space="0"/>
              <w:right w:val="single" w:color="auto" w:sz="4" w:space="0"/>
            </w:tcBorders>
            <w:shd w:val="clear" w:color="auto" w:fill="auto"/>
            <w:noWrap/>
            <w:vAlign w:val="center"/>
          </w:tcPr>
          <w:p w14:paraId="6F139464">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6AEEFC41">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1B9EAE7">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1323F84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3.政策解读稿件发布数</w:t>
            </w:r>
          </w:p>
        </w:tc>
        <w:tc>
          <w:tcPr>
            <w:tcW w:w="720" w:type="dxa"/>
            <w:tcBorders>
              <w:top w:val="nil"/>
              <w:left w:val="nil"/>
              <w:bottom w:val="single" w:color="auto" w:sz="4" w:space="0"/>
              <w:right w:val="single" w:color="auto" w:sz="4" w:space="0"/>
            </w:tcBorders>
            <w:shd w:val="clear" w:color="auto" w:fill="auto"/>
            <w:noWrap/>
            <w:vAlign w:val="center"/>
          </w:tcPr>
          <w:p w14:paraId="2B72E5AD">
            <w:pPr>
              <w:widowControl/>
              <w:jc w:val="center"/>
              <w:rPr>
                <w:rFonts w:ascii="仿宋_GB2312" w:hAnsi="宋体" w:eastAsia="仿宋_GB2312" w:cs="宋体"/>
                <w:kern w:val="0"/>
                <w:sz w:val="24"/>
              </w:rPr>
            </w:pPr>
            <w:r>
              <w:rPr>
                <w:rFonts w:hint="eastAsia" w:ascii="仿宋_GB2312" w:hAnsi="宋体" w:eastAsia="仿宋_GB2312" w:cs="宋体"/>
                <w:kern w:val="0"/>
                <w:sz w:val="24"/>
              </w:rPr>
              <w:t>篇</w:t>
            </w:r>
          </w:p>
        </w:tc>
        <w:tc>
          <w:tcPr>
            <w:tcW w:w="1080" w:type="dxa"/>
            <w:tcBorders>
              <w:top w:val="nil"/>
              <w:left w:val="nil"/>
              <w:bottom w:val="single" w:color="auto" w:sz="4" w:space="0"/>
              <w:right w:val="single" w:color="auto" w:sz="8" w:space="0"/>
            </w:tcBorders>
            <w:shd w:val="clear" w:color="auto" w:fill="auto"/>
            <w:noWrap/>
            <w:vAlign w:val="center"/>
          </w:tcPr>
          <w:p w14:paraId="6DBC63A9">
            <w:pPr>
              <w:widowControl/>
              <w:jc w:val="center"/>
              <w:rPr>
                <w:rFonts w:ascii="仿宋_GB2312" w:hAnsi="宋体" w:eastAsia="仿宋_GB2312" w:cs="宋体"/>
                <w:kern w:val="0"/>
                <w:sz w:val="24"/>
              </w:rPr>
            </w:pPr>
            <w:r>
              <w:rPr>
                <w:rFonts w:hint="eastAsia" w:ascii="仿宋_GB2312" w:hAnsi="宋体" w:eastAsia="仿宋_GB2312" w:cs="宋体"/>
                <w:kern w:val="0"/>
                <w:sz w:val="24"/>
              </w:rPr>
              <w:t>27</w:t>
            </w:r>
          </w:p>
        </w:tc>
      </w:tr>
      <w:tr w14:paraId="00278FDF">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70036B5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4.微博微信回应事件数</w:t>
            </w:r>
          </w:p>
        </w:tc>
        <w:tc>
          <w:tcPr>
            <w:tcW w:w="720" w:type="dxa"/>
            <w:tcBorders>
              <w:top w:val="nil"/>
              <w:left w:val="nil"/>
              <w:bottom w:val="single" w:color="auto" w:sz="4" w:space="0"/>
              <w:right w:val="single" w:color="auto" w:sz="4" w:space="0"/>
            </w:tcBorders>
            <w:shd w:val="clear" w:color="auto" w:fill="auto"/>
            <w:noWrap/>
            <w:vAlign w:val="center"/>
          </w:tcPr>
          <w:p w14:paraId="0AFAB163">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6C5C7529">
            <w:pPr>
              <w:widowControl/>
              <w:jc w:val="center"/>
              <w:rPr>
                <w:rFonts w:ascii="仿宋_GB2312" w:hAnsi="宋体" w:eastAsia="仿宋_GB2312" w:cs="宋体"/>
                <w:kern w:val="0"/>
                <w:sz w:val="24"/>
              </w:rPr>
            </w:pPr>
            <w:r>
              <w:rPr>
                <w:rFonts w:hint="eastAsia" w:ascii="仿宋_GB2312" w:hAnsi="宋体" w:eastAsia="仿宋_GB2312" w:cs="宋体"/>
                <w:kern w:val="0"/>
                <w:sz w:val="24"/>
              </w:rPr>
              <w:t>25</w:t>
            </w:r>
          </w:p>
        </w:tc>
      </w:tr>
      <w:tr w14:paraId="7EBDDA9E">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0229158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5.其他方式回应事件数</w:t>
            </w:r>
          </w:p>
        </w:tc>
        <w:tc>
          <w:tcPr>
            <w:tcW w:w="720" w:type="dxa"/>
            <w:tcBorders>
              <w:top w:val="nil"/>
              <w:left w:val="nil"/>
              <w:bottom w:val="single" w:color="auto" w:sz="4" w:space="0"/>
              <w:right w:val="single" w:color="auto" w:sz="4" w:space="0"/>
            </w:tcBorders>
            <w:shd w:val="clear" w:color="auto" w:fill="auto"/>
            <w:noWrap/>
            <w:vAlign w:val="center"/>
          </w:tcPr>
          <w:p w14:paraId="4E5C4808">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1237B786">
            <w:pPr>
              <w:widowControl/>
              <w:jc w:val="center"/>
              <w:rPr>
                <w:rFonts w:ascii="仿宋_GB2312" w:hAnsi="宋体" w:eastAsia="仿宋_GB2312" w:cs="宋体"/>
                <w:kern w:val="0"/>
                <w:sz w:val="24"/>
              </w:rPr>
            </w:pPr>
            <w:r>
              <w:rPr>
                <w:rFonts w:hint="eastAsia" w:ascii="仿宋_GB2312" w:hAnsi="宋体" w:eastAsia="仿宋_GB2312" w:cs="宋体"/>
                <w:kern w:val="0"/>
                <w:sz w:val="24"/>
              </w:rPr>
              <w:t>28</w:t>
            </w:r>
          </w:p>
        </w:tc>
      </w:tr>
      <w:tr w14:paraId="234309F3">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36AF0F8F">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三、依申请公开情况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2290FFC7">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14:paraId="6A4C7602">
            <w:pPr>
              <w:widowControl/>
              <w:jc w:val="center"/>
              <w:rPr>
                <w:rFonts w:ascii="仿宋_GB2312" w:hAnsi="宋体" w:eastAsia="仿宋_GB2312" w:cs="宋体"/>
                <w:kern w:val="0"/>
                <w:sz w:val="24"/>
              </w:rPr>
            </w:pPr>
          </w:p>
        </w:tc>
      </w:tr>
      <w:tr w14:paraId="166B94A6">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6EC1AD2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（一）收到申请数</w:t>
            </w:r>
          </w:p>
        </w:tc>
        <w:tc>
          <w:tcPr>
            <w:tcW w:w="720" w:type="dxa"/>
            <w:tcBorders>
              <w:top w:val="nil"/>
              <w:left w:val="nil"/>
              <w:bottom w:val="single" w:color="auto" w:sz="4" w:space="0"/>
              <w:right w:val="single" w:color="auto" w:sz="4" w:space="0"/>
            </w:tcBorders>
            <w:shd w:val="clear" w:color="auto" w:fill="auto"/>
            <w:noWrap/>
            <w:vAlign w:val="center"/>
          </w:tcPr>
          <w:p w14:paraId="074318E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00072801">
            <w:pPr>
              <w:widowControl/>
              <w:jc w:val="center"/>
              <w:rPr>
                <w:rFonts w:ascii="仿宋_GB2312" w:hAnsi="宋体" w:eastAsia="仿宋_GB2312" w:cs="宋体"/>
                <w:kern w:val="0"/>
                <w:sz w:val="24"/>
              </w:rPr>
            </w:pPr>
            <w:r>
              <w:rPr>
                <w:rFonts w:hint="eastAsia" w:ascii="仿宋_GB2312" w:hAnsi="宋体" w:eastAsia="仿宋_GB2312" w:cs="宋体"/>
                <w:kern w:val="0"/>
                <w:sz w:val="24"/>
              </w:rPr>
              <w:t>1299</w:t>
            </w:r>
          </w:p>
        </w:tc>
      </w:tr>
      <w:tr w14:paraId="0622EFB3">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514D949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1.当面申请数</w:t>
            </w:r>
          </w:p>
        </w:tc>
        <w:tc>
          <w:tcPr>
            <w:tcW w:w="720" w:type="dxa"/>
            <w:tcBorders>
              <w:top w:val="nil"/>
              <w:left w:val="nil"/>
              <w:bottom w:val="single" w:color="auto" w:sz="4" w:space="0"/>
              <w:right w:val="single" w:color="auto" w:sz="4" w:space="0"/>
            </w:tcBorders>
            <w:shd w:val="clear" w:color="auto" w:fill="auto"/>
            <w:noWrap/>
            <w:vAlign w:val="center"/>
          </w:tcPr>
          <w:p w14:paraId="5C210BFC">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B358DFC">
            <w:pPr>
              <w:widowControl/>
              <w:jc w:val="center"/>
              <w:rPr>
                <w:rFonts w:ascii="仿宋_GB2312" w:hAnsi="宋体" w:eastAsia="仿宋_GB2312" w:cs="宋体"/>
                <w:kern w:val="0"/>
                <w:sz w:val="24"/>
              </w:rPr>
            </w:pPr>
            <w:r>
              <w:rPr>
                <w:rFonts w:hint="eastAsia" w:ascii="仿宋_GB2312" w:hAnsi="宋体" w:eastAsia="仿宋_GB2312" w:cs="宋体"/>
                <w:kern w:val="0"/>
                <w:sz w:val="24"/>
              </w:rPr>
              <w:t>596</w:t>
            </w:r>
          </w:p>
        </w:tc>
      </w:tr>
      <w:tr w14:paraId="442E2A08">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5128A84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2.传真申请数</w:t>
            </w:r>
          </w:p>
        </w:tc>
        <w:tc>
          <w:tcPr>
            <w:tcW w:w="720" w:type="dxa"/>
            <w:tcBorders>
              <w:top w:val="nil"/>
              <w:left w:val="nil"/>
              <w:bottom w:val="single" w:color="auto" w:sz="4" w:space="0"/>
              <w:right w:val="single" w:color="auto" w:sz="4" w:space="0"/>
            </w:tcBorders>
            <w:shd w:val="clear" w:color="auto" w:fill="auto"/>
            <w:noWrap/>
            <w:vAlign w:val="center"/>
          </w:tcPr>
          <w:p w14:paraId="448071D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883FF76">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568EC20">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217B37B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3.网络申请数</w:t>
            </w:r>
          </w:p>
        </w:tc>
        <w:tc>
          <w:tcPr>
            <w:tcW w:w="720" w:type="dxa"/>
            <w:tcBorders>
              <w:top w:val="nil"/>
              <w:left w:val="nil"/>
              <w:bottom w:val="single" w:color="auto" w:sz="4" w:space="0"/>
              <w:right w:val="single" w:color="auto" w:sz="4" w:space="0"/>
            </w:tcBorders>
            <w:shd w:val="clear" w:color="auto" w:fill="auto"/>
            <w:noWrap/>
            <w:vAlign w:val="center"/>
          </w:tcPr>
          <w:p w14:paraId="6DE3B5A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EAC2B5A">
            <w:pPr>
              <w:widowControl/>
              <w:jc w:val="center"/>
              <w:rPr>
                <w:rFonts w:ascii="仿宋_GB2312" w:hAnsi="宋体" w:eastAsia="仿宋_GB2312" w:cs="宋体"/>
                <w:kern w:val="0"/>
                <w:sz w:val="24"/>
              </w:rPr>
            </w:pPr>
            <w:r>
              <w:rPr>
                <w:rFonts w:hint="eastAsia" w:ascii="仿宋_GB2312" w:hAnsi="宋体" w:eastAsia="仿宋_GB2312" w:cs="宋体"/>
                <w:kern w:val="0"/>
                <w:sz w:val="24"/>
              </w:rPr>
              <w:t>280</w:t>
            </w:r>
          </w:p>
        </w:tc>
      </w:tr>
      <w:tr w14:paraId="18E5A74E">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139468A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4.信函申请数</w:t>
            </w:r>
          </w:p>
        </w:tc>
        <w:tc>
          <w:tcPr>
            <w:tcW w:w="720" w:type="dxa"/>
            <w:tcBorders>
              <w:top w:val="nil"/>
              <w:left w:val="nil"/>
              <w:bottom w:val="single" w:color="auto" w:sz="4" w:space="0"/>
              <w:right w:val="single" w:color="auto" w:sz="4" w:space="0"/>
            </w:tcBorders>
            <w:shd w:val="clear" w:color="auto" w:fill="auto"/>
            <w:noWrap/>
            <w:vAlign w:val="center"/>
          </w:tcPr>
          <w:p w14:paraId="1A709EE0">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17F33A1">
            <w:pPr>
              <w:widowControl/>
              <w:jc w:val="center"/>
              <w:rPr>
                <w:rFonts w:ascii="仿宋_GB2312" w:hAnsi="宋体" w:eastAsia="仿宋_GB2312" w:cs="宋体"/>
                <w:kern w:val="0"/>
                <w:sz w:val="24"/>
              </w:rPr>
            </w:pPr>
            <w:r>
              <w:rPr>
                <w:rFonts w:hint="eastAsia" w:ascii="仿宋_GB2312" w:hAnsi="宋体" w:eastAsia="仿宋_GB2312" w:cs="宋体"/>
                <w:kern w:val="0"/>
                <w:sz w:val="24"/>
              </w:rPr>
              <w:t>423</w:t>
            </w:r>
          </w:p>
        </w:tc>
      </w:tr>
      <w:tr w14:paraId="488BF9F6">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293F818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（二）申请办结数</w:t>
            </w:r>
          </w:p>
        </w:tc>
        <w:tc>
          <w:tcPr>
            <w:tcW w:w="720" w:type="dxa"/>
            <w:tcBorders>
              <w:top w:val="nil"/>
              <w:left w:val="nil"/>
              <w:bottom w:val="single" w:color="auto" w:sz="4" w:space="0"/>
              <w:right w:val="single" w:color="auto" w:sz="4" w:space="0"/>
            </w:tcBorders>
            <w:shd w:val="clear" w:color="auto" w:fill="auto"/>
            <w:noWrap/>
            <w:vAlign w:val="center"/>
          </w:tcPr>
          <w:p w14:paraId="70A5C53C">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CBAF545">
            <w:pPr>
              <w:widowControl/>
              <w:jc w:val="center"/>
              <w:rPr>
                <w:rFonts w:ascii="仿宋_GB2312" w:hAnsi="宋体" w:eastAsia="仿宋_GB2312" w:cs="宋体"/>
                <w:kern w:val="0"/>
                <w:sz w:val="24"/>
              </w:rPr>
            </w:pPr>
            <w:r>
              <w:rPr>
                <w:rFonts w:hint="eastAsia" w:ascii="仿宋_GB2312" w:hAnsi="宋体" w:eastAsia="仿宋_GB2312" w:cs="宋体"/>
                <w:kern w:val="0"/>
                <w:sz w:val="24"/>
              </w:rPr>
              <w:t>1314</w:t>
            </w:r>
          </w:p>
        </w:tc>
      </w:tr>
      <w:tr w14:paraId="79863AE2">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0942A92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1.按时办结数</w:t>
            </w:r>
          </w:p>
        </w:tc>
        <w:tc>
          <w:tcPr>
            <w:tcW w:w="720" w:type="dxa"/>
            <w:tcBorders>
              <w:top w:val="nil"/>
              <w:left w:val="nil"/>
              <w:bottom w:val="single" w:color="auto" w:sz="4" w:space="0"/>
              <w:right w:val="single" w:color="auto" w:sz="4" w:space="0"/>
            </w:tcBorders>
            <w:shd w:val="clear" w:color="auto" w:fill="auto"/>
            <w:noWrap/>
            <w:vAlign w:val="center"/>
          </w:tcPr>
          <w:p w14:paraId="3817337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FCEBF42">
            <w:pPr>
              <w:widowControl/>
              <w:jc w:val="center"/>
              <w:rPr>
                <w:rFonts w:ascii="仿宋_GB2312" w:hAnsi="宋体" w:eastAsia="仿宋_GB2312" w:cs="宋体"/>
                <w:kern w:val="0"/>
                <w:sz w:val="24"/>
              </w:rPr>
            </w:pPr>
            <w:r>
              <w:rPr>
                <w:rFonts w:hint="eastAsia" w:ascii="仿宋_GB2312" w:hAnsi="宋体" w:eastAsia="仿宋_GB2312" w:cs="宋体"/>
                <w:kern w:val="0"/>
                <w:sz w:val="24"/>
              </w:rPr>
              <w:t>1214</w:t>
            </w:r>
          </w:p>
        </w:tc>
      </w:tr>
      <w:tr w14:paraId="4576191F">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6E5ABC6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2.延期办结数</w:t>
            </w:r>
          </w:p>
        </w:tc>
        <w:tc>
          <w:tcPr>
            <w:tcW w:w="720" w:type="dxa"/>
            <w:tcBorders>
              <w:top w:val="nil"/>
              <w:left w:val="nil"/>
              <w:bottom w:val="single" w:color="auto" w:sz="4" w:space="0"/>
              <w:right w:val="single" w:color="auto" w:sz="4" w:space="0"/>
            </w:tcBorders>
            <w:shd w:val="clear" w:color="auto" w:fill="auto"/>
            <w:noWrap/>
            <w:vAlign w:val="center"/>
          </w:tcPr>
          <w:p w14:paraId="50EC6D3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4E77D7FA">
            <w:pPr>
              <w:widowControl/>
              <w:jc w:val="center"/>
              <w:rPr>
                <w:rFonts w:ascii="仿宋_GB2312" w:hAnsi="宋体" w:eastAsia="仿宋_GB2312" w:cs="宋体"/>
                <w:kern w:val="0"/>
                <w:sz w:val="24"/>
              </w:rPr>
            </w:pPr>
            <w:r>
              <w:rPr>
                <w:rFonts w:hint="eastAsia" w:ascii="仿宋_GB2312" w:hAnsi="宋体" w:eastAsia="仿宋_GB2312" w:cs="宋体"/>
                <w:kern w:val="0"/>
                <w:sz w:val="24"/>
              </w:rPr>
              <w:t>100</w:t>
            </w:r>
          </w:p>
        </w:tc>
      </w:tr>
      <w:tr w14:paraId="5958DA74">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1ED9BB1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（三）申请答复数</w:t>
            </w:r>
          </w:p>
        </w:tc>
        <w:tc>
          <w:tcPr>
            <w:tcW w:w="720" w:type="dxa"/>
            <w:tcBorders>
              <w:top w:val="nil"/>
              <w:left w:val="nil"/>
              <w:bottom w:val="single" w:color="auto" w:sz="4" w:space="0"/>
              <w:right w:val="single" w:color="auto" w:sz="4" w:space="0"/>
            </w:tcBorders>
            <w:shd w:val="clear" w:color="auto" w:fill="auto"/>
            <w:noWrap/>
            <w:vAlign w:val="center"/>
          </w:tcPr>
          <w:p w14:paraId="20A6C68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6BD5202">
            <w:pPr>
              <w:widowControl/>
              <w:jc w:val="center"/>
              <w:rPr>
                <w:rFonts w:ascii="仿宋_GB2312" w:hAnsi="宋体" w:eastAsia="仿宋_GB2312" w:cs="宋体"/>
                <w:kern w:val="0"/>
                <w:sz w:val="24"/>
              </w:rPr>
            </w:pPr>
            <w:r>
              <w:rPr>
                <w:rFonts w:hint="eastAsia" w:ascii="仿宋_GB2312" w:hAnsi="宋体" w:eastAsia="仿宋_GB2312" w:cs="宋体"/>
                <w:kern w:val="0"/>
                <w:sz w:val="24"/>
              </w:rPr>
              <w:t>1314</w:t>
            </w:r>
          </w:p>
        </w:tc>
      </w:tr>
      <w:tr w14:paraId="288012AB">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6B29629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1.属于已主动公开范围数</w:t>
            </w:r>
          </w:p>
        </w:tc>
        <w:tc>
          <w:tcPr>
            <w:tcW w:w="720" w:type="dxa"/>
            <w:tcBorders>
              <w:top w:val="nil"/>
              <w:left w:val="nil"/>
              <w:bottom w:val="single" w:color="auto" w:sz="4" w:space="0"/>
              <w:right w:val="single" w:color="auto" w:sz="4" w:space="0"/>
            </w:tcBorders>
            <w:shd w:val="clear" w:color="auto" w:fill="auto"/>
            <w:noWrap/>
            <w:vAlign w:val="center"/>
          </w:tcPr>
          <w:p w14:paraId="3923A0D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05F7599">
            <w:pPr>
              <w:widowControl/>
              <w:jc w:val="center"/>
              <w:rPr>
                <w:rFonts w:ascii="仿宋_GB2312" w:hAnsi="宋体" w:eastAsia="仿宋_GB2312" w:cs="宋体"/>
                <w:kern w:val="0"/>
                <w:sz w:val="24"/>
              </w:rPr>
            </w:pPr>
            <w:r>
              <w:rPr>
                <w:rFonts w:hint="eastAsia" w:ascii="仿宋_GB2312" w:hAnsi="宋体" w:eastAsia="仿宋_GB2312" w:cs="宋体"/>
                <w:kern w:val="0"/>
                <w:sz w:val="24"/>
              </w:rPr>
              <w:t>28</w:t>
            </w:r>
          </w:p>
        </w:tc>
      </w:tr>
      <w:tr w14:paraId="781DA0A6">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6C54BA5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2.同意公开答复数</w:t>
            </w:r>
          </w:p>
        </w:tc>
        <w:tc>
          <w:tcPr>
            <w:tcW w:w="720" w:type="dxa"/>
            <w:tcBorders>
              <w:top w:val="nil"/>
              <w:left w:val="nil"/>
              <w:bottom w:val="single" w:color="auto" w:sz="4" w:space="0"/>
              <w:right w:val="single" w:color="auto" w:sz="4" w:space="0"/>
            </w:tcBorders>
            <w:shd w:val="clear" w:color="auto" w:fill="auto"/>
            <w:noWrap/>
            <w:vAlign w:val="center"/>
          </w:tcPr>
          <w:p w14:paraId="62B10B1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33771BF9">
            <w:pPr>
              <w:widowControl/>
              <w:jc w:val="center"/>
              <w:rPr>
                <w:rFonts w:ascii="仿宋_GB2312" w:hAnsi="宋体" w:eastAsia="仿宋_GB2312" w:cs="宋体"/>
                <w:kern w:val="0"/>
                <w:sz w:val="24"/>
              </w:rPr>
            </w:pPr>
            <w:r>
              <w:rPr>
                <w:rFonts w:hint="eastAsia" w:ascii="仿宋_GB2312" w:hAnsi="宋体" w:eastAsia="仿宋_GB2312" w:cs="宋体"/>
                <w:kern w:val="0"/>
                <w:sz w:val="24"/>
              </w:rPr>
              <w:t>388</w:t>
            </w:r>
          </w:p>
        </w:tc>
      </w:tr>
      <w:tr w14:paraId="746CA90A">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6AD91FE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3.同意部分公开答复数</w:t>
            </w:r>
          </w:p>
        </w:tc>
        <w:tc>
          <w:tcPr>
            <w:tcW w:w="720" w:type="dxa"/>
            <w:tcBorders>
              <w:top w:val="nil"/>
              <w:left w:val="nil"/>
              <w:bottom w:val="single" w:color="auto" w:sz="4" w:space="0"/>
              <w:right w:val="single" w:color="auto" w:sz="4" w:space="0"/>
            </w:tcBorders>
            <w:shd w:val="clear" w:color="auto" w:fill="auto"/>
            <w:noWrap/>
            <w:vAlign w:val="center"/>
          </w:tcPr>
          <w:p w14:paraId="29A326C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4FEEB800">
            <w:pPr>
              <w:widowControl/>
              <w:jc w:val="center"/>
              <w:rPr>
                <w:rFonts w:ascii="仿宋_GB2312" w:hAnsi="宋体" w:eastAsia="仿宋_GB2312" w:cs="宋体"/>
                <w:kern w:val="0"/>
                <w:sz w:val="24"/>
              </w:rPr>
            </w:pPr>
            <w:r>
              <w:rPr>
                <w:rFonts w:hint="eastAsia" w:ascii="仿宋_GB2312" w:hAnsi="宋体" w:eastAsia="仿宋_GB2312" w:cs="宋体"/>
                <w:kern w:val="0"/>
                <w:sz w:val="24"/>
              </w:rPr>
              <w:t>9</w:t>
            </w:r>
          </w:p>
        </w:tc>
      </w:tr>
      <w:tr w14:paraId="0C466B49">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3A9349B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4.不同意公开答复数</w:t>
            </w:r>
          </w:p>
        </w:tc>
        <w:tc>
          <w:tcPr>
            <w:tcW w:w="720" w:type="dxa"/>
            <w:tcBorders>
              <w:top w:val="nil"/>
              <w:left w:val="nil"/>
              <w:bottom w:val="single" w:color="auto" w:sz="4" w:space="0"/>
              <w:right w:val="single" w:color="auto" w:sz="4" w:space="0"/>
            </w:tcBorders>
            <w:shd w:val="clear" w:color="auto" w:fill="auto"/>
            <w:noWrap/>
            <w:vAlign w:val="center"/>
          </w:tcPr>
          <w:p w14:paraId="4B47ABFC">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4EEE6B91">
            <w:pPr>
              <w:widowControl/>
              <w:jc w:val="center"/>
              <w:rPr>
                <w:rFonts w:ascii="仿宋_GB2312" w:hAnsi="宋体" w:eastAsia="仿宋_GB2312" w:cs="宋体"/>
                <w:kern w:val="0"/>
                <w:sz w:val="24"/>
              </w:rPr>
            </w:pPr>
            <w:r>
              <w:rPr>
                <w:rFonts w:hint="eastAsia" w:ascii="仿宋_GB2312" w:hAnsi="宋体" w:eastAsia="仿宋_GB2312" w:cs="宋体"/>
                <w:kern w:val="0"/>
                <w:sz w:val="24"/>
              </w:rPr>
              <w:t>118</w:t>
            </w:r>
          </w:p>
        </w:tc>
      </w:tr>
      <w:tr w14:paraId="365DF723">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4FAB71EC">
            <w:pPr>
              <w:widowControl/>
              <w:jc w:val="left"/>
              <w:rPr>
                <w:rFonts w:ascii="仿宋_GB2312" w:hAnsi="宋体" w:eastAsia="仿宋_GB2312" w:cs="宋体"/>
                <w:kern w:val="0"/>
                <w:sz w:val="24"/>
              </w:rPr>
            </w:pPr>
            <w:r>
              <w:rPr>
                <w:rFonts w:hint="eastAsia" w:ascii="仿宋_GB2312" w:hAnsi="宋体" w:eastAsia="仿宋_GB2312" w:cs="宋体"/>
                <w:kern w:val="0"/>
                <w:sz w:val="24"/>
              </w:rPr>
              <w:t>　　　　　　　其中：涉及国家秘密</w:t>
            </w:r>
          </w:p>
        </w:tc>
        <w:tc>
          <w:tcPr>
            <w:tcW w:w="720" w:type="dxa"/>
            <w:tcBorders>
              <w:top w:val="nil"/>
              <w:left w:val="nil"/>
              <w:bottom w:val="single" w:color="auto" w:sz="4" w:space="0"/>
              <w:right w:val="single" w:color="auto" w:sz="4" w:space="0"/>
            </w:tcBorders>
            <w:shd w:val="clear" w:color="auto" w:fill="auto"/>
            <w:noWrap/>
            <w:vAlign w:val="center"/>
          </w:tcPr>
          <w:p w14:paraId="5BCE4FC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380B4284">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19420E6E">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56B85646">
            <w:pPr>
              <w:widowControl/>
              <w:jc w:val="left"/>
              <w:rPr>
                <w:rFonts w:ascii="仿宋_GB2312" w:hAnsi="宋体" w:eastAsia="仿宋_GB2312" w:cs="宋体"/>
                <w:kern w:val="0"/>
                <w:sz w:val="24"/>
              </w:rPr>
            </w:pPr>
            <w:r>
              <w:rPr>
                <w:rFonts w:hint="eastAsia" w:ascii="仿宋_GB2312" w:hAnsi="宋体" w:eastAsia="仿宋_GB2312" w:cs="宋体"/>
                <w:kern w:val="0"/>
                <w:sz w:val="24"/>
              </w:rPr>
              <w:t>　　　　　　　　　　涉及商业秘密</w:t>
            </w:r>
          </w:p>
        </w:tc>
        <w:tc>
          <w:tcPr>
            <w:tcW w:w="720" w:type="dxa"/>
            <w:tcBorders>
              <w:top w:val="nil"/>
              <w:left w:val="nil"/>
              <w:bottom w:val="single" w:color="auto" w:sz="4" w:space="0"/>
              <w:right w:val="single" w:color="auto" w:sz="4" w:space="0"/>
            </w:tcBorders>
            <w:shd w:val="clear" w:color="auto" w:fill="auto"/>
            <w:noWrap/>
            <w:vAlign w:val="center"/>
          </w:tcPr>
          <w:p w14:paraId="23E891C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C0F34CB">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6A8AFF5">
        <w:tblPrEx>
          <w:tblCellMar>
            <w:top w:w="0" w:type="dxa"/>
            <w:left w:w="108" w:type="dxa"/>
            <w:bottom w:w="0" w:type="dxa"/>
            <w:right w:w="108" w:type="dxa"/>
          </w:tblCellMar>
        </w:tblPrEx>
        <w:trPr>
          <w:trHeight w:val="402" w:hRule="atLeast"/>
          <w:jc w:val="center"/>
        </w:trPr>
        <w:tc>
          <w:tcPr>
            <w:tcW w:w="77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0300BA">
            <w:pPr>
              <w:widowControl/>
              <w:jc w:val="left"/>
              <w:rPr>
                <w:rFonts w:ascii="仿宋_GB2312" w:hAnsi="宋体" w:eastAsia="仿宋_GB2312" w:cs="宋体"/>
                <w:kern w:val="0"/>
                <w:sz w:val="24"/>
              </w:rPr>
            </w:pPr>
            <w:r>
              <w:rPr>
                <w:rFonts w:hint="eastAsia" w:ascii="仿宋_GB2312" w:hAnsi="宋体" w:eastAsia="仿宋_GB2312" w:cs="宋体"/>
                <w:kern w:val="0"/>
                <w:sz w:val="24"/>
              </w:rPr>
              <w:t>　　　　　　　　　　涉及个人隐私</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3004C7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69C4EA89">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7723130F">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1CDE64F1">
            <w:pPr>
              <w:widowControl/>
              <w:ind w:left="2400" w:hanging="2400" w:hangingChars="1000"/>
              <w:jc w:val="left"/>
              <w:rPr>
                <w:rFonts w:ascii="仿宋_GB2312" w:hAnsi="宋体" w:eastAsia="仿宋_GB2312" w:cs="宋体"/>
                <w:kern w:val="0"/>
                <w:sz w:val="24"/>
              </w:rPr>
            </w:pPr>
            <w:r>
              <w:rPr>
                <w:rFonts w:hint="eastAsia" w:ascii="仿宋_GB2312" w:hAnsi="宋体" w:eastAsia="仿宋_GB2312" w:cs="宋体"/>
                <w:kern w:val="0"/>
                <w:sz w:val="24"/>
              </w:rPr>
              <w:t>　　　　　　　　　　危及国家安全、公共安全、经济安全和社会稳定</w:t>
            </w:r>
          </w:p>
        </w:tc>
        <w:tc>
          <w:tcPr>
            <w:tcW w:w="720" w:type="dxa"/>
            <w:tcBorders>
              <w:top w:val="nil"/>
              <w:left w:val="nil"/>
              <w:bottom w:val="single" w:color="auto" w:sz="4" w:space="0"/>
              <w:right w:val="single" w:color="auto" w:sz="4" w:space="0"/>
            </w:tcBorders>
            <w:shd w:val="clear" w:color="auto" w:fill="auto"/>
            <w:noWrap/>
            <w:vAlign w:val="center"/>
          </w:tcPr>
          <w:p w14:paraId="41E64CB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01063601">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4210BDA">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42209B3B">
            <w:pPr>
              <w:widowControl/>
              <w:jc w:val="left"/>
              <w:rPr>
                <w:rFonts w:ascii="仿宋_GB2312" w:hAnsi="宋体" w:eastAsia="仿宋_GB2312" w:cs="宋体"/>
                <w:kern w:val="0"/>
                <w:sz w:val="24"/>
              </w:rPr>
            </w:pPr>
            <w:r>
              <w:rPr>
                <w:rFonts w:hint="eastAsia" w:ascii="仿宋_GB2312" w:hAnsi="宋体" w:eastAsia="仿宋_GB2312" w:cs="宋体"/>
                <w:kern w:val="0"/>
                <w:sz w:val="24"/>
              </w:rPr>
              <w:t>　　　　　　　　　　不是《条例》所指政府信息</w:t>
            </w:r>
          </w:p>
        </w:tc>
        <w:tc>
          <w:tcPr>
            <w:tcW w:w="720" w:type="dxa"/>
            <w:tcBorders>
              <w:top w:val="nil"/>
              <w:left w:val="nil"/>
              <w:bottom w:val="single" w:color="auto" w:sz="4" w:space="0"/>
              <w:right w:val="single" w:color="auto" w:sz="4" w:space="0"/>
            </w:tcBorders>
            <w:shd w:val="clear" w:color="auto" w:fill="auto"/>
            <w:noWrap/>
            <w:vAlign w:val="center"/>
          </w:tcPr>
          <w:p w14:paraId="3D20713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00708443">
            <w:pPr>
              <w:widowControl/>
              <w:jc w:val="center"/>
              <w:rPr>
                <w:rFonts w:ascii="仿宋_GB2312" w:hAnsi="宋体" w:eastAsia="仿宋_GB2312" w:cs="宋体"/>
                <w:kern w:val="0"/>
                <w:sz w:val="24"/>
              </w:rPr>
            </w:pPr>
            <w:r>
              <w:rPr>
                <w:rFonts w:hint="eastAsia" w:ascii="仿宋_GB2312" w:hAnsi="宋体" w:eastAsia="仿宋_GB2312" w:cs="宋体"/>
                <w:kern w:val="0"/>
                <w:sz w:val="24"/>
              </w:rPr>
              <w:t>25</w:t>
            </w:r>
          </w:p>
        </w:tc>
      </w:tr>
      <w:tr w14:paraId="681F6E27">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210EC220">
            <w:pPr>
              <w:widowControl/>
              <w:jc w:val="left"/>
              <w:rPr>
                <w:rFonts w:ascii="仿宋_GB2312" w:hAnsi="宋体" w:eastAsia="仿宋_GB2312" w:cs="宋体"/>
                <w:kern w:val="0"/>
                <w:sz w:val="24"/>
              </w:rPr>
            </w:pPr>
            <w:r>
              <w:rPr>
                <w:rFonts w:hint="eastAsia" w:ascii="仿宋_GB2312" w:hAnsi="宋体" w:eastAsia="仿宋_GB2312" w:cs="宋体"/>
                <w:kern w:val="0"/>
                <w:sz w:val="24"/>
              </w:rPr>
              <w:t>　　　　　　　　　　法律法规规定的其他情形</w:t>
            </w:r>
          </w:p>
        </w:tc>
        <w:tc>
          <w:tcPr>
            <w:tcW w:w="720" w:type="dxa"/>
            <w:tcBorders>
              <w:top w:val="nil"/>
              <w:left w:val="nil"/>
              <w:bottom w:val="single" w:color="auto" w:sz="4" w:space="0"/>
              <w:right w:val="single" w:color="auto" w:sz="4" w:space="0"/>
            </w:tcBorders>
            <w:shd w:val="clear" w:color="auto" w:fill="auto"/>
            <w:noWrap/>
            <w:vAlign w:val="center"/>
          </w:tcPr>
          <w:p w14:paraId="377C4DE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1D678A9D">
            <w:pPr>
              <w:widowControl/>
              <w:jc w:val="center"/>
              <w:rPr>
                <w:rFonts w:ascii="仿宋_GB2312" w:hAnsi="宋体" w:eastAsia="仿宋_GB2312" w:cs="宋体"/>
                <w:kern w:val="0"/>
                <w:sz w:val="24"/>
              </w:rPr>
            </w:pPr>
            <w:r>
              <w:rPr>
                <w:rFonts w:hint="eastAsia" w:ascii="仿宋_GB2312" w:hAnsi="宋体" w:eastAsia="仿宋_GB2312" w:cs="宋体"/>
                <w:kern w:val="0"/>
                <w:sz w:val="24"/>
              </w:rPr>
              <w:t>89</w:t>
            </w:r>
          </w:p>
        </w:tc>
      </w:tr>
      <w:tr w14:paraId="0037F9CE">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0A9AABD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5.不属于本行政机关公开数</w:t>
            </w:r>
          </w:p>
        </w:tc>
        <w:tc>
          <w:tcPr>
            <w:tcW w:w="720" w:type="dxa"/>
            <w:tcBorders>
              <w:top w:val="nil"/>
              <w:left w:val="nil"/>
              <w:bottom w:val="single" w:color="auto" w:sz="4" w:space="0"/>
              <w:right w:val="single" w:color="auto" w:sz="4" w:space="0"/>
            </w:tcBorders>
            <w:shd w:val="clear" w:color="auto" w:fill="auto"/>
            <w:noWrap/>
            <w:vAlign w:val="center"/>
          </w:tcPr>
          <w:p w14:paraId="587F4400">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A5F5688">
            <w:pPr>
              <w:widowControl/>
              <w:jc w:val="center"/>
              <w:rPr>
                <w:rFonts w:ascii="仿宋_GB2312" w:hAnsi="宋体" w:eastAsia="仿宋_GB2312" w:cs="宋体"/>
                <w:kern w:val="0"/>
                <w:sz w:val="24"/>
              </w:rPr>
            </w:pPr>
            <w:r>
              <w:rPr>
                <w:rFonts w:hint="eastAsia" w:ascii="仿宋_GB2312" w:hAnsi="宋体" w:eastAsia="仿宋_GB2312" w:cs="宋体"/>
                <w:kern w:val="0"/>
                <w:sz w:val="24"/>
              </w:rPr>
              <w:t>367</w:t>
            </w:r>
          </w:p>
        </w:tc>
      </w:tr>
      <w:tr w14:paraId="1484F3B0">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5FB3CF5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6.申请信息不存在数</w:t>
            </w:r>
          </w:p>
        </w:tc>
        <w:tc>
          <w:tcPr>
            <w:tcW w:w="720" w:type="dxa"/>
            <w:tcBorders>
              <w:top w:val="nil"/>
              <w:left w:val="nil"/>
              <w:bottom w:val="single" w:color="auto" w:sz="4" w:space="0"/>
              <w:right w:val="single" w:color="auto" w:sz="4" w:space="0"/>
            </w:tcBorders>
            <w:shd w:val="clear" w:color="auto" w:fill="auto"/>
            <w:noWrap/>
            <w:vAlign w:val="center"/>
          </w:tcPr>
          <w:p w14:paraId="5D4195D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B0D10E7">
            <w:pPr>
              <w:widowControl/>
              <w:jc w:val="center"/>
              <w:rPr>
                <w:rFonts w:ascii="仿宋_GB2312" w:hAnsi="宋体" w:eastAsia="仿宋_GB2312" w:cs="宋体"/>
                <w:kern w:val="0"/>
                <w:sz w:val="24"/>
              </w:rPr>
            </w:pPr>
            <w:r>
              <w:rPr>
                <w:rFonts w:hint="eastAsia" w:ascii="仿宋_GB2312" w:hAnsi="宋体" w:eastAsia="仿宋_GB2312" w:cs="宋体"/>
                <w:kern w:val="0"/>
                <w:sz w:val="24"/>
              </w:rPr>
              <w:t>297</w:t>
            </w:r>
          </w:p>
        </w:tc>
      </w:tr>
      <w:tr w14:paraId="431198DF">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23996F7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7.告知作出更改补充数</w:t>
            </w:r>
          </w:p>
        </w:tc>
        <w:tc>
          <w:tcPr>
            <w:tcW w:w="720" w:type="dxa"/>
            <w:tcBorders>
              <w:top w:val="nil"/>
              <w:left w:val="nil"/>
              <w:bottom w:val="single" w:color="auto" w:sz="4" w:space="0"/>
              <w:right w:val="single" w:color="auto" w:sz="4" w:space="0"/>
            </w:tcBorders>
            <w:shd w:val="clear" w:color="auto" w:fill="auto"/>
            <w:noWrap/>
            <w:vAlign w:val="center"/>
          </w:tcPr>
          <w:p w14:paraId="306FA4EF">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07B690AD">
            <w:pPr>
              <w:widowControl/>
              <w:jc w:val="center"/>
              <w:rPr>
                <w:rFonts w:ascii="仿宋_GB2312" w:hAnsi="宋体" w:eastAsia="仿宋_GB2312" w:cs="宋体"/>
                <w:kern w:val="0"/>
                <w:sz w:val="24"/>
              </w:rPr>
            </w:pPr>
            <w:r>
              <w:rPr>
                <w:rFonts w:hint="eastAsia" w:ascii="仿宋_GB2312" w:hAnsi="宋体" w:eastAsia="仿宋_GB2312" w:cs="宋体"/>
                <w:kern w:val="0"/>
                <w:sz w:val="24"/>
              </w:rPr>
              <w:t>42</w:t>
            </w:r>
          </w:p>
        </w:tc>
      </w:tr>
      <w:tr w14:paraId="5A545EE3">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47B32AE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8.告知通过其他途径办理数</w:t>
            </w:r>
          </w:p>
        </w:tc>
        <w:tc>
          <w:tcPr>
            <w:tcW w:w="720" w:type="dxa"/>
            <w:tcBorders>
              <w:top w:val="nil"/>
              <w:left w:val="nil"/>
              <w:bottom w:val="single" w:color="auto" w:sz="4" w:space="0"/>
              <w:right w:val="single" w:color="auto" w:sz="4" w:space="0"/>
            </w:tcBorders>
            <w:shd w:val="clear" w:color="auto" w:fill="auto"/>
            <w:noWrap/>
            <w:vAlign w:val="center"/>
          </w:tcPr>
          <w:p w14:paraId="6A04170C">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1D2D5D07">
            <w:pPr>
              <w:widowControl/>
              <w:jc w:val="center"/>
              <w:rPr>
                <w:rFonts w:ascii="仿宋_GB2312" w:hAnsi="宋体" w:eastAsia="仿宋_GB2312" w:cs="宋体"/>
                <w:kern w:val="0"/>
                <w:sz w:val="24"/>
              </w:rPr>
            </w:pPr>
            <w:r>
              <w:rPr>
                <w:rFonts w:hint="eastAsia" w:ascii="仿宋_GB2312" w:hAnsi="宋体" w:eastAsia="仿宋_GB2312" w:cs="宋体"/>
                <w:kern w:val="0"/>
                <w:sz w:val="24"/>
              </w:rPr>
              <w:t>65</w:t>
            </w:r>
          </w:p>
        </w:tc>
      </w:tr>
      <w:tr w14:paraId="66C30548">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5711F235">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四、行政复议数量</w:t>
            </w:r>
          </w:p>
        </w:tc>
        <w:tc>
          <w:tcPr>
            <w:tcW w:w="720" w:type="dxa"/>
            <w:tcBorders>
              <w:top w:val="nil"/>
              <w:left w:val="nil"/>
              <w:bottom w:val="single" w:color="auto" w:sz="4" w:space="0"/>
              <w:right w:val="single" w:color="auto" w:sz="4" w:space="0"/>
            </w:tcBorders>
            <w:shd w:val="clear" w:color="auto" w:fill="auto"/>
            <w:noWrap/>
            <w:vAlign w:val="center"/>
          </w:tcPr>
          <w:p w14:paraId="0C7091CC">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42BA9095">
            <w:pPr>
              <w:widowControl/>
              <w:jc w:val="center"/>
              <w:rPr>
                <w:rFonts w:ascii="仿宋_GB2312" w:hAnsi="宋体" w:eastAsia="仿宋_GB2312" w:cs="宋体"/>
                <w:kern w:val="0"/>
                <w:sz w:val="24"/>
              </w:rPr>
            </w:pPr>
            <w:r>
              <w:rPr>
                <w:rFonts w:hint="eastAsia" w:ascii="仿宋_GB2312" w:hAnsi="宋体" w:eastAsia="仿宋_GB2312" w:cs="宋体"/>
                <w:kern w:val="0"/>
                <w:sz w:val="24"/>
              </w:rPr>
              <w:t>68</w:t>
            </w:r>
          </w:p>
        </w:tc>
      </w:tr>
      <w:tr w14:paraId="6A2BBBBA">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72D9526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（一）维持具体行政行为数</w:t>
            </w:r>
          </w:p>
        </w:tc>
        <w:tc>
          <w:tcPr>
            <w:tcW w:w="720" w:type="dxa"/>
            <w:tcBorders>
              <w:top w:val="nil"/>
              <w:left w:val="nil"/>
              <w:bottom w:val="single" w:color="auto" w:sz="4" w:space="0"/>
              <w:right w:val="single" w:color="auto" w:sz="4" w:space="0"/>
            </w:tcBorders>
            <w:shd w:val="clear" w:color="auto" w:fill="auto"/>
            <w:noWrap/>
            <w:vAlign w:val="center"/>
          </w:tcPr>
          <w:p w14:paraId="700236A7">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4EDB3C0">
            <w:pPr>
              <w:widowControl/>
              <w:jc w:val="center"/>
              <w:rPr>
                <w:rFonts w:ascii="仿宋_GB2312" w:hAnsi="宋体" w:eastAsia="仿宋_GB2312" w:cs="宋体"/>
                <w:kern w:val="0"/>
                <w:sz w:val="24"/>
              </w:rPr>
            </w:pPr>
            <w:r>
              <w:rPr>
                <w:rFonts w:hint="eastAsia" w:ascii="仿宋_GB2312" w:hAnsi="宋体" w:eastAsia="仿宋_GB2312" w:cs="宋体"/>
                <w:kern w:val="0"/>
                <w:sz w:val="24"/>
              </w:rPr>
              <w:t>59</w:t>
            </w:r>
          </w:p>
        </w:tc>
      </w:tr>
      <w:tr w14:paraId="19D95DFC">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2CCFFA6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shd w:val="clear" w:color="auto" w:fill="auto"/>
            <w:noWrap/>
            <w:vAlign w:val="center"/>
          </w:tcPr>
          <w:p w14:paraId="5EFA125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2C03910">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550A7C85">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4616538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shd w:val="clear" w:color="auto" w:fill="auto"/>
            <w:noWrap/>
            <w:vAlign w:val="center"/>
          </w:tcPr>
          <w:p w14:paraId="2C195D57">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20D12DF">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r>
      <w:tr w14:paraId="50332499">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283B869A">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五、行政诉讼数量</w:t>
            </w:r>
          </w:p>
        </w:tc>
        <w:tc>
          <w:tcPr>
            <w:tcW w:w="720" w:type="dxa"/>
            <w:tcBorders>
              <w:top w:val="nil"/>
              <w:left w:val="nil"/>
              <w:bottom w:val="single" w:color="auto" w:sz="4" w:space="0"/>
              <w:right w:val="single" w:color="auto" w:sz="4" w:space="0"/>
            </w:tcBorders>
            <w:shd w:val="clear" w:color="auto" w:fill="auto"/>
            <w:noWrap/>
            <w:vAlign w:val="center"/>
          </w:tcPr>
          <w:p w14:paraId="13A64E14">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BDFF345">
            <w:pPr>
              <w:widowControl/>
              <w:jc w:val="center"/>
              <w:rPr>
                <w:rFonts w:ascii="仿宋_GB2312" w:hAnsi="宋体" w:eastAsia="仿宋_GB2312" w:cs="宋体"/>
                <w:kern w:val="0"/>
                <w:sz w:val="24"/>
              </w:rPr>
            </w:pPr>
            <w:r>
              <w:rPr>
                <w:rFonts w:hint="eastAsia" w:ascii="仿宋_GB2312" w:hAnsi="宋体" w:eastAsia="仿宋_GB2312" w:cs="宋体"/>
                <w:kern w:val="0"/>
                <w:sz w:val="24"/>
              </w:rPr>
              <w:t>23</w:t>
            </w:r>
          </w:p>
        </w:tc>
      </w:tr>
      <w:tr w14:paraId="373E3136">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1DF76C1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（一）维持具体行政行为或者驳回原告诉讼请求数</w:t>
            </w:r>
          </w:p>
        </w:tc>
        <w:tc>
          <w:tcPr>
            <w:tcW w:w="720" w:type="dxa"/>
            <w:tcBorders>
              <w:top w:val="nil"/>
              <w:left w:val="nil"/>
              <w:bottom w:val="single" w:color="auto" w:sz="4" w:space="0"/>
              <w:right w:val="single" w:color="auto" w:sz="4" w:space="0"/>
            </w:tcBorders>
            <w:shd w:val="clear" w:color="auto" w:fill="auto"/>
            <w:noWrap/>
            <w:vAlign w:val="center"/>
          </w:tcPr>
          <w:p w14:paraId="29B0DE8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7B9A3EA8">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5B020D3B">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710F117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shd w:val="clear" w:color="auto" w:fill="auto"/>
            <w:noWrap/>
            <w:vAlign w:val="center"/>
          </w:tcPr>
          <w:p w14:paraId="1BB7182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F4FC1D9">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EF1C824">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4342625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shd w:val="clear" w:color="auto" w:fill="auto"/>
            <w:noWrap/>
            <w:vAlign w:val="center"/>
          </w:tcPr>
          <w:p w14:paraId="232479D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723018A5">
            <w:pPr>
              <w:widowControl/>
              <w:jc w:val="center"/>
              <w:rPr>
                <w:rFonts w:ascii="仿宋_GB2312" w:hAnsi="宋体" w:eastAsia="仿宋_GB2312" w:cs="宋体"/>
                <w:kern w:val="0"/>
                <w:sz w:val="24"/>
              </w:rPr>
            </w:pPr>
            <w:r>
              <w:rPr>
                <w:rFonts w:hint="eastAsia" w:ascii="仿宋_GB2312" w:hAnsi="宋体" w:eastAsia="仿宋_GB2312" w:cs="宋体"/>
                <w:kern w:val="0"/>
                <w:sz w:val="24"/>
              </w:rPr>
              <w:t>22</w:t>
            </w:r>
          </w:p>
        </w:tc>
      </w:tr>
      <w:tr w14:paraId="00D91741">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1DD52765">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六、举报投诉数量</w:t>
            </w:r>
          </w:p>
        </w:tc>
        <w:tc>
          <w:tcPr>
            <w:tcW w:w="720" w:type="dxa"/>
            <w:tcBorders>
              <w:top w:val="nil"/>
              <w:left w:val="nil"/>
              <w:bottom w:val="single" w:color="auto" w:sz="4" w:space="0"/>
              <w:right w:val="single" w:color="auto" w:sz="4" w:space="0"/>
            </w:tcBorders>
            <w:shd w:val="clear" w:color="auto" w:fill="auto"/>
            <w:noWrap/>
            <w:vAlign w:val="center"/>
          </w:tcPr>
          <w:p w14:paraId="31833872">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3337A7AC">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5FB10139">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13276DFC">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七、依申请公开信息收取的费用</w:t>
            </w:r>
          </w:p>
        </w:tc>
        <w:tc>
          <w:tcPr>
            <w:tcW w:w="720" w:type="dxa"/>
            <w:tcBorders>
              <w:top w:val="nil"/>
              <w:left w:val="nil"/>
              <w:bottom w:val="single" w:color="auto" w:sz="4" w:space="0"/>
              <w:right w:val="single" w:color="auto" w:sz="4" w:space="0"/>
            </w:tcBorders>
            <w:shd w:val="clear" w:color="auto" w:fill="auto"/>
            <w:noWrap/>
            <w:vAlign w:val="center"/>
          </w:tcPr>
          <w:p w14:paraId="01AD503B">
            <w:pPr>
              <w:widowControl/>
              <w:jc w:val="center"/>
              <w:rPr>
                <w:rFonts w:ascii="仿宋_GB2312" w:hAnsi="宋体" w:eastAsia="仿宋_GB2312" w:cs="宋体"/>
                <w:kern w:val="0"/>
                <w:sz w:val="24"/>
              </w:rPr>
            </w:pPr>
            <w:r>
              <w:rPr>
                <w:rFonts w:hint="eastAsia" w:ascii="仿宋_GB2312" w:hAnsi="宋体" w:eastAsia="仿宋_GB2312" w:cs="宋体"/>
                <w:kern w:val="0"/>
                <w:sz w:val="24"/>
              </w:rPr>
              <w:t>元</w:t>
            </w:r>
          </w:p>
        </w:tc>
        <w:tc>
          <w:tcPr>
            <w:tcW w:w="1080" w:type="dxa"/>
            <w:tcBorders>
              <w:top w:val="nil"/>
              <w:left w:val="nil"/>
              <w:bottom w:val="single" w:color="auto" w:sz="4" w:space="0"/>
              <w:right w:val="single" w:color="auto" w:sz="8" w:space="0"/>
            </w:tcBorders>
            <w:shd w:val="clear" w:color="auto" w:fill="auto"/>
            <w:noWrap/>
            <w:vAlign w:val="center"/>
          </w:tcPr>
          <w:p w14:paraId="59483DF9">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620A08A6">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58ADD02C">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八、机构建设和保障经费情况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22D52A37">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14:paraId="21967883">
            <w:pPr>
              <w:widowControl/>
              <w:jc w:val="center"/>
              <w:rPr>
                <w:rFonts w:ascii="仿宋_GB2312" w:hAnsi="宋体" w:eastAsia="仿宋_GB2312" w:cs="宋体"/>
                <w:kern w:val="0"/>
                <w:sz w:val="24"/>
              </w:rPr>
            </w:pPr>
          </w:p>
        </w:tc>
      </w:tr>
      <w:tr w14:paraId="028FE322">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4D35D7F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（一）政府信息公开工作专门机构数</w:t>
            </w:r>
          </w:p>
        </w:tc>
        <w:tc>
          <w:tcPr>
            <w:tcW w:w="720" w:type="dxa"/>
            <w:tcBorders>
              <w:top w:val="nil"/>
              <w:left w:val="nil"/>
              <w:bottom w:val="single" w:color="auto" w:sz="4" w:space="0"/>
              <w:right w:val="single" w:color="auto" w:sz="4" w:space="0"/>
            </w:tcBorders>
            <w:shd w:val="clear" w:color="auto" w:fill="auto"/>
            <w:noWrap/>
            <w:vAlign w:val="center"/>
          </w:tcPr>
          <w:p w14:paraId="4D69229F">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shd w:val="clear" w:color="auto" w:fill="auto"/>
            <w:noWrap/>
            <w:vAlign w:val="center"/>
          </w:tcPr>
          <w:p w14:paraId="4B2B970E">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78B9D9AD">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42D319E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（二）设置政府信息公开查阅点数</w:t>
            </w:r>
          </w:p>
        </w:tc>
        <w:tc>
          <w:tcPr>
            <w:tcW w:w="720" w:type="dxa"/>
            <w:tcBorders>
              <w:top w:val="nil"/>
              <w:left w:val="nil"/>
              <w:bottom w:val="single" w:color="auto" w:sz="4" w:space="0"/>
              <w:right w:val="single" w:color="auto" w:sz="4" w:space="0"/>
            </w:tcBorders>
            <w:shd w:val="clear" w:color="auto" w:fill="auto"/>
            <w:noWrap/>
            <w:vAlign w:val="center"/>
          </w:tcPr>
          <w:p w14:paraId="29D51F35">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shd w:val="clear" w:color="auto" w:fill="auto"/>
            <w:noWrap/>
            <w:vAlign w:val="center"/>
          </w:tcPr>
          <w:p w14:paraId="23E4DB70">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2E308B75">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03990CE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（三）从事政府信息公开工作人员数</w:t>
            </w:r>
          </w:p>
        </w:tc>
        <w:tc>
          <w:tcPr>
            <w:tcW w:w="720" w:type="dxa"/>
            <w:tcBorders>
              <w:top w:val="nil"/>
              <w:left w:val="nil"/>
              <w:bottom w:val="single" w:color="auto" w:sz="4" w:space="0"/>
              <w:right w:val="single" w:color="auto" w:sz="4" w:space="0"/>
            </w:tcBorders>
            <w:shd w:val="clear" w:color="auto" w:fill="auto"/>
            <w:noWrap/>
            <w:vAlign w:val="center"/>
          </w:tcPr>
          <w:p w14:paraId="66656184">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noWrap/>
            <w:vAlign w:val="center"/>
          </w:tcPr>
          <w:p w14:paraId="48FDA05E">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1630161D">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54337FF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1.专职人员数（不包括政府公报及政府网站工作人员数）</w:t>
            </w:r>
          </w:p>
        </w:tc>
        <w:tc>
          <w:tcPr>
            <w:tcW w:w="720" w:type="dxa"/>
            <w:tcBorders>
              <w:top w:val="nil"/>
              <w:left w:val="nil"/>
              <w:bottom w:val="single" w:color="auto" w:sz="4" w:space="0"/>
              <w:right w:val="single" w:color="auto" w:sz="4" w:space="0"/>
            </w:tcBorders>
            <w:shd w:val="clear" w:color="auto" w:fill="auto"/>
            <w:noWrap/>
            <w:vAlign w:val="center"/>
          </w:tcPr>
          <w:p w14:paraId="66830E60">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noWrap/>
            <w:vAlign w:val="center"/>
          </w:tcPr>
          <w:p w14:paraId="1D66D659">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6DC157C5">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5CA2A89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2.兼职人员数</w:t>
            </w:r>
          </w:p>
        </w:tc>
        <w:tc>
          <w:tcPr>
            <w:tcW w:w="720" w:type="dxa"/>
            <w:tcBorders>
              <w:top w:val="nil"/>
              <w:left w:val="nil"/>
              <w:bottom w:val="single" w:color="auto" w:sz="4" w:space="0"/>
              <w:right w:val="single" w:color="auto" w:sz="4" w:space="0"/>
            </w:tcBorders>
            <w:shd w:val="clear" w:color="auto" w:fill="auto"/>
            <w:noWrap/>
            <w:vAlign w:val="center"/>
          </w:tcPr>
          <w:p w14:paraId="013FAB00">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noWrap/>
            <w:vAlign w:val="center"/>
          </w:tcPr>
          <w:p w14:paraId="1AF1AE05">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DC9611E">
        <w:tblPrEx>
          <w:tblCellMar>
            <w:top w:w="0" w:type="dxa"/>
            <w:left w:w="108" w:type="dxa"/>
            <w:bottom w:w="0" w:type="dxa"/>
            <w:right w:w="108" w:type="dxa"/>
          </w:tblCellMar>
        </w:tblPrEx>
        <w:trPr>
          <w:trHeight w:val="660" w:hRule="atLeast"/>
          <w:jc w:val="center"/>
        </w:trPr>
        <w:tc>
          <w:tcPr>
            <w:tcW w:w="7763" w:type="dxa"/>
            <w:tcBorders>
              <w:top w:val="nil"/>
              <w:left w:val="single" w:color="auto" w:sz="8" w:space="0"/>
              <w:bottom w:val="single" w:color="auto" w:sz="4" w:space="0"/>
              <w:right w:val="single" w:color="auto" w:sz="4" w:space="0"/>
            </w:tcBorders>
            <w:shd w:val="clear" w:color="auto" w:fill="auto"/>
            <w:vAlign w:val="center"/>
          </w:tcPr>
          <w:p w14:paraId="48A943A4">
            <w:pPr>
              <w:widowControl/>
              <w:ind w:left="960" w:hanging="960" w:hangingChars="400"/>
              <w:jc w:val="left"/>
              <w:rPr>
                <w:rFonts w:ascii="仿宋_GB2312" w:hAnsi="宋体" w:eastAsia="仿宋_GB2312" w:cs="宋体"/>
                <w:kern w:val="0"/>
                <w:sz w:val="24"/>
              </w:rPr>
            </w:pPr>
            <w:r>
              <w:rPr>
                <w:rFonts w:hint="eastAsia" w:ascii="仿宋_GB2312" w:hAnsi="宋体" w:eastAsia="仿宋_GB2312" w:cs="宋体"/>
                <w:kern w:val="0"/>
                <w:sz w:val="24"/>
              </w:rPr>
              <w:t xml:space="preserve">  （四）政府信息公开专项经费（不包括用于政府公报编辑管理及政府网站建设维护等方面的经费）</w:t>
            </w:r>
          </w:p>
        </w:tc>
        <w:tc>
          <w:tcPr>
            <w:tcW w:w="720" w:type="dxa"/>
            <w:tcBorders>
              <w:top w:val="nil"/>
              <w:left w:val="nil"/>
              <w:bottom w:val="single" w:color="auto" w:sz="4" w:space="0"/>
              <w:right w:val="single" w:color="auto" w:sz="4" w:space="0"/>
            </w:tcBorders>
            <w:shd w:val="clear" w:color="auto" w:fill="auto"/>
            <w:noWrap/>
            <w:vAlign w:val="center"/>
          </w:tcPr>
          <w:p w14:paraId="60F706A2">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1080" w:type="dxa"/>
            <w:tcBorders>
              <w:top w:val="nil"/>
              <w:left w:val="nil"/>
              <w:bottom w:val="single" w:color="auto" w:sz="4" w:space="0"/>
              <w:right w:val="single" w:color="auto" w:sz="8" w:space="0"/>
            </w:tcBorders>
            <w:shd w:val="clear" w:color="auto" w:fill="auto"/>
            <w:noWrap/>
            <w:vAlign w:val="center"/>
          </w:tcPr>
          <w:p w14:paraId="72AD1504">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03503C52">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29B859F6">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九、政府信息公开会议和培训情况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353D230B">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shd w:val="clear" w:color="auto" w:fill="auto"/>
            <w:noWrap/>
            <w:vAlign w:val="center"/>
          </w:tcPr>
          <w:p w14:paraId="28ED6452">
            <w:pPr>
              <w:widowControl/>
              <w:jc w:val="center"/>
              <w:rPr>
                <w:rFonts w:ascii="仿宋_GB2312" w:hAnsi="宋体" w:eastAsia="仿宋_GB2312" w:cs="宋体"/>
                <w:kern w:val="0"/>
                <w:sz w:val="24"/>
              </w:rPr>
            </w:pPr>
          </w:p>
        </w:tc>
      </w:tr>
      <w:tr w14:paraId="298F1B06">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4CF4C1C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（一）召开政府信息公开工作会议或专题会议数</w:t>
            </w:r>
          </w:p>
        </w:tc>
        <w:tc>
          <w:tcPr>
            <w:tcW w:w="720" w:type="dxa"/>
            <w:tcBorders>
              <w:top w:val="nil"/>
              <w:left w:val="nil"/>
              <w:bottom w:val="single" w:color="auto" w:sz="4" w:space="0"/>
              <w:right w:val="single" w:color="auto" w:sz="4" w:space="0"/>
            </w:tcBorders>
            <w:shd w:val="clear" w:color="auto" w:fill="auto"/>
            <w:noWrap/>
            <w:vAlign w:val="center"/>
          </w:tcPr>
          <w:p w14:paraId="55C926C2">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63125C74">
            <w:pPr>
              <w:widowControl/>
              <w:jc w:val="center"/>
              <w:rPr>
                <w:rFonts w:ascii="仿宋_GB2312" w:hAnsi="宋体" w:eastAsia="仿宋_GB2312" w:cs="宋体"/>
                <w:kern w:val="0"/>
                <w:sz w:val="24"/>
              </w:rPr>
            </w:pPr>
            <w:r>
              <w:rPr>
                <w:rFonts w:hint="eastAsia" w:ascii="仿宋_GB2312" w:hAnsi="宋体" w:eastAsia="仿宋_GB2312" w:cs="宋体"/>
                <w:kern w:val="0"/>
                <w:sz w:val="24"/>
              </w:rPr>
              <w:t>19</w:t>
            </w:r>
          </w:p>
        </w:tc>
      </w:tr>
      <w:tr w14:paraId="0A36EEB9">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4" w:space="0"/>
              <w:right w:val="single" w:color="auto" w:sz="4" w:space="0"/>
            </w:tcBorders>
            <w:shd w:val="clear" w:color="auto" w:fill="auto"/>
            <w:noWrap/>
            <w:vAlign w:val="center"/>
          </w:tcPr>
          <w:p w14:paraId="165488C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（二）举办各类培训班数</w:t>
            </w:r>
          </w:p>
        </w:tc>
        <w:tc>
          <w:tcPr>
            <w:tcW w:w="720" w:type="dxa"/>
            <w:tcBorders>
              <w:top w:val="nil"/>
              <w:left w:val="nil"/>
              <w:bottom w:val="single" w:color="auto" w:sz="4" w:space="0"/>
              <w:right w:val="single" w:color="auto" w:sz="4" w:space="0"/>
            </w:tcBorders>
            <w:shd w:val="clear" w:color="auto" w:fill="auto"/>
            <w:noWrap/>
            <w:vAlign w:val="center"/>
          </w:tcPr>
          <w:p w14:paraId="10B048D4">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0FC87967">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6BBA683A">
        <w:tblPrEx>
          <w:tblCellMar>
            <w:top w:w="0" w:type="dxa"/>
            <w:left w:w="108" w:type="dxa"/>
            <w:bottom w:w="0" w:type="dxa"/>
            <w:right w:w="108" w:type="dxa"/>
          </w:tblCellMar>
        </w:tblPrEx>
        <w:trPr>
          <w:trHeight w:val="402" w:hRule="atLeast"/>
          <w:jc w:val="center"/>
        </w:trPr>
        <w:tc>
          <w:tcPr>
            <w:tcW w:w="7763" w:type="dxa"/>
            <w:tcBorders>
              <w:top w:val="nil"/>
              <w:left w:val="single" w:color="auto" w:sz="8" w:space="0"/>
              <w:bottom w:val="single" w:color="auto" w:sz="8" w:space="0"/>
              <w:right w:val="single" w:color="auto" w:sz="4" w:space="0"/>
            </w:tcBorders>
            <w:shd w:val="clear" w:color="auto" w:fill="auto"/>
            <w:noWrap/>
            <w:vAlign w:val="center"/>
          </w:tcPr>
          <w:p w14:paraId="20969A2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（三）接受培训人员数</w:t>
            </w:r>
          </w:p>
        </w:tc>
        <w:tc>
          <w:tcPr>
            <w:tcW w:w="720" w:type="dxa"/>
            <w:tcBorders>
              <w:top w:val="nil"/>
              <w:left w:val="nil"/>
              <w:bottom w:val="single" w:color="auto" w:sz="8" w:space="0"/>
              <w:right w:val="single" w:color="auto" w:sz="4" w:space="0"/>
            </w:tcBorders>
            <w:shd w:val="clear" w:color="auto" w:fill="auto"/>
            <w:noWrap/>
            <w:vAlign w:val="center"/>
          </w:tcPr>
          <w:p w14:paraId="3ED6735D">
            <w:pPr>
              <w:widowControl/>
              <w:jc w:val="center"/>
              <w:rPr>
                <w:rFonts w:ascii="仿宋_GB2312" w:hAnsi="宋体" w:eastAsia="仿宋_GB2312" w:cs="宋体"/>
                <w:kern w:val="0"/>
                <w:sz w:val="24"/>
              </w:rPr>
            </w:pPr>
            <w:r>
              <w:rPr>
                <w:rFonts w:hint="eastAsia" w:ascii="仿宋_GB2312" w:hAnsi="宋体" w:eastAsia="仿宋_GB2312" w:cs="宋体"/>
                <w:kern w:val="0"/>
                <w:sz w:val="24"/>
              </w:rPr>
              <w:t>人次</w:t>
            </w:r>
          </w:p>
        </w:tc>
        <w:tc>
          <w:tcPr>
            <w:tcW w:w="1080" w:type="dxa"/>
            <w:tcBorders>
              <w:top w:val="nil"/>
              <w:left w:val="nil"/>
              <w:bottom w:val="single" w:color="auto" w:sz="8" w:space="0"/>
              <w:right w:val="single" w:color="auto" w:sz="8" w:space="0"/>
            </w:tcBorders>
            <w:shd w:val="clear" w:color="auto" w:fill="auto"/>
            <w:noWrap/>
            <w:vAlign w:val="center"/>
          </w:tcPr>
          <w:p w14:paraId="201F7A34">
            <w:pPr>
              <w:widowControl/>
              <w:jc w:val="center"/>
              <w:rPr>
                <w:rFonts w:ascii="仿宋_GB2312" w:hAnsi="宋体" w:eastAsia="仿宋_GB2312" w:cs="宋体"/>
                <w:kern w:val="0"/>
                <w:sz w:val="24"/>
              </w:rPr>
            </w:pPr>
            <w:r>
              <w:rPr>
                <w:rFonts w:hint="eastAsia" w:ascii="仿宋_GB2312" w:hAnsi="宋体" w:eastAsia="仿宋_GB2312" w:cs="宋体"/>
                <w:kern w:val="0"/>
                <w:sz w:val="24"/>
              </w:rPr>
              <w:t>110</w:t>
            </w:r>
          </w:p>
        </w:tc>
      </w:tr>
      <w:bookmarkEnd w:id="2"/>
      <w:bookmarkEnd w:id="3"/>
      <w:bookmarkEnd w:id="4"/>
      <w:bookmarkEnd w:id="5"/>
      <w:bookmarkEnd w:id="6"/>
      <w:bookmarkEnd w:id="8"/>
    </w:tbl>
    <w:p w14:paraId="48E2E723">
      <w:pPr>
        <w:spacing w:line="600" w:lineRule="exact"/>
        <w:ind w:right="640" w:firstLine="640" w:firstLineChars="200"/>
        <w:rPr>
          <w:rFonts w:ascii="仿宋_GB2312" w:hAnsi="仿宋" w:eastAsia="仿宋_GB2312"/>
          <w:sz w:val="32"/>
          <w:szCs w:val="32"/>
        </w:rPr>
      </w:pPr>
    </w:p>
    <w:sectPr>
      <w:headerReference r:id="rId3" w:type="default"/>
      <w:pgSz w:w="11906" w:h="16838"/>
      <w:pgMar w:top="1588" w:right="1474" w:bottom="113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auto"/>
    <w:pitch w:val="default"/>
    <w:sig w:usb0="00000000" w:usb1="00000000" w:usb2="00000010" w:usb3="00000000" w:csb0="00040000" w:csb1="00000000"/>
  </w:font>
  <w:font w:name="Arial Unicode MS">
    <w:altName w:val="Arial"/>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15ADF">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2D8"/>
    <w:rsid w:val="00000870"/>
    <w:rsid w:val="00000AFD"/>
    <w:rsid w:val="00000C87"/>
    <w:rsid w:val="000046F1"/>
    <w:rsid w:val="00006DCB"/>
    <w:rsid w:val="000105DF"/>
    <w:rsid w:val="00010A52"/>
    <w:rsid w:val="000121CE"/>
    <w:rsid w:val="00014921"/>
    <w:rsid w:val="00014F6F"/>
    <w:rsid w:val="000159BD"/>
    <w:rsid w:val="00021586"/>
    <w:rsid w:val="00023D90"/>
    <w:rsid w:val="00024FDA"/>
    <w:rsid w:val="00026A91"/>
    <w:rsid w:val="000273A9"/>
    <w:rsid w:val="00027BD5"/>
    <w:rsid w:val="00030743"/>
    <w:rsid w:val="000338E6"/>
    <w:rsid w:val="00033CC9"/>
    <w:rsid w:val="0003426B"/>
    <w:rsid w:val="00034357"/>
    <w:rsid w:val="00035898"/>
    <w:rsid w:val="00035B4C"/>
    <w:rsid w:val="00037C21"/>
    <w:rsid w:val="0004132A"/>
    <w:rsid w:val="000457C7"/>
    <w:rsid w:val="000509C5"/>
    <w:rsid w:val="00052AB4"/>
    <w:rsid w:val="00053CB7"/>
    <w:rsid w:val="000543A0"/>
    <w:rsid w:val="0005559E"/>
    <w:rsid w:val="000611B9"/>
    <w:rsid w:val="000614EE"/>
    <w:rsid w:val="00063783"/>
    <w:rsid w:val="0006451E"/>
    <w:rsid w:val="00064AD8"/>
    <w:rsid w:val="00064B44"/>
    <w:rsid w:val="0006507A"/>
    <w:rsid w:val="00070632"/>
    <w:rsid w:val="00072CEB"/>
    <w:rsid w:val="00073C39"/>
    <w:rsid w:val="00075009"/>
    <w:rsid w:val="0008445F"/>
    <w:rsid w:val="00087362"/>
    <w:rsid w:val="00087440"/>
    <w:rsid w:val="00091B11"/>
    <w:rsid w:val="00093A39"/>
    <w:rsid w:val="000A00B9"/>
    <w:rsid w:val="000A206C"/>
    <w:rsid w:val="000A5B7A"/>
    <w:rsid w:val="000B05D3"/>
    <w:rsid w:val="000B1495"/>
    <w:rsid w:val="000B1584"/>
    <w:rsid w:val="000B3621"/>
    <w:rsid w:val="000B3CF5"/>
    <w:rsid w:val="000B4977"/>
    <w:rsid w:val="000B6B61"/>
    <w:rsid w:val="000C0F55"/>
    <w:rsid w:val="000C487D"/>
    <w:rsid w:val="000C55DC"/>
    <w:rsid w:val="000C77DD"/>
    <w:rsid w:val="000D04C4"/>
    <w:rsid w:val="000D2A1B"/>
    <w:rsid w:val="000D3063"/>
    <w:rsid w:val="000D3D48"/>
    <w:rsid w:val="000D5347"/>
    <w:rsid w:val="000D5EEF"/>
    <w:rsid w:val="000E1DE6"/>
    <w:rsid w:val="000E51C7"/>
    <w:rsid w:val="000E6A39"/>
    <w:rsid w:val="000E6A45"/>
    <w:rsid w:val="000E794B"/>
    <w:rsid w:val="000F0C46"/>
    <w:rsid w:val="000F16CE"/>
    <w:rsid w:val="000F1B40"/>
    <w:rsid w:val="000F2BC0"/>
    <w:rsid w:val="000F47A3"/>
    <w:rsid w:val="000F5155"/>
    <w:rsid w:val="000F5AAB"/>
    <w:rsid w:val="000F6C4B"/>
    <w:rsid w:val="00100C8B"/>
    <w:rsid w:val="001015CD"/>
    <w:rsid w:val="00104A6E"/>
    <w:rsid w:val="00106172"/>
    <w:rsid w:val="00106C69"/>
    <w:rsid w:val="00110020"/>
    <w:rsid w:val="00112644"/>
    <w:rsid w:val="00113274"/>
    <w:rsid w:val="00116DE2"/>
    <w:rsid w:val="00117719"/>
    <w:rsid w:val="001213B7"/>
    <w:rsid w:val="00127FA7"/>
    <w:rsid w:val="00130893"/>
    <w:rsid w:val="00130EE7"/>
    <w:rsid w:val="00130FA3"/>
    <w:rsid w:val="00137020"/>
    <w:rsid w:val="00142039"/>
    <w:rsid w:val="001428DC"/>
    <w:rsid w:val="00144003"/>
    <w:rsid w:val="0014680B"/>
    <w:rsid w:val="00146C2D"/>
    <w:rsid w:val="00150444"/>
    <w:rsid w:val="00152A0A"/>
    <w:rsid w:val="00152F20"/>
    <w:rsid w:val="00155121"/>
    <w:rsid w:val="0015640B"/>
    <w:rsid w:val="00156C8D"/>
    <w:rsid w:val="00157AB1"/>
    <w:rsid w:val="00160794"/>
    <w:rsid w:val="00162073"/>
    <w:rsid w:val="00162B2B"/>
    <w:rsid w:val="001667B3"/>
    <w:rsid w:val="0017145D"/>
    <w:rsid w:val="001732CD"/>
    <w:rsid w:val="0017761B"/>
    <w:rsid w:val="00177AE8"/>
    <w:rsid w:val="00180F41"/>
    <w:rsid w:val="0018447D"/>
    <w:rsid w:val="00184565"/>
    <w:rsid w:val="001849E1"/>
    <w:rsid w:val="00186B30"/>
    <w:rsid w:val="0018763E"/>
    <w:rsid w:val="00187E36"/>
    <w:rsid w:val="001900D7"/>
    <w:rsid w:val="001921E8"/>
    <w:rsid w:val="001926E8"/>
    <w:rsid w:val="00192D9D"/>
    <w:rsid w:val="001940FB"/>
    <w:rsid w:val="00194429"/>
    <w:rsid w:val="00197351"/>
    <w:rsid w:val="001976E9"/>
    <w:rsid w:val="001A0523"/>
    <w:rsid w:val="001A1EFC"/>
    <w:rsid w:val="001A5022"/>
    <w:rsid w:val="001A6639"/>
    <w:rsid w:val="001B0B60"/>
    <w:rsid w:val="001B15CC"/>
    <w:rsid w:val="001B3109"/>
    <w:rsid w:val="001B5F45"/>
    <w:rsid w:val="001B744F"/>
    <w:rsid w:val="001C033D"/>
    <w:rsid w:val="001C1406"/>
    <w:rsid w:val="001C20F6"/>
    <w:rsid w:val="001C4BEE"/>
    <w:rsid w:val="001C5040"/>
    <w:rsid w:val="001D13E4"/>
    <w:rsid w:val="001D192F"/>
    <w:rsid w:val="001D2D7C"/>
    <w:rsid w:val="001D3071"/>
    <w:rsid w:val="001D3438"/>
    <w:rsid w:val="001D3ECC"/>
    <w:rsid w:val="001E132F"/>
    <w:rsid w:val="001E32C1"/>
    <w:rsid w:val="001E37A4"/>
    <w:rsid w:val="001E3B7A"/>
    <w:rsid w:val="001E75F0"/>
    <w:rsid w:val="001F0BBB"/>
    <w:rsid w:val="001F11BB"/>
    <w:rsid w:val="001F17C0"/>
    <w:rsid w:val="001F1EE6"/>
    <w:rsid w:val="001F2350"/>
    <w:rsid w:val="001F23FB"/>
    <w:rsid w:val="001F40D8"/>
    <w:rsid w:val="001F64C5"/>
    <w:rsid w:val="001F7583"/>
    <w:rsid w:val="0020248A"/>
    <w:rsid w:val="00204BFF"/>
    <w:rsid w:val="002067A4"/>
    <w:rsid w:val="00207187"/>
    <w:rsid w:val="00207347"/>
    <w:rsid w:val="00212850"/>
    <w:rsid w:val="002141E8"/>
    <w:rsid w:val="002143B2"/>
    <w:rsid w:val="002149A6"/>
    <w:rsid w:val="00215A9A"/>
    <w:rsid w:val="00223E25"/>
    <w:rsid w:val="0022498D"/>
    <w:rsid w:val="00227055"/>
    <w:rsid w:val="0023561E"/>
    <w:rsid w:val="0023584C"/>
    <w:rsid w:val="002431AD"/>
    <w:rsid w:val="00243D07"/>
    <w:rsid w:val="00244410"/>
    <w:rsid w:val="002467BF"/>
    <w:rsid w:val="00247CE7"/>
    <w:rsid w:val="00250EA8"/>
    <w:rsid w:val="00253C67"/>
    <w:rsid w:val="00257282"/>
    <w:rsid w:val="0026270E"/>
    <w:rsid w:val="00263FED"/>
    <w:rsid w:val="002672C8"/>
    <w:rsid w:val="00273A21"/>
    <w:rsid w:val="00273B22"/>
    <w:rsid w:val="00275CE3"/>
    <w:rsid w:val="00277D07"/>
    <w:rsid w:val="00280C17"/>
    <w:rsid w:val="002826B5"/>
    <w:rsid w:val="0028320A"/>
    <w:rsid w:val="00287879"/>
    <w:rsid w:val="002934A3"/>
    <w:rsid w:val="002943BA"/>
    <w:rsid w:val="00295143"/>
    <w:rsid w:val="00295BB4"/>
    <w:rsid w:val="002A4EB5"/>
    <w:rsid w:val="002B0E91"/>
    <w:rsid w:val="002B4310"/>
    <w:rsid w:val="002B6195"/>
    <w:rsid w:val="002B6A4C"/>
    <w:rsid w:val="002B7046"/>
    <w:rsid w:val="002B745E"/>
    <w:rsid w:val="002C363F"/>
    <w:rsid w:val="002C3FC5"/>
    <w:rsid w:val="002C5E3A"/>
    <w:rsid w:val="002C7869"/>
    <w:rsid w:val="002D273E"/>
    <w:rsid w:val="002D2785"/>
    <w:rsid w:val="002D5879"/>
    <w:rsid w:val="002D61D6"/>
    <w:rsid w:val="002E07A4"/>
    <w:rsid w:val="002E29BA"/>
    <w:rsid w:val="002E5CD4"/>
    <w:rsid w:val="002E6B94"/>
    <w:rsid w:val="002F17C5"/>
    <w:rsid w:val="002F2346"/>
    <w:rsid w:val="002F6298"/>
    <w:rsid w:val="002F6B83"/>
    <w:rsid w:val="002F71F0"/>
    <w:rsid w:val="003027DB"/>
    <w:rsid w:val="00305DA6"/>
    <w:rsid w:val="003064E7"/>
    <w:rsid w:val="00306FA1"/>
    <w:rsid w:val="003077FB"/>
    <w:rsid w:val="0031043F"/>
    <w:rsid w:val="00313CB0"/>
    <w:rsid w:val="00315B5E"/>
    <w:rsid w:val="00317050"/>
    <w:rsid w:val="00323E2F"/>
    <w:rsid w:val="003253F4"/>
    <w:rsid w:val="003327A0"/>
    <w:rsid w:val="00333079"/>
    <w:rsid w:val="003367E8"/>
    <w:rsid w:val="003368DA"/>
    <w:rsid w:val="00340A1D"/>
    <w:rsid w:val="003447E6"/>
    <w:rsid w:val="0034512B"/>
    <w:rsid w:val="00345DA3"/>
    <w:rsid w:val="00345F97"/>
    <w:rsid w:val="003467FE"/>
    <w:rsid w:val="003501BE"/>
    <w:rsid w:val="00353E61"/>
    <w:rsid w:val="00354D37"/>
    <w:rsid w:val="00357BD3"/>
    <w:rsid w:val="00361B69"/>
    <w:rsid w:val="00364DD5"/>
    <w:rsid w:val="00364F69"/>
    <w:rsid w:val="00365FDC"/>
    <w:rsid w:val="003664AE"/>
    <w:rsid w:val="00367829"/>
    <w:rsid w:val="0037085F"/>
    <w:rsid w:val="00371A86"/>
    <w:rsid w:val="00371DA8"/>
    <w:rsid w:val="00372B5D"/>
    <w:rsid w:val="00373CCD"/>
    <w:rsid w:val="0037672F"/>
    <w:rsid w:val="00376855"/>
    <w:rsid w:val="003774BD"/>
    <w:rsid w:val="00377C4F"/>
    <w:rsid w:val="00382399"/>
    <w:rsid w:val="0038312A"/>
    <w:rsid w:val="0038332F"/>
    <w:rsid w:val="003838E2"/>
    <w:rsid w:val="00384664"/>
    <w:rsid w:val="003862CA"/>
    <w:rsid w:val="0039127C"/>
    <w:rsid w:val="0039413D"/>
    <w:rsid w:val="003962A8"/>
    <w:rsid w:val="003A0A56"/>
    <w:rsid w:val="003A2308"/>
    <w:rsid w:val="003A5077"/>
    <w:rsid w:val="003B476A"/>
    <w:rsid w:val="003B71F6"/>
    <w:rsid w:val="003B7C02"/>
    <w:rsid w:val="003C1F05"/>
    <w:rsid w:val="003C2A00"/>
    <w:rsid w:val="003C3E8B"/>
    <w:rsid w:val="003C49BE"/>
    <w:rsid w:val="003C4AAF"/>
    <w:rsid w:val="003C5F36"/>
    <w:rsid w:val="003D318B"/>
    <w:rsid w:val="003D3334"/>
    <w:rsid w:val="003D3E1F"/>
    <w:rsid w:val="003D4275"/>
    <w:rsid w:val="003D4DCC"/>
    <w:rsid w:val="003D5917"/>
    <w:rsid w:val="003D5E22"/>
    <w:rsid w:val="003E0908"/>
    <w:rsid w:val="003E2809"/>
    <w:rsid w:val="003E2C29"/>
    <w:rsid w:val="003E3544"/>
    <w:rsid w:val="003E5634"/>
    <w:rsid w:val="003F06E1"/>
    <w:rsid w:val="003F0908"/>
    <w:rsid w:val="003F0B23"/>
    <w:rsid w:val="003F13FB"/>
    <w:rsid w:val="003F14BC"/>
    <w:rsid w:val="003F207E"/>
    <w:rsid w:val="003F29D2"/>
    <w:rsid w:val="003F3779"/>
    <w:rsid w:val="003F394B"/>
    <w:rsid w:val="003F5305"/>
    <w:rsid w:val="003F6836"/>
    <w:rsid w:val="003F795F"/>
    <w:rsid w:val="004003A9"/>
    <w:rsid w:val="00400D7A"/>
    <w:rsid w:val="00402D2E"/>
    <w:rsid w:val="0040324A"/>
    <w:rsid w:val="004039A1"/>
    <w:rsid w:val="00403C2B"/>
    <w:rsid w:val="0040607B"/>
    <w:rsid w:val="00410BE7"/>
    <w:rsid w:val="004118C0"/>
    <w:rsid w:val="004156DD"/>
    <w:rsid w:val="0041605E"/>
    <w:rsid w:val="00417DF1"/>
    <w:rsid w:val="004208C2"/>
    <w:rsid w:val="0042127C"/>
    <w:rsid w:val="004218CE"/>
    <w:rsid w:val="00422F05"/>
    <w:rsid w:val="00424805"/>
    <w:rsid w:val="0042582C"/>
    <w:rsid w:val="0042748F"/>
    <w:rsid w:val="0042749E"/>
    <w:rsid w:val="00430C82"/>
    <w:rsid w:val="00434335"/>
    <w:rsid w:val="00436131"/>
    <w:rsid w:val="00436D31"/>
    <w:rsid w:val="00444C5E"/>
    <w:rsid w:val="004452F7"/>
    <w:rsid w:val="00445643"/>
    <w:rsid w:val="0045051F"/>
    <w:rsid w:val="00451D00"/>
    <w:rsid w:val="00451D12"/>
    <w:rsid w:val="004538D9"/>
    <w:rsid w:val="004539EF"/>
    <w:rsid w:val="00454AFD"/>
    <w:rsid w:val="00455F6C"/>
    <w:rsid w:val="00461D40"/>
    <w:rsid w:val="00462AD2"/>
    <w:rsid w:val="00462D17"/>
    <w:rsid w:val="00465CFA"/>
    <w:rsid w:val="00467013"/>
    <w:rsid w:val="004677B3"/>
    <w:rsid w:val="00467CAB"/>
    <w:rsid w:val="004737B5"/>
    <w:rsid w:val="00477A69"/>
    <w:rsid w:val="00477D77"/>
    <w:rsid w:val="0048075F"/>
    <w:rsid w:val="0048261E"/>
    <w:rsid w:val="00483401"/>
    <w:rsid w:val="004834CD"/>
    <w:rsid w:val="004836F4"/>
    <w:rsid w:val="00485ADC"/>
    <w:rsid w:val="00486258"/>
    <w:rsid w:val="004920C2"/>
    <w:rsid w:val="00492640"/>
    <w:rsid w:val="00494DA7"/>
    <w:rsid w:val="004950F6"/>
    <w:rsid w:val="00497A3F"/>
    <w:rsid w:val="004A1508"/>
    <w:rsid w:val="004A77F9"/>
    <w:rsid w:val="004B0A15"/>
    <w:rsid w:val="004B3963"/>
    <w:rsid w:val="004B4C2D"/>
    <w:rsid w:val="004B5D75"/>
    <w:rsid w:val="004B7D40"/>
    <w:rsid w:val="004C0913"/>
    <w:rsid w:val="004D2552"/>
    <w:rsid w:val="004D27F7"/>
    <w:rsid w:val="004D560C"/>
    <w:rsid w:val="004D7FD7"/>
    <w:rsid w:val="004E25F5"/>
    <w:rsid w:val="004E2733"/>
    <w:rsid w:val="004E4FFC"/>
    <w:rsid w:val="004E5CBF"/>
    <w:rsid w:val="004E7662"/>
    <w:rsid w:val="004F1288"/>
    <w:rsid w:val="004F250E"/>
    <w:rsid w:val="004F27F4"/>
    <w:rsid w:val="004F406E"/>
    <w:rsid w:val="004F6C7E"/>
    <w:rsid w:val="004F6C85"/>
    <w:rsid w:val="004F7834"/>
    <w:rsid w:val="00503722"/>
    <w:rsid w:val="00505115"/>
    <w:rsid w:val="005114E1"/>
    <w:rsid w:val="0051482D"/>
    <w:rsid w:val="0051538B"/>
    <w:rsid w:val="00515D3A"/>
    <w:rsid w:val="00521541"/>
    <w:rsid w:val="0052594E"/>
    <w:rsid w:val="005260A1"/>
    <w:rsid w:val="00530BA6"/>
    <w:rsid w:val="00530F30"/>
    <w:rsid w:val="0053167F"/>
    <w:rsid w:val="00531EE7"/>
    <w:rsid w:val="0053214E"/>
    <w:rsid w:val="00534CCA"/>
    <w:rsid w:val="0053664A"/>
    <w:rsid w:val="005367E9"/>
    <w:rsid w:val="00537286"/>
    <w:rsid w:val="005378DC"/>
    <w:rsid w:val="00537E7A"/>
    <w:rsid w:val="00540D36"/>
    <w:rsid w:val="00541366"/>
    <w:rsid w:val="00543F30"/>
    <w:rsid w:val="00544762"/>
    <w:rsid w:val="00544D08"/>
    <w:rsid w:val="0054604A"/>
    <w:rsid w:val="00551D81"/>
    <w:rsid w:val="00555563"/>
    <w:rsid w:val="00562057"/>
    <w:rsid w:val="00564F3E"/>
    <w:rsid w:val="005658A5"/>
    <w:rsid w:val="005709F1"/>
    <w:rsid w:val="00571317"/>
    <w:rsid w:val="00572ED9"/>
    <w:rsid w:val="00576471"/>
    <w:rsid w:val="005802A3"/>
    <w:rsid w:val="0058117E"/>
    <w:rsid w:val="00581774"/>
    <w:rsid w:val="0058272B"/>
    <w:rsid w:val="00584246"/>
    <w:rsid w:val="005853BC"/>
    <w:rsid w:val="005854F5"/>
    <w:rsid w:val="00585821"/>
    <w:rsid w:val="0058693C"/>
    <w:rsid w:val="005900AB"/>
    <w:rsid w:val="00590F67"/>
    <w:rsid w:val="00591C03"/>
    <w:rsid w:val="0059293B"/>
    <w:rsid w:val="00592FF8"/>
    <w:rsid w:val="00595B7D"/>
    <w:rsid w:val="0059615D"/>
    <w:rsid w:val="00596D1F"/>
    <w:rsid w:val="005A0409"/>
    <w:rsid w:val="005B192C"/>
    <w:rsid w:val="005B4788"/>
    <w:rsid w:val="005B4840"/>
    <w:rsid w:val="005B486B"/>
    <w:rsid w:val="005B67D8"/>
    <w:rsid w:val="005B6ECE"/>
    <w:rsid w:val="005C1EAC"/>
    <w:rsid w:val="005C2B39"/>
    <w:rsid w:val="005C72F0"/>
    <w:rsid w:val="005C747F"/>
    <w:rsid w:val="005D0EB1"/>
    <w:rsid w:val="005D2779"/>
    <w:rsid w:val="005D41F6"/>
    <w:rsid w:val="005D60C1"/>
    <w:rsid w:val="005D7BF0"/>
    <w:rsid w:val="005E0863"/>
    <w:rsid w:val="005E1B55"/>
    <w:rsid w:val="005E5B4E"/>
    <w:rsid w:val="005E5BDD"/>
    <w:rsid w:val="005F04B5"/>
    <w:rsid w:val="005F1590"/>
    <w:rsid w:val="00603E79"/>
    <w:rsid w:val="006046CD"/>
    <w:rsid w:val="00611D6B"/>
    <w:rsid w:val="00614E88"/>
    <w:rsid w:val="00615D23"/>
    <w:rsid w:val="00616FF4"/>
    <w:rsid w:val="0062154C"/>
    <w:rsid w:val="00621F1A"/>
    <w:rsid w:val="00622E84"/>
    <w:rsid w:val="00625634"/>
    <w:rsid w:val="00625870"/>
    <w:rsid w:val="00626226"/>
    <w:rsid w:val="006267B1"/>
    <w:rsid w:val="00627CE1"/>
    <w:rsid w:val="00630C57"/>
    <w:rsid w:val="0063283D"/>
    <w:rsid w:val="00633C56"/>
    <w:rsid w:val="00634374"/>
    <w:rsid w:val="00634683"/>
    <w:rsid w:val="00636E7B"/>
    <w:rsid w:val="00640CFB"/>
    <w:rsid w:val="0064413A"/>
    <w:rsid w:val="00644F2D"/>
    <w:rsid w:val="0064513A"/>
    <w:rsid w:val="00646952"/>
    <w:rsid w:val="00646F3C"/>
    <w:rsid w:val="006502EE"/>
    <w:rsid w:val="006514D8"/>
    <w:rsid w:val="00653D47"/>
    <w:rsid w:val="00654E2D"/>
    <w:rsid w:val="0065549E"/>
    <w:rsid w:val="006579A4"/>
    <w:rsid w:val="00660CF0"/>
    <w:rsid w:val="00661118"/>
    <w:rsid w:val="00661198"/>
    <w:rsid w:val="00662EE3"/>
    <w:rsid w:val="006668B4"/>
    <w:rsid w:val="006676EA"/>
    <w:rsid w:val="00671711"/>
    <w:rsid w:val="00671AC3"/>
    <w:rsid w:val="0067354A"/>
    <w:rsid w:val="0067713F"/>
    <w:rsid w:val="00680C4B"/>
    <w:rsid w:val="00682A09"/>
    <w:rsid w:val="006831E0"/>
    <w:rsid w:val="006834D2"/>
    <w:rsid w:val="00686484"/>
    <w:rsid w:val="00687C3C"/>
    <w:rsid w:val="00690ED2"/>
    <w:rsid w:val="00694903"/>
    <w:rsid w:val="00695C2C"/>
    <w:rsid w:val="006A0FAE"/>
    <w:rsid w:val="006A1FF2"/>
    <w:rsid w:val="006A27E3"/>
    <w:rsid w:val="006A7C2A"/>
    <w:rsid w:val="006B2EB2"/>
    <w:rsid w:val="006B2EC6"/>
    <w:rsid w:val="006B5800"/>
    <w:rsid w:val="006C2A71"/>
    <w:rsid w:val="006C4F00"/>
    <w:rsid w:val="006C65BC"/>
    <w:rsid w:val="006C7587"/>
    <w:rsid w:val="006C7C65"/>
    <w:rsid w:val="006D03CC"/>
    <w:rsid w:val="006D07EB"/>
    <w:rsid w:val="006D0FBF"/>
    <w:rsid w:val="006D1351"/>
    <w:rsid w:val="006D233F"/>
    <w:rsid w:val="006D37D3"/>
    <w:rsid w:val="006D6C7D"/>
    <w:rsid w:val="006E23CC"/>
    <w:rsid w:val="006E2F43"/>
    <w:rsid w:val="006E68A4"/>
    <w:rsid w:val="006F0BCA"/>
    <w:rsid w:val="006F20D0"/>
    <w:rsid w:val="006F20D8"/>
    <w:rsid w:val="006F2299"/>
    <w:rsid w:val="006F2617"/>
    <w:rsid w:val="006F3110"/>
    <w:rsid w:val="006F434C"/>
    <w:rsid w:val="006F77AB"/>
    <w:rsid w:val="006F7CB7"/>
    <w:rsid w:val="0070060E"/>
    <w:rsid w:val="0070158D"/>
    <w:rsid w:val="00703051"/>
    <w:rsid w:val="00710A26"/>
    <w:rsid w:val="00714520"/>
    <w:rsid w:val="00717047"/>
    <w:rsid w:val="00720361"/>
    <w:rsid w:val="00723583"/>
    <w:rsid w:val="007260C5"/>
    <w:rsid w:val="0073212A"/>
    <w:rsid w:val="0073230B"/>
    <w:rsid w:val="007356BA"/>
    <w:rsid w:val="00740B67"/>
    <w:rsid w:val="0074106D"/>
    <w:rsid w:val="007442A2"/>
    <w:rsid w:val="00744F06"/>
    <w:rsid w:val="00745849"/>
    <w:rsid w:val="00752D32"/>
    <w:rsid w:val="00754A2D"/>
    <w:rsid w:val="00754D49"/>
    <w:rsid w:val="007551BC"/>
    <w:rsid w:val="007553FE"/>
    <w:rsid w:val="00755604"/>
    <w:rsid w:val="007572EF"/>
    <w:rsid w:val="00757EF3"/>
    <w:rsid w:val="0076284F"/>
    <w:rsid w:val="00763401"/>
    <w:rsid w:val="0076485D"/>
    <w:rsid w:val="00765FDA"/>
    <w:rsid w:val="0076795A"/>
    <w:rsid w:val="007701E1"/>
    <w:rsid w:val="00776087"/>
    <w:rsid w:val="00781669"/>
    <w:rsid w:val="00783250"/>
    <w:rsid w:val="0078561A"/>
    <w:rsid w:val="00792F36"/>
    <w:rsid w:val="007930C7"/>
    <w:rsid w:val="00795069"/>
    <w:rsid w:val="00796294"/>
    <w:rsid w:val="007969A9"/>
    <w:rsid w:val="00797B1C"/>
    <w:rsid w:val="007A063F"/>
    <w:rsid w:val="007A09FD"/>
    <w:rsid w:val="007A3BD4"/>
    <w:rsid w:val="007A518C"/>
    <w:rsid w:val="007B3E71"/>
    <w:rsid w:val="007B4B35"/>
    <w:rsid w:val="007B5D97"/>
    <w:rsid w:val="007C239B"/>
    <w:rsid w:val="007C3EE2"/>
    <w:rsid w:val="007C3F45"/>
    <w:rsid w:val="007C4967"/>
    <w:rsid w:val="007C5429"/>
    <w:rsid w:val="007D20C8"/>
    <w:rsid w:val="007D5B42"/>
    <w:rsid w:val="007D64B0"/>
    <w:rsid w:val="007E02A8"/>
    <w:rsid w:val="007E10ED"/>
    <w:rsid w:val="007E28BD"/>
    <w:rsid w:val="007E4BA9"/>
    <w:rsid w:val="007E5524"/>
    <w:rsid w:val="007E6311"/>
    <w:rsid w:val="007E7C0B"/>
    <w:rsid w:val="007F0425"/>
    <w:rsid w:val="007F0A8F"/>
    <w:rsid w:val="007F235D"/>
    <w:rsid w:val="007F6EB7"/>
    <w:rsid w:val="00800958"/>
    <w:rsid w:val="008018C1"/>
    <w:rsid w:val="00804766"/>
    <w:rsid w:val="008056F7"/>
    <w:rsid w:val="00815D10"/>
    <w:rsid w:val="00817A4C"/>
    <w:rsid w:val="0082403B"/>
    <w:rsid w:val="00830AE2"/>
    <w:rsid w:val="008354C6"/>
    <w:rsid w:val="00836EE3"/>
    <w:rsid w:val="008416CF"/>
    <w:rsid w:val="008436BA"/>
    <w:rsid w:val="008447EA"/>
    <w:rsid w:val="00845F78"/>
    <w:rsid w:val="00850CEB"/>
    <w:rsid w:val="00852738"/>
    <w:rsid w:val="00854E32"/>
    <w:rsid w:val="00855726"/>
    <w:rsid w:val="008563D4"/>
    <w:rsid w:val="00860A75"/>
    <w:rsid w:val="008611E1"/>
    <w:rsid w:val="00862AEE"/>
    <w:rsid w:val="00862FDC"/>
    <w:rsid w:val="00864413"/>
    <w:rsid w:val="00864D07"/>
    <w:rsid w:val="008663CD"/>
    <w:rsid w:val="00870C88"/>
    <w:rsid w:val="00871F24"/>
    <w:rsid w:val="0087324D"/>
    <w:rsid w:val="00874AE2"/>
    <w:rsid w:val="00883C4C"/>
    <w:rsid w:val="00884ED8"/>
    <w:rsid w:val="00885670"/>
    <w:rsid w:val="008913DA"/>
    <w:rsid w:val="00891515"/>
    <w:rsid w:val="00895A7D"/>
    <w:rsid w:val="00896685"/>
    <w:rsid w:val="00897678"/>
    <w:rsid w:val="00897F00"/>
    <w:rsid w:val="008A11AC"/>
    <w:rsid w:val="008A2060"/>
    <w:rsid w:val="008A2528"/>
    <w:rsid w:val="008A26B1"/>
    <w:rsid w:val="008A2735"/>
    <w:rsid w:val="008A63A3"/>
    <w:rsid w:val="008A6544"/>
    <w:rsid w:val="008B3CF1"/>
    <w:rsid w:val="008B4569"/>
    <w:rsid w:val="008B67D8"/>
    <w:rsid w:val="008B746F"/>
    <w:rsid w:val="008C089A"/>
    <w:rsid w:val="008C1DBB"/>
    <w:rsid w:val="008C334E"/>
    <w:rsid w:val="008C729F"/>
    <w:rsid w:val="008D27CB"/>
    <w:rsid w:val="008D3B92"/>
    <w:rsid w:val="008D3D04"/>
    <w:rsid w:val="008D5E5F"/>
    <w:rsid w:val="008D6C65"/>
    <w:rsid w:val="008E0AE5"/>
    <w:rsid w:val="008E246C"/>
    <w:rsid w:val="008E2C9C"/>
    <w:rsid w:val="008E2E21"/>
    <w:rsid w:val="008E4279"/>
    <w:rsid w:val="008E4F95"/>
    <w:rsid w:val="008E5094"/>
    <w:rsid w:val="008E5B2A"/>
    <w:rsid w:val="008E5E75"/>
    <w:rsid w:val="008E6E95"/>
    <w:rsid w:val="008E70B7"/>
    <w:rsid w:val="008F0896"/>
    <w:rsid w:val="008F238F"/>
    <w:rsid w:val="008F4261"/>
    <w:rsid w:val="009017C6"/>
    <w:rsid w:val="009027BC"/>
    <w:rsid w:val="00902C62"/>
    <w:rsid w:val="00914537"/>
    <w:rsid w:val="0091590D"/>
    <w:rsid w:val="00916A94"/>
    <w:rsid w:val="00916D16"/>
    <w:rsid w:val="0092051A"/>
    <w:rsid w:val="0092178A"/>
    <w:rsid w:val="009226E8"/>
    <w:rsid w:val="00923258"/>
    <w:rsid w:val="00924549"/>
    <w:rsid w:val="00924644"/>
    <w:rsid w:val="00924A0F"/>
    <w:rsid w:val="009268BC"/>
    <w:rsid w:val="00932E12"/>
    <w:rsid w:val="009360DE"/>
    <w:rsid w:val="009364CD"/>
    <w:rsid w:val="00937478"/>
    <w:rsid w:val="00940346"/>
    <w:rsid w:val="00941EAD"/>
    <w:rsid w:val="009502B4"/>
    <w:rsid w:val="009504A4"/>
    <w:rsid w:val="00951C1D"/>
    <w:rsid w:val="009532C3"/>
    <w:rsid w:val="0095510B"/>
    <w:rsid w:val="0096003C"/>
    <w:rsid w:val="00961205"/>
    <w:rsid w:val="00961A3C"/>
    <w:rsid w:val="0096203C"/>
    <w:rsid w:val="00967703"/>
    <w:rsid w:val="00970E9B"/>
    <w:rsid w:val="00971C9C"/>
    <w:rsid w:val="00973AA6"/>
    <w:rsid w:val="00975C0B"/>
    <w:rsid w:val="00976971"/>
    <w:rsid w:val="00976B1B"/>
    <w:rsid w:val="00980DBC"/>
    <w:rsid w:val="0098236A"/>
    <w:rsid w:val="009825E7"/>
    <w:rsid w:val="009831BB"/>
    <w:rsid w:val="009835C4"/>
    <w:rsid w:val="00985049"/>
    <w:rsid w:val="00985EDF"/>
    <w:rsid w:val="00985F1F"/>
    <w:rsid w:val="009870F6"/>
    <w:rsid w:val="009876E5"/>
    <w:rsid w:val="009913FA"/>
    <w:rsid w:val="009943ED"/>
    <w:rsid w:val="00995FB2"/>
    <w:rsid w:val="00997EEA"/>
    <w:rsid w:val="009A064F"/>
    <w:rsid w:val="009A09B5"/>
    <w:rsid w:val="009A0B52"/>
    <w:rsid w:val="009A181A"/>
    <w:rsid w:val="009A2835"/>
    <w:rsid w:val="009A43C2"/>
    <w:rsid w:val="009A6494"/>
    <w:rsid w:val="009B227B"/>
    <w:rsid w:val="009B467E"/>
    <w:rsid w:val="009B6BEB"/>
    <w:rsid w:val="009B6E1C"/>
    <w:rsid w:val="009C666D"/>
    <w:rsid w:val="009D41F7"/>
    <w:rsid w:val="009D7591"/>
    <w:rsid w:val="009D76A0"/>
    <w:rsid w:val="009D7821"/>
    <w:rsid w:val="009D7BD9"/>
    <w:rsid w:val="009E0F28"/>
    <w:rsid w:val="009E103E"/>
    <w:rsid w:val="009E37A6"/>
    <w:rsid w:val="009E409F"/>
    <w:rsid w:val="009E503B"/>
    <w:rsid w:val="009E5A81"/>
    <w:rsid w:val="009E71D2"/>
    <w:rsid w:val="009E7EA3"/>
    <w:rsid w:val="009F0827"/>
    <w:rsid w:val="009F24BE"/>
    <w:rsid w:val="009F48F1"/>
    <w:rsid w:val="009F4BCD"/>
    <w:rsid w:val="00A001E3"/>
    <w:rsid w:val="00A00F5B"/>
    <w:rsid w:val="00A01861"/>
    <w:rsid w:val="00A01F48"/>
    <w:rsid w:val="00A06E04"/>
    <w:rsid w:val="00A06E8F"/>
    <w:rsid w:val="00A113AD"/>
    <w:rsid w:val="00A12FC9"/>
    <w:rsid w:val="00A2099E"/>
    <w:rsid w:val="00A2121A"/>
    <w:rsid w:val="00A23F71"/>
    <w:rsid w:val="00A31027"/>
    <w:rsid w:val="00A310EE"/>
    <w:rsid w:val="00A3205B"/>
    <w:rsid w:val="00A34A59"/>
    <w:rsid w:val="00A35650"/>
    <w:rsid w:val="00A35CE7"/>
    <w:rsid w:val="00A37624"/>
    <w:rsid w:val="00A4061E"/>
    <w:rsid w:val="00A406C2"/>
    <w:rsid w:val="00A44D82"/>
    <w:rsid w:val="00A45E87"/>
    <w:rsid w:val="00A464D2"/>
    <w:rsid w:val="00A478AB"/>
    <w:rsid w:val="00A501D9"/>
    <w:rsid w:val="00A511E4"/>
    <w:rsid w:val="00A516E2"/>
    <w:rsid w:val="00A542CF"/>
    <w:rsid w:val="00A549AA"/>
    <w:rsid w:val="00A57CFC"/>
    <w:rsid w:val="00A6519A"/>
    <w:rsid w:val="00A66637"/>
    <w:rsid w:val="00A6798E"/>
    <w:rsid w:val="00A71569"/>
    <w:rsid w:val="00A72EBB"/>
    <w:rsid w:val="00A73EEF"/>
    <w:rsid w:val="00A74BA6"/>
    <w:rsid w:val="00A75A40"/>
    <w:rsid w:val="00A76C0B"/>
    <w:rsid w:val="00A77D76"/>
    <w:rsid w:val="00A81DC2"/>
    <w:rsid w:val="00A82EBD"/>
    <w:rsid w:val="00A86315"/>
    <w:rsid w:val="00A86F6F"/>
    <w:rsid w:val="00A90C9A"/>
    <w:rsid w:val="00A91E33"/>
    <w:rsid w:val="00A9304A"/>
    <w:rsid w:val="00A93E81"/>
    <w:rsid w:val="00A9438C"/>
    <w:rsid w:val="00A95EA0"/>
    <w:rsid w:val="00AA3196"/>
    <w:rsid w:val="00AA6907"/>
    <w:rsid w:val="00AB132F"/>
    <w:rsid w:val="00AB19E5"/>
    <w:rsid w:val="00AB25C3"/>
    <w:rsid w:val="00AB337E"/>
    <w:rsid w:val="00AB60F4"/>
    <w:rsid w:val="00AB65BF"/>
    <w:rsid w:val="00AC48A9"/>
    <w:rsid w:val="00AC6FC7"/>
    <w:rsid w:val="00AD0946"/>
    <w:rsid w:val="00AE2191"/>
    <w:rsid w:val="00AE3166"/>
    <w:rsid w:val="00AE3393"/>
    <w:rsid w:val="00AE66DF"/>
    <w:rsid w:val="00AE7DD2"/>
    <w:rsid w:val="00AF72A2"/>
    <w:rsid w:val="00B0275F"/>
    <w:rsid w:val="00B043FF"/>
    <w:rsid w:val="00B05D66"/>
    <w:rsid w:val="00B112FA"/>
    <w:rsid w:val="00B13543"/>
    <w:rsid w:val="00B15043"/>
    <w:rsid w:val="00B15BCC"/>
    <w:rsid w:val="00B175C3"/>
    <w:rsid w:val="00B23E53"/>
    <w:rsid w:val="00B26975"/>
    <w:rsid w:val="00B27EF3"/>
    <w:rsid w:val="00B31E9D"/>
    <w:rsid w:val="00B350A0"/>
    <w:rsid w:val="00B37E41"/>
    <w:rsid w:val="00B448F5"/>
    <w:rsid w:val="00B460ED"/>
    <w:rsid w:val="00B55EAE"/>
    <w:rsid w:val="00B57D8E"/>
    <w:rsid w:val="00B60DE9"/>
    <w:rsid w:val="00B61865"/>
    <w:rsid w:val="00B61C60"/>
    <w:rsid w:val="00B6222E"/>
    <w:rsid w:val="00B66791"/>
    <w:rsid w:val="00B66CEA"/>
    <w:rsid w:val="00B67049"/>
    <w:rsid w:val="00B67070"/>
    <w:rsid w:val="00B727E8"/>
    <w:rsid w:val="00B76A2E"/>
    <w:rsid w:val="00B80575"/>
    <w:rsid w:val="00B81A15"/>
    <w:rsid w:val="00B82530"/>
    <w:rsid w:val="00B826ED"/>
    <w:rsid w:val="00B83075"/>
    <w:rsid w:val="00B84CA7"/>
    <w:rsid w:val="00B850ED"/>
    <w:rsid w:val="00B85A8D"/>
    <w:rsid w:val="00B87077"/>
    <w:rsid w:val="00B90A27"/>
    <w:rsid w:val="00B91E24"/>
    <w:rsid w:val="00B920FB"/>
    <w:rsid w:val="00B92DB1"/>
    <w:rsid w:val="00B943CE"/>
    <w:rsid w:val="00B96471"/>
    <w:rsid w:val="00B96473"/>
    <w:rsid w:val="00BA0CEE"/>
    <w:rsid w:val="00BA26DD"/>
    <w:rsid w:val="00BA276A"/>
    <w:rsid w:val="00BA359C"/>
    <w:rsid w:val="00BA409C"/>
    <w:rsid w:val="00BA435B"/>
    <w:rsid w:val="00BA5B0F"/>
    <w:rsid w:val="00BA5E3D"/>
    <w:rsid w:val="00BA794F"/>
    <w:rsid w:val="00BB03D2"/>
    <w:rsid w:val="00BB2A76"/>
    <w:rsid w:val="00BB4CCB"/>
    <w:rsid w:val="00BB7ADE"/>
    <w:rsid w:val="00BB7C9D"/>
    <w:rsid w:val="00BC0516"/>
    <w:rsid w:val="00BC1972"/>
    <w:rsid w:val="00BC2F14"/>
    <w:rsid w:val="00BC3DA5"/>
    <w:rsid w:val="00BC4D1E"/>
    <w:rsid w:val="00BC5DDD"/>
    <w:rsid w:val="00BD152C"/>
    <w:rsid w:val="00BD2733"/>
    <w:rsid w:val="00BD4ACC"/>
    <w:rsid w:val="00BD7B0A"/>
    <w:rsid w:val="00BE099D"/>
    <w:rsid w:val="00BE7A26"/>
    <w:rsid w:val="00BF0211"/>
    <w:rsid w:val="00BF5CD2"/>
    <w:rsid w:val="00C02C4E"/>
    <w:rsid w:val="00C03E22"/>
    <w:rsid w:val="00C05F14"/>
    <w:rsid w:val="00C061C5"/>
    <w:rsid w:val="00C07D8C"/>
    <w:rsid w:val="00C10605"/>
    <w:rsid w:val="00C11C80"/>
    <w:rsid w:val="00C12EC4"/>
    <w:rsid w:val="00C143AE"/>
    <w:rsid w:val="00C146FB"/>
    <w:rsid w:val="00C1503B"/>
    <w:rsid w:val="00C1507C"/>
    <w:rsid w:val="00C158B4"/>
    <w:rsid w:val="00C17D40"/>
    <w:rsid w:val="00C20E29"/>
    <w:rsid w:val="00C26049"/>
    <w:rsid w:val="00C30B38"/>
    <w:rsid w:val="00C325CE"/>
    <w:rsid w:val="00C3369D"/>
    <w:rsid w:val="00C34588"/>
    <w:rsid w:val="00C34ECB"/>
    <w:rsid w:val="00C357DA"/>
    <w:rsid w:val="00C364A4"/>
    <w:rsid w:val="00C3681E"/>
    <w:rsid w:val="00C3785C"/>
    <w:rsid w:val="00C37CE1"/>
    <w:rsid w:val="00C40805"/>
    <w:rsid w:val="00C40F71"/>
    <w:rsid w:val="00C43760"/>
    <w:rsid w:val="00C4520E"/>
    <w:rsid w:val="00C517F8"/>
    <w:rsid w:val="00C521C9"/>
    <w:rsid w:val="00C54A0D"/>
    <w:rsid w:val="00C54B64"/>
    <w:rsid w:val="00C54C4F"/>
    <w:rsid w:val="00C54D74"/>
    <w:rsid w:val="00C55D99"/>
    <w:rsid w:val="00C561CF"/>
    <w:rsid w:val="00C6161F"/>
    <w:rsid w:val="00C6167B"/>
    <w:rsid w:val="00C62085"/>
    <w:rsid w:val="00C66761"/>
    <w:rsid w:val="00C66EDA"/>
    <w:rsid w:val="00C6759C"/>
    <w:rsid w:val="00C67629"/>
    <w:rsid w:val="00C73400"/>
    <w:rsid w:val="00C73CFE"/>
    <w:rsid w:val="00C750F2"/>
    <w:rsid w:val="00C8343D"/>
    <w:rsid w:val="00C84C21"/>
    <w:rsid w:val="00C8675C"/>
    <w:rsid w:val="00C86F2D"/>
    <w:rsid w:val="00C87261"/>
    <w:rsid w:val="00C87A5B"/>
    <w:rsid w:val="00C92CBC"/>
    <w:rsid w:val="00C94618"/>
    <w:rsid w:val="00C94D85"/>
    <w:rsid w:val="00CA2689"/>
    <w:rsid w:val="00CA2EB7"/>
    <w:rsid w:val="00CA4484"/>
    <w:rsid w:val="00CA4DE5"/>
    <w:rsid w:val="00CA615C"/>
    <w:rsid w:val="00CB2C2F"/>
    <w:rsid w:val="00CC048F"/>
    <w:rsid w:val="00CC28D7"/>
    <w:rsid w:val="00CC4030"/>
    <w:rsid w:val="00CC4FEA"/>
    <w:rsid w:val="00CC628C"/>
    <w:rsid w:val="00CC672A"/>
    <w:rsid w:val="00CC752F"/>
    <w:rsid w:val="00CD0FEC"/>
    <w:rsid w:val="00CD1093"/>
    <w:rsid w:val="00CD2FD7"/>
    <w:rsid w:val="00CD40BD"/>
    <w:rsid w:val="00CD46E8"/>
    <w:rsid w:val="00CD5A98"/>
    <w:rsid w:val="00CD5FE6"/>
    <w:rsid w:val="00CE0771"/>
    <w:rsid w:val="00CE1495"/>
    <w:rsid w:val="00CE298B"/>
    <w:rsid w:val="00CE427B"/>
    <w:rsid w:val="00CE5F6B"/>
    <w:rsid w:val="00CE6485"/>
    <w:rsid w:val="00CE64E7"/>
    <w:rsid w:val="00CF0BE5"/>
    <w:rsid w:val="00CF1B8E"/>
    <w:rsid w:val="00CF2CAE"/>
    <w:rsid w:val="00CF3065"/>
    <w:rsid w:val="00CF53A4"/>
    <w:rsid w:val="00CF7B2F"/>
    <w:rsid w:val="00D0027F"/>
    <w:rsid w:val="00D07D2C"/>
    <w:rsid w:val="00D1060C"/>
    <w:rsid w:val="00D123B3"/>
    <w:rsid w:val="00D13109"/>
    <w:rsid w:val="00D13BBB"/>
    <w:rsid w:val="00D15A50"/>
    <w:rsid w:val="00D21742"/>
    <w:rsid w:val="00D24A15"/>
    <w:rsid w:val="00D306D0"/>
    <w:rsid w:val="00D30C4E"/>
    <w:rsid w:val="00D31A4D"/>
    <w:rsid w:val="00D336F5"/>
    <w:rsid w:val="00D348A0"/>
    <w:rsid w:val="00D3496C"/>
    <w:rsid w:val="00D356CE"/>
    <w:rsid w:val="00D40DC7"/>
    <w:rsid w:val="00D41F28"/>
    <w:rsid w:val="00D4580D"/>
    <w:rsid w:val="00D45BBA"/>
    <w:rsid w:val="00D50AD0"/>
    <w:rsid w:val="00D51B43"/>
    <w:rsid w:val="00D51F00"/>
    <w:rsid w:val="00D534BF"/>
    <w:rsid w:val="00D56D7F"/>
    <w:rsid w:val="00D6202A"/>
    <w:rsid w:val="00D7106A"/>
    <w:rsid w:val="00D72705"/>
    <w:rsid w:val="00D72E1C"/>
    <w:rsid w:val="00D73110"/>
    <w:rsid w:val="00D73D0B"/>
    <w:rsid w:val="00D742D0"/>
    <w:rsid w:val="00D75623"/>
    <w:rsid w:val="00D769F0"/>
    <w:rsid w:val="00D77663"/>
    <w:rsid w:val="00D83380"/>
    <w:rsid w:val="00D84D53"/>
    <w:rsid w:val="00D8533A"/>
    <w:rsid w:val="00D85750"/>
    <w:rsid w:val="00D85767"/>
    <w:rsid w:val="00D87364"/>
    <w:rsid w:val="00D90AC0"/>
    <w:rsid w:val="00D92FFB"/>
    <w:rsid w:val="00D94001"/>
    <w:rsid w:val="00DA45CE"/>
    <w:rsid w:val="00DA6199"/>
    <w:rsid w:val="00DB1D8E"/>
    <w:rsid w:val="00DB1DF7"/>
    <w:rsid w:val="00DB6C1F"/>
    <w:rsid w:val="00DB723F"/>
    <w:rsid w:val="00DC0683"/>
    <w:rsid w:val="00DC0A6C"/>
    <w:rsid w:val="00DC131E"/>
    <w:rsid w:val="00DC2D10"/>
    <w:rsid w:val="00DC3B10"/>
    <w:rsid w:val="00DC5186"/>
    <w:rsid w:val="00DC7B35"/>
    <w:rsid w:val="00DD1C1B"/>
    <w:rsid w:val="00DD33B7"/>
    <w:rsid w:val="00DD429B"/>
    <w:rsid w:val="00DD4C4C"/>
    <w:rsid w:val="00DD66E1"/>
    <w:rsid w:val="00DD68BD"/>
    <w:rsid w:val="00DD782F"/>
    <w:rsid w:val="00DD7E26"/>
    <w:rsid w:val="00DE2795"/>
    <w:rsid w:val="00DE37BB"/>
    <w:rsid w:val="00DE3E7F"/>
    <w:rsid w:val="00DE58EE"/>
    <w:rsid w:val="00DE5FD7"/>
    <w:rsid w:val="00DF042F"/>
    <w:rsid w:val="00DF445D"/>
    <w:rsid w:val="00DF7CC4"/>
    <w:rsid w:val="00E016C1"/>
    <w:rsid w:val="00E11FFB"/>
    <w:rsid w:val="00E13E9E"/>
    <w:rsid w:val="00E149CC"/>
    <w:rsid w:val="00E14E34"/>
    <w:rsid w:val="00E208C8"/>
    <w:rsid w:val="00E2300C"/>
    <w:rsid w:val="00E25A0B"/>
    <w:rsid w:val="00E30D9A"/>
    <w:rsid w:val="00E32913"/>
    <w:rsid w:val="00E33D78"/>
    <w:rsid w:val="00E35D9E"/>
    <w:rsid w:val="00E42880"/>
    <w:rsid w:val="00E44617"/>
    <w:rsid w:val="00E45495"/>
    <w:rsid w:val="00E45B67"/>
    <w:rsid w:val="00E4731A"/>
    <w:rsid w:val="00E50024"/>
    <w:rsid w:val="00E50D03"/>
    <w:rsid w:val="00E51D1D"/>
    <w:rsid w:val="00E540C2"/>
    <w:rsid w:val="00E547D2"/>
    <w:rsid w:val="00E61FA2"/>
    <w:rsid w:val="00E62D53"/>
    <w:rsid w:val="00E66813"/>
    <w:rsid w:val="00E67D9A"/>
    <w:rsid w:val="00E70E32"/>
    <w:rsid w:val="00E714EA"/>
    <w:rsid w:val="00E721C5"/>
    <w:rsid w:val="00E73C8A"/>
    <w:rsid w:val="00E74492"/>
    <w:rsid w:val="00E770ED"/>
    <w:rsid w:val="00E80C98"/>
    <w:rsid w:val="00E81474"/>
    <w:rsid w:val="00E8173F"/>
    <w:rsid w:val="00E829CE"/>
    <w:rsid w:val="00E83165"/>
    <w:rsid w:val="00E879AF"/>
    <w:rsid w:val="00E903DD"/>
    <w:rsid w:val="00E90E88"/>
    <w:rsid w:val="00E914E2"/>
    <w:rsid w:val="00E91D30"/>
    <w:rsid w:val="00E92C88"/>
    <w:rsid w:val="00E97818"/>
    <w:rsid w:val="00EA272A"/>
    <w:rsid w:val="00EA28A1"/>
    <w:rsid w:val="00EA4CED"/>
    <w:rsid w:val="00EB0143"/>
    <w:rsid w:val="00EB1E57"/>
    <w:rsid w:val="00EB1EBA"/>
    <w:rsid w:val="00EB380E"/>
    <w:rsid w:val="00EB4E88"/>
    <w:rsid w:val="00EB700B"/>
    <w:rsid w:val="00EB7134"/>
    <w:rsid w:val="00EC20E7"/>
    <w:rsid w:val="00EC2D0F"/>
    <w:rsid w:val="00EC3712"/>
    <w:rsid w:val="00EC50FB"/>
    <w:rsid w:val="00EC64A0"/>
    <w:rsid w:val="00EC71C9"/>
    <w:rsid w:val="00ED035E"/>
    <w:rsid w:val="00ED2564"/>
    <w:rsid w:val="00ED4227"/>
    <w:rsid w:val="00ED4808"/>
    <w:rsid w:val="00ED6B08"/>
    <w:rsid w:val="00EE0290"/>
    <w:rsid w:val="00EE06BB"/>
    <w:rsid w:val="00EE378C"/>
    <w:rsid w:val="00EE5655"/>
    <w:rsid w:val="00EE7AA0"/>
    <w:rsid w:val="00EF03F8"/>
    <w:rsid w:val="00EF1916"/>
    <w:rsid w:val="00EF23FD"/>
    <w:rsid w:val="00EF261A"/>
    <w:rsid w:val="00EF54B3"/>
    <w:rsid w:val="00EF621E"/>
    <w:rsid w:val="00EF6452"/>
    <w:rsid w:val="00F00F80"/>
    <w:rsid w:val="00F01495"/>
    <w:rsid w:val="00F040A7"/>
    <w:rsid w:val="00F052F9"/>
    <w:rsid w:val="00F05527"/>
    <w:rsid w:val="00F06D34"/>
    <w:rsid w:val="00F10CBB"/>
    <w:rsid w:val="00F11A52"/>
    <w:rsid w:val="00F13F50"/>
    <w:rsid w:val="00F17613"/>
    <w:rsid w:val="00F201EE"/>
    <w:rsid w:val="00F205D9"/>
    <w:rsid w:val="00F20BA3"/>
    <w:rsid w:val="00F2188D"/>
    <w:rsid w:val="00F23144"/>
    <w:rsid w:val="00F2426B"/>
    <w:rsid w:val="00F26A97"/>
    <w:rsid w:val="00F30930"/>
    <w:rsid w:val="00F34CA2"/>
    <w:rsid w:val="00F406D0"/>
    <w:rsid w:val="00F42138"/>
    <w:rsid w:val="00F45173"/>
    <w:rsid w:val="00F45276"/>
    <w:rsid w:val="00F45C65"/>
    <w:rsid w:val="00F46335"/>
    <w:rsid w:val="00F46D3C"/>
    <w:rsid w:val="00F5042D"/>
    <w:rsid w:val="00F53F12"/>
    <w:rsid w:val="00F544BE"/>
    <w:rsid w:val="00F54681"/>
    <w:rsid w:val="00F61269"/>
    <w:rsid w:val="00F62096"/>
    <w:rsid w:val="00F63610"/>
    <w:rsid w:val="00F63AF0"/>
    <w:rsid w:val="00F640F1"/>
    <w:rsid w:val="00F645D8"/>
    <w:rsid w:val="00F65806"/>
    <w:rsid w:val="00F662F8"/>
    <w:rsid w:val="00F67A0E"/>
    <w:rsid w:val="00F70171"/>
    <w:rsid w:val="00F70C08"/>
    <w:rsid w:val="00F717F0"/>
    <w:rsid w:val="00F71C41"/>
    <w:rsid w:val="00F72416"/>
    <w:rsid w:val="00F7588C"/>
    <w:rsid w:val="00F7634C"/>
    <w:rsid w:val="00F77209"/>
    <w:rsid w:val="00F80C34"/>
    <w:rsid w:val="00F8305F"/>
    <w:rsid w:val="00F84A03"/>
    <w:rsid w:val="00F851C9"/>
    <w:rsid w:val="00F87EB0"/>
    <w:rsid w:val="00F90D1D"/>
    <w:rsid w:val="00F920F1"/>
    <w:rsid w:val="00F97B38"/>
    <w:rsid w:val="00FA0A09"/>
    <w:rsid w:val="00FA3E5D"/>
    <w:rsid w:val="00FA739E"/>
    <w:rsid w:val="00FB1666"/>
    <w:rsid w:val="00FB269B"/>
    <w:rsid w:val="00FB26AC"/>
    <w:rsid w:val="00FB2C6F"/>
    <w:rsid w:val="00FB3041"/>
    <w:rsid w:val="00FB3394"/>
    <w:rsid w:val="00FB5486"/>
    <w:rsid w:val="00FB6A41"/>
    <w:rsid w:val="00FC08ED"/>
    <w:rsid w:val="00FC0E58"/>
    <w:rsid w:val="00FC19E6"/>
    <w:rsid w:val="00FC2F18"/>
    <w:rsid w:val="00FC348B"/>
    <w:rsid w:val="00FC4466"/>
    <w:rsid w:val="00FC474A"/>
    <w:rsid w:val="00FD0257"/>
    <w:rsid w:val="00FD441F"/>
    <w:rsid w:val="00FD44ED"/>
    <w:rsid w:val="00FD580F"/>
    <w:rsid w:val="00FD5D53"/>
    <w:rsid w:val="00FD72D9"/>
    <w:rsid w:val="00FD7E44"/>
    <w:rsid w:val="00FE0205"/>
    <w:rsid w:val="00FE13D6"/>
    <w:rsid w:val="00FE29FA"/>
    <w:rsid w:val="00FE49F2"/>
    <w:rsid w:val="00FE4F5B"/>
    <w:rsid w:val="00FE72D8"/>
    <w:rsid w:val="00FF047A"/>
    <w:rsid w:val="00FF062D"/>
    <w:rsid w:val="00FF0C8D"/>
    <w:rsid w:val="00FF396F"/>
    <w:rsid w:val="00FF3E86"/>
    <w:rsid w:val="057A5919"/>
    <w:rsid w:val="215018EE"/>
    <w:rsid w:val="7E530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5"/>
    <w:semiHidden/>
    <w:unhideWhenUsed/>
    <w:qFormat/>
    <w:uiPriority w:val="99"/>
    <w:rPr>
      <w:rFonts w:ascii="宋体"/>
      <w:sz w:val="18"/>
      <w:szCs w:val="18"/>
    </w:rPr>
  </w:style>
  <w:style w:type="paragraph" w:styleId="3">
    <w:name w:val="Date"/>
    <w:basedOn w:val="1"/>
    <w:next w:val="1"/>
    <w:link w:val="17"/>
    <w:semiHidden/>
    <w:unhideWhenUsed/>
    <w:uiPriority w:val="99"/>
    <w:pPr>
      <w:ind w:left="100" w:leftChars="2500"/>
    </w:pPr>
  </w:style>
  <w:style w:type="paragraph" w:styleId="4">
    <w:name w:val="Balloon Text"/>
    <w:basedOn w:val="1"/>
    <w:link w:val="16"/>
    <w:semiHidden/>
    <w:unhideWhenUsed/>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rFonts w:ascii="Calibri" w:hAnsi="Calibri"/>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color w:val="000000"/>
      <w:kern w:val="0"/>
      <w:sz w:val="24"/>
    </w:rPr>
  </w:style>
  <w:style w:type="character" w:styleId="10">
    <w:name w:val="Emphasis"/>
    <w:basedOn w:val="9"/>
    <w:qFormat/>
    <w:uiPriority w:val="20"/>
    <w:rPr>
      <w:i/>
      <w:iCs/>
    </w:rPr>
  </w:style>
  <w:style w:type="character" w:styleId="11">
    <w:name w:val="Hyperlink"/>
    <w:basedOn w:val="9"/>
    <w:unhideWhenUsed/>
    <w:uiPriority w:val="99"/>
    <w:rPr>
      <w:color w:val="0000FF" w:themeColor="hyperlink"/>
      <w:u w:val="single"/>
    </w:rPr>
  </w:style>
  <w:style w:type="character" w:customStyle="1" w:styleId="12">
    <w:name w:val="页眉 Char"/>
    <w:basedOn w:val="9"/>
    <w:link w:val="6"/>
    <w:uiPriority w:val="99"/>
    <w:rPr>
      <w:sz w:val="18"/>
      <w:szCs w:val="18"/>
    </w:rPr>
  </w:style>
  <w:style w:type="character" w:customStyle="1" w:styleId="13">
    <w:name w:val="页脚 Char"/>
    <w:basedOn w:val="9"/>
    <w:link w:val="5"/>
    <w:qFormat/>
    <w:uiPriority w:val="99"/>
    <w:rPr>
      <w:sz w:val="18"/>
      <w:szCs w:val="18"/>
    </w:rPr>
  </w:style>
  <w:style w:type="paragraph" w:customStyle="1" w:styleId="14">
    <w:name w:val="Char Char Char1 Char"/>
    <w:basedOn w:val="2"/>
    <w:next w:val="6"/>
    <w:autoRedefine/>
    <w:uiPriority w:val="0"/>
    <w:pPr>
      <w:shd w:val="clear" w:color="auto" w:fill="000080"/>
      <w:adjustRightInd w:val="0"/>
      <w:spacing w:line="436" w:lineRule="exact"/>
      <w:ind w:left="357"/>
      <w:jc w:val="left"/>
      <w:outlineLvl w:val="3"/>
    </w:pPr>
    <w:rPr>
      <w:rFonts w:ascii="Tahoma" w:hAnsi="Tahoma"/>
      <w:b/>
      <w:sz w:val="24"/>
      <w:szCs w:val="24"/>
    </w:rPr>
  </w:style>
  <w:style w:type="character" w:customStyle="1" w:styleId="15">
    <w:name w:val="文档结构图 Char"/>
    <w:basedOn w:val="9"/>
    <w:link w:val="2"/>
    <w:semiHidden/>
    <w:qFormat/>
    <w:uiPriority w:val="99"/>
    <w:rPr>
      <w:rFonts w:ascii="宋体" w:hAnsi="Times New Roman" w:eastAsia="宋体" w:cs="Times New Roman"/>
      <w:sz w:val="18"/>
      <w:szCs w:val="18"/>
    </w:rPr>
  </w:style>
  <w:style w:type="character" w:customStyle="1" w:styleId="16">
    <w:name w:val="批注框文本 Char"/>
    <w:basedOn w:val="9"/>
    <w:link w:val="4"/>
    <w:semiHidden/>
    <w:qFormat/>
    <w:uiPriority w:val="99"/>
    <w:rPr>
      <w:rFonts w:ascii="Times New Roman" w:hAnsi="Times New Roman"/>
      <w:kern w:val="2"/>
      <w:sz w:val="18"/>
      <w:szCs w:val="18"/>
    </w:rPr>
  </w:style>
  <w:style w:type="character" w:customStyle="1" w:styleId="17">
    <w:name w:val="日期 Char"/>
    <w:basedOn w:val="9"/>
    <w:link w:val="3"/>
    <w:semiHidden/>
    <w:qFormat/>
    <w:uiPriority w:val="99"/>
    <w:rPr>
      <w:rFonts w:ascii="Times New Roman" w:hAnsi="Times New Roman"/>
      <w:kern w:val="2"/>
      <w:sz w:val="21"/>
      <w:szCs w:val="24"/>
    </w:rPr>
  </w:style>
  <w:style w:type="paragraph" w:styleId="18">
    <w:name w:val="List Paragraph"/>
    <w:basedOn w:val="1"/>
    <w:qFormat/>
    <w:uiPriority w:val="34"/>
    <w:pPr>
      <w:ind w:firstLine="420" w:firstLineChars="200"/>
    </w:pPr>
  </w:style>
  <w:style w:type="character" w:customStyle="1" w:styleId="19">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2018&#24180;&#24037;&#20316;\20190108&#25968;&#25454;&#25253;&#36865;&#21644;&#24180;&#24230;&#25253;&#21578;\20190115&#24180;&#24230;&#25253;&#21578;&#20013;&#30340;&#25968;&#25454;&#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18&#24180;&#24037;&#20316;\20190108&#25968;&#25454;&#25253;&#36865;&#21644;&#24180;&#24230;&#25253;&#21578;\20190115&#24180;&#24230;&#25253;&#21578;&#20013;&#30340;&#25968;&#25454;&#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clustered"/>
        <c:varyColors val="0"/>
        <c:ser>
          <c:idx val="0"/>
          <c:order val="0"/>
          <c:tx>
            <c:strRef>
              <c:f>申请件数</c:f>
              <c:strCache>
                <c:ptCount val="1"/>
                <c:pt idx="0">
                  <c:v>申请件数</c:v>
                </c:pt>
              </c:strCache>
            </c:strRef>
          </c:tx>
          <c:invertIfNegative val="0"/>
          <c:dLbls>
            <c:delete val="1"/>
          </c:dLbls>
          <c:cat>
            <c:strRef>
              <c:f>Sheet1!$A$1:$A$4</c:f>
              <c:strCache>
                <c:ptCount val="4"/>
                <c:pt idx="0">
                  <c:v>当面申请</c:v>
                </c:pt>
                <c:pt idx="1">
                  <c:v>信函申请</c:v>
                </c:pt>
                <c:pt idx="2">
                  <c:v>网络申请</c:v>
                </c:pt>
                <c:pt idx="3">
                  <c:v>传真申请</c:v>
                </c:pt>
              </c:strCache>
            </c:strRef>
          </c:cat>
          <c:val>
            <c:numRef>
              <c:f>Sheet1!$B$1:$B$4</c:f>
              <c:numCache>
                <c:formatCode>General</c:formatCode>
                <c:ptCount val="4"/>
                <c:pt idx="0">
                  <c:v>596</c:v>
                </c:pt>
                <c:pt idx="1">
                  <c:v>423</c:v>
                </c:pt>
                <c:pt idx="2">
                  <c:v>280</c:v>
                </c:pt>
                <c:pt idx="3">
                  <c:v>0</c:v>
                </c:pt>
              </c:numCache>
            </c:numRef>
          </c:val>
        </c:ser>
        <c:dLbls>
          <c:showLegendKey val="0"/>
          <c:showVal val="0"/>
          <c:showCatName val="0"/>
          <c:showSerName val="0"/>
          <c:showPercent val="0"/>
          <c:showBubbleSize val="0"/>
        </c:dLbls>
        <c:gapWidth val="150"/>
        <c:axId val="115251072"/>
        <c:axId val="120824192"/>
      </c:barChart>
      <c:catAx>
        <c:axId val="115251072"/>
        <c:scaling>
          <c:orientation val="minMax"/>
        </c:scaling>
        <c:delete val="0"/>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0824192"/>
        <c:crosses val="autoZero"/>
        <c:auto val="1"/>
        <c:lblAlgn val="ctr"/>
        <c:lblOffset val="100"/>
        <c:noMultiLvlLbl val="0"/>
      </c:catAx>
      <c:valAx>
        <c:axId val="120824192"/>
        <c:scaling>
          <c:orientation val="minMax"/>
        </c:scaling>
        <c:delete val="0"/>
        <c:axPos val="b"/>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5251072"/>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extLst>
      <c:ext uri="{0b15fc19-7d7d-44ad-8c2d-2c3a37ce22c3}">
        <chartProps xmlns="https://web.wps.cn/et/2018/main" chartId="{73d21a3b-b331-481b-8ee4-1306806aa9bb}"/>
      </c:ext>
    </c:extLst>
  </c:chart>
  <c:spPr>
    <a:ln w="9525" cap="flat" cmpd="sng" algn="ctr">
      <a:solidFill>
        <a:schemeClr val="tx1"/>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Sheet1!$I$1:$I$8</c:f>
              <c:strCache>
                <c:ptCount val="8"/>
                <c:pt idx="0">
                  <c:v>属于已主动公开范围</c:v>
                </c:pt>
                <c:pt idx="1">
                  <c:v>同意公开</c:v>
                </c:pt>
                <c:pt idx="2">
                  <c:v>同意部分公开</c:v>
                </c:pt>
                <c:pt idx="3">
                  <c:v>不同意公开</c:v>
                </c:pt>
                <c:pt idx="4">
                  <c:v>不属于本行政机关公开</c:v>
                </c:pt>
                <c:pt idx="5">
                  <c:v>申请信息不存在</c:v>
                </c:pt>
                <c:pt idx="6">
                  <c:v>告知作出更改补充</c:v>
                </c:pt>
                <c:pt idx="7">
                  <c:v>告知通过其他途径办理</c:v>
                </c:pt>
              </c:strCache>
            </c:strRef>
          </c:cat>
          <c:val>
            <c:numRef>
              <c:f>Sheet1!$J$1:$J$8</c:f>
              <c:numCache>
                <c:formatCode>General</c:formatCode>
                <c:ptCount val="8"/>
                <c:pt idx="0">
                  <c:v>28</c:v>
                </c:pt>
                <c:pt idx="1">
                  <c:v>388</c:v>
                </c:pt>
                <c:pt idx="2">
                  <c:v>9</c:v>
                </c:pt>
                <c:pt idx="3">
                  <c:v>118</c:v>
                </c:pt>
                <c:pt idx="4">
                  <c:v>367</c:v>
                </c:pt>
                <c:pt idx="5">
                  <c:v>297</c:v>
                </c:pt>
                <c:pt idx="6">
                  <c:v>42</c:v>
                </c:pt>
                <c:pt idx="7">
                  <c:v>65</c:v>
                </c:pt>
              </c:numCache>
            </c:numRef>
          </c:val>
        </c:ser>
        <c:dLbls>
          <c:showLegendKey val="0"/>
          <c:showVal val="1"/>
          <c:showCatName val="1"/>
          <c:showSerName val="0"/>
          <c:showPercent val="0"/>
          <c:showBubbleSize val="0"/>
        </c:dLbls>
      </c:pie3DChart>
    </c:plotArea>
    <c:plotVisOnly val="1"/>
    <c:dispBlanksAs val="gap"/>
    <c:showDLblsOverMax val="0"/>
    <c:extLst>
      <c:ext uri="{0b15fc19-7d7d-44ad-8c2d-2c3a37ce22c3}">
        <chartProps xmlns="https://web.wps.cn/et/2018/main" chartId="{a92d7b71-df71-4c29-ad89-0201240aa76a}"/>
      </c:ext>
    </c:extLst>
  </c:chart>
  <c:spPr>
    <a:ln w="9525" cap="flat" cmpd="sng" algn="ctr">
      <a:solidFill>
        <a:schemeClr val="tx1"/>
      </a:solid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www.in9.cn</Company>
  <Pages>14</Pages>
  <Words>4827</Words>
  <Characters>5086</Characters>
  <Lines>54</Lines>
  <Paragraphs>15</Paragraphs>
  <TotalTime>0</TotalTime>
  <ScaleCrop>false</ScaleCrop>
  <LinksUpToDate>false</LinksUpToDate>
  <CharactersWithSpaces>5127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2016-02-22T01:11:00Z</dcterms:created>
  <dc:creator>aa</dc:creator>
  <cp:lastModifiedBy>Dell</cp:lastModifiedBy>
  <cp:lastPrinted>2018-01-26T07:37:00Z</cp:lastPrinted>
  <dcterms:modified xsi:type="dcterms:W3CDTF">2025-01-16T07:47:02Z</dcterms:modified>
  <cp:revision>964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eyJoZGlkIjoiZjU4NjQzYjYxYzNhNjBhOTMyMGQxYTM2ZWNmNjQzY2EifQ==</vt:lpwstr>
  </property>
  <property fmtid="{D5CDD505-2E9C-101B-9397-08002B2CF9AE}" pid="3" name="KSOProductBuildVer">
    <vt:lpwstr>2052-12.1.0.19770</vt:lpwstr>
  </property>
  <property fmtid="{D5CDD505-2E9C-101B-9397-08002B2CF9AE}" pid="4" name="ICV">
    <vt:lpwstr>E9F0E1B8AABF4110A5A285162B93DB24_13</vt:lpwstr>
  </property>
</Properties>
</file>