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rPr>
          <w:rFonts w:hint="eastAsia" w:ascii="宋体" w:hAnsi="宋体" w:eastAsia="仿宋_GB2312"/>
          <w:color w:val="000000"/>
          <w:sz w:val="28"/>
          <w:szCs w:val="28"/>
        </w:rPr>
      </w:pPr>
      <w:r>
        <w:rPr>
          <w:rFonts w:hint="eastAsia" w:ascii="宋体" w:hAnsi="宋体" w:eastAsia="黑体" w:cs="楷体_GB2312"/>
          <w:color w:val="000000"/>
          <w:sz w:val="28"/>
          <w:szCs w:val="28"/>
        </w:rPr>
        <w:t>附件</w:t>
      </w:r>
    </w:p>
    <w:p>
      <w:pPr>
        <w:shd w:val="clear" w:color="auto" w:fill="FFFFFF"/>
        <w:spacing w:line="440" w:lineRule="exact"/>
        <w:jc w:val="center"/>
        <w:rPr>
          <w:rFonts w:hint="eastAsia" w:ascii="宋体" w:hAnsi="宋体" w:eastAsia="方正小标宋_GBK" w:cs="方正小标宋_GBK"/>
          <w:color w:val="000000"/>
          <w:spacing w:val="15"/>
          <w:kern w:val="0"/>
          <w:sz w:val="36"/>
          <w:szCs w:val="36"/>
        </w:rPr>
      </w:pPr>
      <w:r>
        <w:rPr>
          <w:rFonts w:hint="eastAsia" w:ascii="宋体" w:hAnsi="宋体" w:eastAsia="方正小标宋_GBK" w:cs="方正小标宋_GBK"/>
          <w:color w:val="000000"/>
          <w:spacing w:val="15"/>
          <w:kern w:val="0"/>
          <w:sz w:val="36"/>
          <w:szCs w:val="36"/>
        </w:rPr>
        <w:t>既有多层住宅加装电梯不同楼层业主</w:t>
      </w:r>
    </w:p>
    <w:p>
      <w:pPr>
        <w:shd w:val="clear" w:color="auto" w:fill="FFFFFF"/>
        <w:spacing w:line="440" w:lineRule="exact"/>
        <w:jc w:val="center"/>
        <w:rPr>
          <w:rFonts w:hint="eastAsia" w:ascii="宋体" w:hAnsi="宋体" w:eastAsia="方正小标宋_GBK" w:cs="方正小标宋_GBK"/>
          <w:color w:val="000000"/>
          <w:spacing w:val="15"/>
          <w:kern w:val="0"/>
          <w:sz w:val="36"/>
          <w:szCs w:val="36"/>
        </w:rPr>
      </w:pPr>
      <w:r>
        <w:rPr>
          <w:rFonts w:hint="eastAsia" w:ascii="宋体" w:hAnsi="宋体" w:eastAsia="方正小标宋_GBK" w:cs="方正小标宋_GBK"/>
          <w:color w:val="000000"/>
          <w:spacing w:val="15"/>
          <w:kern w:val="0"/>
          <w:sz w:val="36"/>
          <w:szCs w:val="36"/>
        </w:rPr>
        <w:t>出资比例指导区间</w:t>
      </w:r>
    </w:p>
    <w:p>
      <w:pPr>
        <w:shd w:val="clear" w:color="auto" w:fill="FFFFFF"/>
        <w:spacing w:line="440" w:lineRule="exact"/>
        <w:jc w:val="center"/>
        <w:rPr>
          <w:rFonts w:hint="eastAsia" w:ascii="宋体" w:hAnsi="宋体" w:eastAsia="方正小标宋_GBK" w:cs="方正小标宋_GBK"/>
          <w:color w:val="000000"/>
          <w:spacing w:val="15"/>
          <w:kern w:val="0"/>
          <w:sz w:val="28"/>
          <w:szCs w:val="28"/>
        </w:rPr>
      </w:pPr>
    </w:p>
    <w:tbl>
      <w:tblPr>
        <w:tblStyle w:val="3"/>
        <w:tblW w:w="8056" w:type="dxa"/>
        <w:tblInd w:w="1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1"/>
        <w:gridCol w:w="1143"/>
        <w:gridCol w:w="739"/>
        <w:gridCol w:w="1187"/>
        <w:gridCol w:w="1187"/>
        <w:gridCol w:w="1187"/>
        <w:gridCol w:w="936"/>
        <w:gridCol w:w="9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41" w:type="dxa"/>
            <w:vMerge w:val="restart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仿宋_GB2312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仿宋_GB2312"/>
                <w:bCs/>
                <w:color w:val="000000"/>
                <w:sz w:val="18"/>
                <w:szCs w:val="18"/>
              </w:rPr>
              <w:t>入户</w:t>
            </w:r>
          </w:p>
          <w:p>
            <w:pPr>
              <w:spacing w:line="440" w:lineRule="exact"/>
              <w:jc w:val="center"/>
              <w:rPr>
                <w:rFonts w:ascii="宋体" w:hAnsi="宋体" w:eastAsia="仿宋_GB2312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仿宋_GB2312"/>
                <w:bCs/>
                <w:color w:val="000000"/>
                <w:sz w:val="18"/>
                <w:szCs w:val="18"/>
              </w:rPr>
              <w:t>方式</w:t>
            </w:r>
          </w:p>
        </w:tc>
        <w:tc>
          <w:tcPr>
            <w:tcW w:w="1143" w:type="dxa"/>
            <w:vMerge w:val="restart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仿宋_GB2312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仿宋_GB2312"/>
                <w:bCs/>
                <w:color w:val="000000"/>
                <w:sz w:val="18"/>
                <w:szCs w:val="18"/>
              </w:rPr>
              <w:t>层数</w:t>
            </w:r>
          </w:p>
        </w:tc>
        <w:tc>
          <w:tcPr>
            <w:tcW w:w="6172" w:type="dxa"/>
            <w:gridSpan w:val="6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仿宋_GB2312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仿宋_GB2312"/>
                <w:bCs/>
                <w:color w:val="000000"/>
                <w:sz w:val="18"/>
                <w:szCs w:val="18"/>
              </w:rPr>
              <w:t>出资比例指导区间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1" w:type="dxa"/>
            <w:vMerge w:val="continue"/>
            <w:noWrap w:val="0"/>
            <w:vAlign w:val="top"/>
          </w:tcPr>
          <w:p>
            <w:pPr>
              <w:spacing w:line="440" w:lineRule="exact"/>
              <w:rPr>
                <w:rFonts w:ascii="宋体" w:hAnsi="宋体" w:eastAsia="仿宋_GB2312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43" w:type="dxa"/>
            <w:vMerge w:val="continue"/>
            <w:noWrap w:val="0"/>
            <w:vAlign w:val="top"/>
          </w:tcPr>
          <w:p>
            <w:pPr>
              <w:spacing w:line="440" w:lineRule="exact"/>
              <w:rPr>
                <w:rFonts w:ascii="宋体" w:hAnsi="宋体" w:eastAsia="仿宋_GB2312"/>
                <w:bCs/>
                <w:color w:val="000000"/>
                <w:sz w:val="18"/>
                <w:szCs w:val="18"/>
              </w:rPr>
            </w:pPr>
          </w:p>
        </w:tc>
        <w:tc>
          <w:tcPr>
            <w:tcW w:w="739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仿宋_GB2312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仿宋_GB2312"/>
                <w:bCs/>
                <w:color w:val="000000"/>
                <w:sz w:val="18"/>
                <w:szCs w:val="18"/>
              </w:rPr>
              <w:t>1层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仿宋_GB2312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仿宋_GB2312"/>
                <w:bCs/>
                <w:color w:val="000000"/>
                <w:sz w:val="18"/>
                <w:szCs w:val="18"/>
              </w:rPr>
              <w:t>2层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仿宋_GB2312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仿宋_GB2312"/>
                <w:bCs/>
                <w:color w:val="000000"/>
                <w:sz w:val="18"/>
                <w:szCs w:val="18"/>
              </w:rPr>
              <w:t>3层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仿宋_GB2312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仿宋_GB2312"/>
                <w:bCs/>
                <w:color w:val="000000"/>
                <w:sz w:val="18"/>
                <w:szCs w:val="18"/>
              </w:rPr>
              <w:t>4层</w:t>
            </w:r>
          </w:p>
        </w:tc>
        <w:tc>
          <w:tcPr>
            <w:tcW w:w="93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仿宋_GB2312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仿宋_GB2312"/>
                <w:bCs/>
                <w:color w:val="000000"/>
                <w:sz w:val="18"/>
                <w:szCs w:val="18"/>
              </w:rPr>
              <w:t>5层</w:t>
            </w:r>
          </w:p>
        </w:tc>
        <w:tc>
          <w:tcPr>
            <w:tcW w:w="93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仿宋_GB2312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仿宋_GB2312"/>
                <w:bCs/>
                <w:color w:val="000000"/>
                <w:sz w:val="18"/>
                <w:szCs w:val="18"/>
              </w:rPr>
              <w:t>6层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1" w:type="dxa"/>
            <w:vMerge w:val="restart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仿宋_GB2312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仿宋_GB2312"/>
                <w:bCs/>
                <w:color w:val="000000"/>
                <w:sz w:val="18"/>
                <w:szCs w:val="18"/>
              </w:rPr>
              <w:t>半层入户</w:t>
            </w:r>
          </w:p>
        </w:tc>
        <w:tc>
          <w:tcPr>
            <w:tcW w:w="1143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仿宋_GB2312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仿宋_GB2312"/>
                <w:bCs/>
                <w:color w:val="000000"/>
                <w:sz w:val="18"/>
                <w:szCs w:val="18"/>
              </w:rPr>
              <w:t>6层</w:t>
            </w:r>
          </w:p>
        </w:tc>
        <w:tc>
          <w:tcPr>
            <w:tcW w:w="739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仿宋_GB2312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仿宋_GB2312"/>
                <w:color w:val="000000"/>
                <w:sz w:val="18"/>
                <w:szCs w:val="18"/>
              </w:rPr>
              <w:t>4-6%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仿宋_GB2312"/>
                <w:color w:val="000000"/>
                <w:sz w:val="18"/>
                <w:szCs w:val="18"/>
              </w:rPr>
              <w:t>11-13%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仿宋_GB2312"/>
                <w:color w:val="000000"/>
                <w:sz w:val="18"/>
                <w:szCs w:val="18"/>
              </w:rPr>
              <w:t>19-21%</w:t>
            </w:r>
          </w:p>
        </w:tc>
        <w:tc>
          <w:tcPr>
            <w:tcW w:w="93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仿宋_GB2312"/>
                <w:color w:val="000000"/>
                <w:sz w:val="18"/>
                <w:szCs w:val="18"/>
              </w:rPr>
              <w:t>27-29%</w:t>
            </w:r>
          </w:p>
        </w:tc>
        <w:tc>
          <w:tcPr>
            <w:tcW w:w="93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仿宋_GB2312"/>
                <w:color w:val="000000"/>
                <w:sz w:val="18"/>
                <w:szCs w:val="18"/>
              </w:rPr>
              <w:t>32-34%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1" w:type="dxa"/>
            <w:vMerge w:val="continue"/>
            <w:noWrap w:val="0"/>
            <w:vAlign w:val="top"/>
          </w:tcPr>
          <w:p>
            <w:pPr>
              <w:spacing w:line="440" w:lineRule="exact"/>
              <w:rPr>
                <w:rFonts w:ascii="宋体" w:hAnsi="宋体" w:eastAsia="仿宋_GB2312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43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仿宋_GB2312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仿宋_GB2312"/>
                <w:bCs/>
                <w:color w:val="000000"/>
                <w:sz w:val="18"/>
                <w:szCs w:val="18"/>
              </w:rPr>
              <w:t>5层</w:t>
            </w:r>
          </w:p>
        </w:tc>
        <w:tc>
          <w:tcPr>
            <w:tcW w:w="739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仿宋_GB2312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仿宋_GB2312"/>
                <w:color w:val="000000"/>
                <w:sz w:val="18"/>
                <w:szCs w:val="18"/>
              </w:rPr>
              <w:t>6-10%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仿宋_GB2312"/>
                <w:color w:val="000000"/>
                <w:sz w:val="18"/>
                <w:szCs w:val="18"/>
              </w:rPr>
              <w:t>18-20%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仿宋_GB2312"/>
                <w:color w:val="000000"/>
                <w:sz w:val="18"/>
                <w:szCs w:val="18"/>
              </w:rPr>
              <w:t>30-32%</w:t>
            </w:r>
          </w:p>
        </w:tc>
        <w:tc>
          <w:tcPr>
            <w:tcW w:w="93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仿宋_GB2312"/>
                <w:color w:val="000000"/>
                <w:sz w:val="18"/>
                <w:szCs w:val="18"/>
              </w:rPr>
              <w:t>40-43%</w:t>
            </w:r>
          </w:p>
        </w:tc>
        <w:tc>
          <w:tcPr>
            <w:tcW w:w="93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仿宋_GB2312"/>
                <w:color w:val="000000"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1" w:type="dxa"/>
            <w:vMerge w:val="continue"/>
            <w:noWrap w:val="0"/>
            <w:vAlign w:val="top"/>
          </w:tcPr>
          <w:p>
            <w:pPr>
              <w:spacing w:line="440" w:lineRule="exact"/>
              <w:rPr>
                <w:rFonts w:ascii="宋体" w:hAnsi="宋体" w:eastAsia="仿宋_GB2312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43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仿宋_GB2312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仿宋_GB2312"/>
                <w:bCs/>
                <w:color w:val="000000"/>
                <w:sz w:val="18"/>
                <w:szCs w:val="18"/>
              </w:rPr>
              <w:t>4层</w:t>
            </w:r>
          </w:p>
        </w:tc>
        <w:tc>
          <w:tcPr>
            <w:tcW w:w="739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仿宋_GB2312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仿宋_GB2312"/>
                <w:color w:val="000000"/>
                <w:sz w:val="18"/>
                <w:szCs w:val="18"/>
              </w:rPr>
              <w:t>10-12%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仿宋_GB2312"/>
                <w:color w:val="000000"/>
                <w:sz w:val="18"/>
                <w:szCs w:val="18"/>
              </w:rPr>
              <w:t>32-34%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仿宋_GB2312"/>
                <w:color w:val="000000"/>
                <w:sz w:val="18"/>
                <w:szCs w:val="18"/>
              </w:rPr>
              <w:t>55-57%</w:t>
            </w:r>
          </w:p>
        </w:tc>
        <w:tc>
          <w:tcPr>
            <w:tcW w:w="93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仿宋_GB2312"/>
                <w:color w:val="000000"/>
                <w:sz w:val="18"/>
                <w:szCs w:val="18"/>
              </w:rPr>
              <w:t>/</w:t>
            </w:r>
          </w:p>
        </w:tc>
        <w:tc>
          <w:tcPr>
            <w:tcW w:w="93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仿宋_GB2312"/>
                <w:color w:val="000000"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1" w:type="dxa"/>
            <w:vMerge w:val="restart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仿宋_GB2312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仿宋_GB2312"/>
                <w:bCs/>
                <w:color w:val="000000"/>
                <w:sz w:val="18"/>
                <w:szCs w:val="18"/>
              </w:rPr>
              <w:t>平层入户</w:t>
            </w:r>
          </w:p>
        </w:tc>
        <w:tc>
          <w:tcPr>
            <w:tcW w:w="1143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仿宋_GB2312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仿宋_GB2312"/>
                <w:bCs/>
                <w:color w:val="000000"/>
                <w:sz w:val="18"/>
                <w:szCs w:val="18"/>
              </w:rPr>
              <w:t>6层</w:t>
            </w:r>
          </w:p>
        </w:tc>
        <w:tc>
          <w:tcPr>
            <w:tcW w:w="739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仿宋_GB2312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仿宋_GB2312"/>
                <w:color w:val="000000"/>
                <w:sz w:val="18"/>
                <w:szCs w:val="18"/>
              </w:rPr>
              <w:t>4-6%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仿宋_GB2312"/>
                <w:color w:val="000000"/>
                <w:sz w:val="18"/>
                <w:szCs w:val="18"/>
              </w:rPr>
              <w:t>11-13%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仿宋_GB2312"/>
                <w:color w:val="000000"/>
                <w:sz w:val="18"/>
                <w:szCs w:val="18"/>
              </w:rPr>
              <w:t>19-21%</w:t>
            </w:r>
          </w:p>
        </w:tc>
        <w:tc>
          <w:tcPr>
            <w:tcW w:w="93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仿宋_GB2312"/>
                <w:color w:val="000000"/>
                <w:sz w:val="18"/>
                <w:szCs w:val="18"/>
              </w:rPr>
              <w:t>27-29%</w:t>
            </w:r>
          </w:p>
        </w:tc>
        <w:tc>
          <w:tcPr>
            <w:tcW w:w="93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仿宋_GB2312"/>
                <w:color w:val="000000"/>
                <w:sz w:val="18"/>
                <w:szCs w:val="18"/>
              </w:rPr>
              <w:t>32-34%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1" w:type="dxa"/>
            <w:vMerge w:val="continue"/>
            <w:noWrap w:val="0"/>
            <w:vAlign w:val="top"/>
          </w:tcPr>
          <w:p>
            <w:pPr>
              <w:spacing w:line="440" w:lineRule="exact"/>
              <w:rPr>
                <w:rFonts w:ascii="宋体" w:hAnsi="宋体" w:eastAsia="仿宋_GB2312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43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仿宋_GB2312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仿宋_GB2312"/>
                <w:bCs/>
                <w:color w:val="000000"/>
                <w:sz w:val="18"/>
                <w:szCs w:val="18"/>
              </w:rPr>
              <w:t>新增连廊每户分担</w:t>
            </w:r>
          </w:p>
        </w:tc>
        <w:tc>
          <w:tcPr>
            <w:tcW w:w="739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仿宋_GB2312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仿宋_GB2312"/>
                <w:color w:val="000000"/>
                <w:sz w:val="18"/>
                <w:szCs w:val="18"/>
              </w:rPr>
              <w:t>20%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仿宋_GB2312"/>
                <w:color w:val="000000"/>
                <w:sz w:val="18"/>
                <w:szCs w:val="18"/>
              </w:rPr>
              <w:t>20%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仿宋_GB2312"/>
                <w:color w:val="000000"/>
                <w:sz w:val="18"/>
                <w:szCs w:val="18"/>
              </w:rPr>
              <w:t>20%</w:t>
            </w:r>
          </w:p>
        </w:tc>
        <w:tc>
          <w:tcPr>
            <w:tcW w:w="93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仿宋_GB2312"/>
                <w:color w:val="000000"/>
                <w:sz w:val="18"/>
                <w:szCs w:val="18"/>
              </w:rPr>
              <w:t>20%</w:t>
            </w:r>
          </w:p>
        </w:tc>
        <w:tc>
          <w:tcPr>
            <w:tcW w:w="93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仿宋_GB2312"/>
                <w:color w:val="000000"/>
                <w:sz w:val="18"/>
                <w:szCs w:val="18"/>
              </w:rPr>
              <w:t>20%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1" w:type="dxa"/>
            <w:vMerge w:val="continue"/>
            <w:noWrap w:val="0"/>
            <w:vAlign w:val="top"/>
          </w:tcPr>
          <w:p>
            <w:pPr>
              <w:spacing w:line="440" w:lineRule="exact"/>
              <w:rPr>
                <w:rFonts w:ascii="宋体" w:hAnsi="宋体" w:eastAsia="仿宋_GB2312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43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仿宋_GB2312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仿宋_GB2312"/>
                <w:bCs/>
                <w:color w:val="000000"/>
                <w:sz w:val="18"/>
                <w:szCs w:val="18"/>
              </w:rPr>
              <w:t>5层</w:t>
            </w:r>
          </w:p>
        </w:tc>
        <w:tc>
          <w:tcPr>
            <w:tcW w:w="739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仿宋_GB2312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仿宋_GB2312"/>
                <w:color w:val="000000"/>
                <w:sz w:val="18"/>
                <w:szCs w:val="18"/>
              </w:rPr>
              <w:t>6-10%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仿宋_GB2312"/>
                <w:color w:val="000000"/>
                <w:sz w:val="18"/>
                <w:szCs w:val="18"/>
              </w:rPr>
              <w:t>18-20%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仿宋_GB2312"/>
                <w:color w:val="000000"/>
                <w:sz w:val="18"/>
                <w:szCs w:val="18"/>
              </w:rPr>
              <w:t>30-32%</w:t>
            </w:r>
          </w:p>
        </w:tc>
        <w:tc>
          <w:tcPr>
            <w:tcW w:w="93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仿宋_GB2312"/>
                <w:color w:val="000000"/>
                <w:sz w:val="18"/>
                <w:szCs w:val="18"/>
              </w:rPr>
              <w:t>40-43%</w:t>
            </w:r>
          </w:p>
        </w:tc>
        <w:tc>
          <w:tcPr>
            <w:tcW w:w="93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仿宋_GB2312"/>
                <w:color w:val="000000"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1" w:type="dxa"/>
            <w:vMerge w:val="continue"/>
            <w:noWrap w:val="0"/>
            <w:vAlign w:val="top"/>
          </w:tcPr>
          <w:p>
            <w:pPr>
              <w:spacing w:line="440" w:lineRule="exact"/>
              <w:rPr>
                <w:rFonts w:ascii="宋体" w:hAnsi="宋体" w:eastAsia="仿宋_GB2312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43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仿宋_GB2312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仿宋_GB2312"/>
                <w:bCs/>
                <w:color w:val="000000"/>
                <w:sz w:val="18"/>
                <w:szCs w:val="18"/>
              </w:rPr>
              <w:t>新增连廊每户分担</w:t>
            </w:r>
          </w:p>
        </w:tc>
        <w:tc>
          <w:tcPr>
            <w:tcW w:w="739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仿宋_GB2312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仿宋_GB2312"/>
                <w:color w:val="000000"/>
                <w:sz w:val="18"/>
                <w:szCs w:val="18"/>
              </w:rPr>
              <w:t>25%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仿宋_GB2312"/>
                <w:color w:val="000000"/>
                <w:sz w:val="18"/>
                <w:szCs w:val="18"/>
              </w:rPr>
              <w:t>25%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仿宋_GB2312"/>
                <w:color w:val="000000"/>
                <w:sz w:val="18"/>
                <w:szCs w:val="18"/>
              </w:rPr>
              <w:t>25%</w:t>
            </w:r>
          </w:p>
        </w:tc>
        <w:tc>
          <w:tcPr>
            <w:tcW w:w="93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仿宋_GB2312"/>
                <w:color w:val="000000"/>
                <w:sz w:val="18"/>
                <w:szCs w:val="18"/>
              </w:rPr>
              <w:t>25%</w:t>
            </w:r>
          </w:p>
        </w:tc>
        <w:tc>
          <w:tcPr>
            <w:tcW w:w="93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仿宋_GB2312"/>
                <w:color w:val="000000"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1" w:type="dxa"/>
            <w:vMerge w:val="continue"/>
            <w:noWrap w:val="0"/>
            <w:vAlign w:val="top"/>
          </w:tcPr>
          <w:p>
            <w:pPr>
              <w:spacing w:line="440" w:lineRule="exact"/>
              <w:rPr>
                <w:rFonts w:ascii="宋体" w:hAnsi="宋体" w:eastAsia="仿宋_GB2312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43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仿宋_GB2312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仿宋_GB2312"/>
                <w:bCs/>
                <w:color w:val="000000"/>
                <w:sz w:val="18"/>
                <w:szCs w:val="18"/>
              </w:rPr>
              <w:t>4层</w:t>
            </w:r>
          </w:p>
        </w:tc>
        <w:tc>
          <w:tcPr>
            <w:tcW w:w="739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仿宋_GB2312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仿宋_GB2312"/>
                <w:color w:val="000000"/>
                <w:sz w:val="18"/>
                <w:szCs w:val="18"/>
              </w:rPr>
              <w:t>10-12%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仿宋_GB2312"/>
                <w:color w:val="000000"/>
                <w:sz w:val="18"/>
                <w:szCs w:val="18"/>
              </w:rPr>
              <w:t>32-34%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仿宋_GB2312"/>
                <w:color w:val="000000"/>
                <w:sz w:val="18"/>
                <w:szCs w:val="18"/>
              </w:rPr>
              <w:t>55-57%</w:t>
            </w:r>
          </w:p>
        </w:tc>
        <w:tc>
          <w:tcPr>
            <w:tcW w:w="93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仿宋_GB2312"/>
                <w:color w:val="000000"/>
                <w:sz w:val="18"/>
                <w:szCs w:val="18"/>
              </w:rPr>
              <w:t>/</w:t>
            </w:r>
          </w:p>
        </w:tc>
        <w:tc>
          <w:tcPr>
            <w:tcW w:w="93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仿宋_GB2312"/>
                <w:color w:val="000000"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1" w:type="dxa"/>
            <w:vMerge w:val="continue"/>
            <w:noWrap w:val="0"/>
            <w:vAlign w:val="top"/>
          </w:tcPr>
          <w:p>
            <w:pPr>
              <w:spacing w:line="440" w:lineRule="exact"/>
              <w:rPr>
                <w:rFonts w:ascii="宋体" w:hAnsi="宋体" w:eastAsia="仿宋_GB2312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43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仿宋_GB2312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仿宋_GB2312"/>
                <w:bCs/>
                <w:color w:val="000000"/>
                <w:sz w:val="18"/>
                <w:szCs w:val="18"/>
              </w:rPr>
              <w:t>新增连廊每户分担</w:t>
            </w:r>
          </w:p>
        </w:tc>
        <w:tc>
          <w:tcPr>
            <w:tcW w:w="739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仿宋_GB2312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仿宋_GB2312"/>
                <w:color w:val="000000"/>
                <w:sz w:val="18"/>
                <w:szCs w:val="18"/>
              </w:rPr>
              <w:t>平均</w:t>
            </w:r>
          </w:p>
          <w:p>
            <w:pPr>
              <w:spacing w:line="440" w:lineRule="exact"/>
              <w:jc w:val="center"/>
              <w:rPr>
                <w:rFonts w:ascii="宋体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仿宋_GB2312"/>
                <w:color w:val="000000"/>
                <w:sz w:val="18"/>
                <w:szCs w:val="18"/>
              </w:rPr>
              <w:t>分摊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仿宋_GB2312"/>
                <w:color w:val="000000"/>
                <w:sz w:val="18"/>
                <w:szCs w:val="18"/>
              </w:rPr>
              <w:t>平均</w:t>
            </w:r>
          </w:p>
          <w:p>
            <w:pPr>
              <w:spacing w:line="440" w:lineRule="exact"/>
              <w:jc w:val="center"/>
              <w:rPr>
                <w:rFonts w:ascii="宋体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仿宋_GB2312"/>
                <w:color w:val="000000"/>
                <w:sz w:val="18"/>
                <w:szCs w:val="18"/>
              </w:rPr>
              <w:t>分摊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仿宋_GB2312"/>
                <w:color w:val="000000"/>
                <w:sz w:val="18"/>
                <w:szCs w:val="18"/>
              </w:rPr>
              <w:t>平均</w:t>
            </w:r>
          </w:p>
          <w:p>
            <w:pPr>
              <w:spacing w:line="440" w:lineRule="exact"/>
              <w:jc w:val="center"/>
              <w:rPr>
                <w:rFonts w:ascii="宋体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仿宋_GB2312"/>
                <w:color w:val="000000"/>
                <w:sz w:val="18"/>
                <w:szCs w:val="18"/>
              </w:rPr>
              <w:t>分摊</w:t>
            </w:r>
          </w:p>
        </w:tc>
        <w:tc>
          <w:tcPr>
            <w:tcW w:w="93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仿宋_GB2312"/>
                <w:color w:val="000000"/>
                <w:sz w:val="18"/>
                <w:szCs w:val="18"/>
              </w:rPr>
              <w:t>/</w:t>
            </w:r>
          </w:p>
        </w:tc>
        <w:tc>
          <w:tcPr>
            <w:tcW w:w="93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仿宋_GB2312"/>
                <w:color w:val="000000"/>
                <w:sz w:val="18"/>
                <w:szCs w:val="18"/>
              </w:rPr>
              <w:t>/</w:t>
            </w:r>
          </w:p>
        </w:tc>
      </w:tr>
    </w:tbl>
    <w:p>
      <w:pPr>
        <w:spacing w:line="440" w:lineRule="exact"/>
        <w:rPr>
          <w:rFonts w:hint="eastAsia" w:ascii="宋体" w:hAnsi="宋体" w:eastAsia="仿宋_GB2312"/>
          <w:color w:val="000000"/>
          <w:spacing w:val="8"/>
          <w:sz w:val="18"/>
          <w:szCs w:val="18"/>
          <w:shd w:val="clear" w:color="auto" w:fill="FFFFFF"/>
        </w:rPr>
      </w:pPr>
      <w:r>
        <w:rPr>
          <w:rFonts w:hint="eastAsia" w:ascii="宋体" w:hAnsi="宋体" w:eastAsia="仿宋_GB2312"/>
          <w:color w:val="000000"/>
          <w:spacing w:val="8"/>
          <w:sz w:val="18"/>
          <w:szCs w:val="18"/>
          <w:shd w:val="clear" w:color="auto" w:fill="FFFFFF"/>
        </w:rPr>
        <w:t>说明：本出资指导区间供协商参考，具体以业主协商后协议约定为准。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NjYTg0MjVhYjhjNDk2MjVlZDA1N2NiNWUyMzUxNjMifQ=="/>
  </w:docVars>
  <w:rsids>
    <w:rsidRoot w:val="00000000"/>
    <w:rsid w:val="61900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2023-10-08T00:17:55Z</dcterms:created>
  <dc:creator>Zwb</dc:creator>
  <cp:lastModifiedBy>张文斌</cp:lastModifiedBy>
  <dcterms:modified xsi:type="dcterms:W3CDTF">2023-10-08T00:18:08Z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49388E7EC32F4872AF802769871D8C36_12</vt:lpwstr>
  </property>
</Properties>
</file>