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/>
          <w:b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北京市公共建筑能效典型案例评价指南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 一般规定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 公共建筑能效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典型案例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的评选对象为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本市行政区域内公共建筑部分面积在3000平方米以上，且公共建筑部分的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面积占比超过50%的单体建筑，或共用能耗计量的群体建筑，其中至少一栋是建筑面积在3000平方米以上、公共建筑面积超过总建筑面积50%的公共建筑群。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 公共建筑能效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典型案例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评价指标体系由控制项、评分项和创新项组成。其中，控制项的评定结果应为达标或不达标；评分项和创新项的评定结果应为分值，设定如下表：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68"/>
        <w:gridCol w:w="2417"/>
        <w:gridCol w:w="2417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能效等级</w:t>
            </w:r>
          </w:p>
        </w:tc>
        <w:tc>
          <w:tcPr>
            <w:tcW w:w="26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节能做法</w:t>
            </w:r>
          </w:p>
        </w:tc>
        <w:tc>
          <w:tcPr>
            <w:tcW w:w="7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创新项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管理制度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节能技术</w:t>
            </w:r>
          </w:p>
        </w:tc>
        <w:tc>
          <w:tcPr>
            <w:tcW w:w="7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分值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85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 公共建筑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能效典型案例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候选项目的总得分应按下式进行计算：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总分=能效等级得分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0.6+节能做法得分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0.4+创新项得分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 公共建筑能效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典型案例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应满足全部控制项要求，且总得分达到80分及以上。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 控制项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上一年度能效等级达到一级或二级。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未使用国家明令禁止或列入限制、淘汰目录的落后设备和产品。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针对主要的外购能源与用能设备系统设置有分类、分项计量表具。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 上一年度全年平均入住率（入驻率）达到80%及以上。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 评分项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3.1 能效等级：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上一年的能效等级达到一级得100分，达到二级得80分。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3.2 管理制度：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对日常运行管理团队有成文的节能要求和职责分工，得5分；若有明确的节能考核指标与奖惩措施，再得10分。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3.3 绿色节能技术：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措施减小围护结构的冷热损失，满分为20分，包括但不限于：1）老旧建筑增设外墙外保温或内保温、玻璃幕墙或采光顶改造、玻璃幕墙或采光顶增设可调节外遮阳等，满足其中1项即可得15分；2）幕墙玻璃贴膜或更换密封条、主要出入口增设防风门厅/风幕等，满足其中1项即可得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提高用能设备系统效率，并保持其持续高效运行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满分为25分，包括但不限于：1）更换低效冷热源设备、建设建筑能源管理系统、增设冷热源机组群控或随室外气温变化自适应调控算法等，满足其中1项即可得20分；2）供暖、空调、生活热水等集中式系统中增设分散式小系统以满足个性化需求，更换低效水泵、风机、电梯、灯具等或为冷机、水泵、风机等加装变频，增设电梯群控系统，对关键用能设备系统进行定时清洗、检修和调试等，满足其中1项即可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合理减少用能系统运行时间或供给量，满分为2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包括但不限于：1）增设智能化控制分时分区启闭末端风盘、新风机、灯具、热水器等以减少长期无人时的环境供给，或为末端房间温度设定统一的限值以避免房间温度设定过低（夏季）或过高（冬季），或实现室内供暖空调末端与室内环境监测数据联动控制，满足其中1项即可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；2）满足用户需求的前提下合理减少新风运行时长，利用建筑本体蓄热/蓄冷降低供热/供冷时间和大小（如夜间供冷、提前启停设备等），适时减少灯具数量或调低灯具功率、基于人工经验按照室外气温增减冷热源设备数量等，满足其中1项即可得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充分利用场地可再生能源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或废热</w:t>
      </w:r>
      <w:r>
        <w:rPr>
          <w:rFonts w:hint="eastAsia" w:ascii="仿宋_GB2312" w:hAnsi="仿宋_GB2312" w:eastAsia="仿宋_GB2312" w:cs="仿宋_GB2312"/>
          <w:sz w:val="32"/>
          <w:szCs w:val="32"/>
        </w:rPr>
        <w:t>，满分为20分，包括但不限于：屋顶或立面加装太阳能光伏系统，优先自发自用、余电上网，或设置空气源热泵供热水/供暖系统，或根据自身需求合理设置太阳能热水系统，或过渡季或冬季通过冷却塔利用室外空气供冷，或回收楼内数据中心/换热站房/锅炉等的废热为新风预热或其他空间供暖等，满足其中1项即可得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 创新项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创新的管理机制推动建筑节能运行管理，包括但不限于：采用绿色租赁模式在出租合同里与租户约定节能责任，或采用合同能源管理模式管理建筑用能系统，或获得绿色建筑二星级（含）以上标识，或夜间周期性关闭大系统（空调、供暖或照明等）等。每增加1项可得5分，总分不超过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5" w:type="default"/>
          <w:pgSz w:w="11906" w:h="16838"/>
          <w:pgMar w:top="1701" w:right="1474" w:bottom="1701" w:left="1587" w:header="851" w:footer="992" w:gutter="0"/>
          <w:pgNumType w:fmt="numberInDash" w:start="4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18"/>
        <w:gridCol w:w="1840"/>
        <w:gridCol w:w="9502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87" w:type="pct"/>
            <w:gridSpan w:val="2"/>
            <w:shd w:val="clear" w:color="auto" w:fill="EEECE1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82" w:type="pct"/>
            <w:shd w:val="clear" w:color="auto" w:fill="EEECE1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3488" w:type="pct"/>
            <w:shd w:val="clear" w:color="auto" w:fill="EEECE1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评分规则</w:t>
            </w:r>
          </w:p>
        </w:tc>
        <w:tc>
          <w:tcPr>
            <w:tcW w:w="443" w:type="pct"/>
            <w:shd w:val="clear" w:color="auto" w:fill="EEECE1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控制项</w:t>
            </w:r>
          </w:p>
        </w:tc>
        <w:tc>
          <w:tcPr>
            <w:tcW w:w="19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能效等级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上一年度能效等级达到一级或二级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落后设备产品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未使用国家明令禁止或列入限制、淘汰目录的落后设备和产品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能耗分项计量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针对主要的外购能源与用能设备系统设置有分类、分项计量表具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入住（驻）率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上一年度全年平均入住率（入驻率）达到80%及以上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评分项</w:t>
            </w:r>
          </w:p>
        </w:tc>
        <w:tc>
          <w:tcPr>
            <w:tcW w:w="19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能效等级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上一年的能效等级达到一级得100分，达到二级得80分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100/80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管理制度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对日常运行管理团队有成文的节能要求和职责分工，得5分；若有明确的节能考核指标与奖惩措施，再得10分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0/5/15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82" w:type="pct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节能技术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采取措施减小围护结构的冷热损失，满分为20分，包括但不限于：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1）老旧建筑增设外墙外保温或内保温、玻璃幕墙或采光顶改造、玻璃幕墙或采光顶增设可调节外遮阳等，满足其中1项即可得15分；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2）幕墙玻璃贴膜或更换密封条、主要出入口增设防风门厅/风幕等，满足其中1项即可再得5分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0/5/15/20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提高用能设备系统效率，并保持其持续高效运行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，满分为25分，包括但不限于：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1）更换低效冷热源设备、建设建筑能源管理系统、增设冷热源机组群控或随室外气温变化自适应调控算法等，满足其中1项即可得20分；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）供暖、空调、生活热水等集中式系统中增设分散式小系统以满足个性化需求，更换低效水泵、风机、电梯、灯具等或为冷机、水泵、风机等加装变频，增设电梯群控系统，增设新排风热回收，对关键用能设备系统进行定时清洗、检修和调试等，满足其中1项即可5分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0/5/20/25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合理减少用能系统运行时间或供给量，满分为20分，包括但不限于：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）增设智能化控制分时分区启闭末端风盘、新风机、灯具、热水器等以减少长期无人时的环境供给，或为末端房间温度设定统一的限值以避免房间温度设定过低（夏季）或过高（冬季），或实现室内供暖空调末端与室内环境监测数据联动控制，满足其中1项即可得15分；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）满足用户需求的前提下合理减少新风运行时长，利用建筑本体蓄热/蓄冷降低供热/供冷时间和大小（如夜间供冷、提前启停设备等），适时减少灯具数量或调低灯具功率、基于人工经验按照室外气温增减冷热源设备数量等，满足其中1项即可得5分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0/5/15/20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" w:type="pct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充分利用场地可再生能源或废热，满分为20分，包括但不限于：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屋顶或立面加装太阳能光伏系统，优先自发自用、余电上网，或设置空气源热泵供热水/供暖系统，或根据自身需求合理设置太阳能热水系统，或过渡季或冬季通过冷却塔利用室外空气供冷，或回收楼内数据中心/换热站房/锅炉等的废热为新风预热或其他空间供暖等，满足其中1项即可得20分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创新项</w:t>
            </w:r>
          </w:p>
        </w:tc>
        <w:tc>
          <w:tcPr>
            <w:tcW w:w="3488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采取创新的管理机制推动建筑节能运行管理，包括但不限于：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绿色租赁模式在出租合同里与租户约定节能责任，或采用合同能源管理模式管理建筑用能系统，或获得绿色建筑二星级（含）以上标识，或夜间周期性关闭大系统（空调、供暖或照明等）等。每增加1项可得5分，总分不超过10分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0/5/10</w:t>
            </w:r>
          </w:p>
        </w:tc>
      </w:tr>
    </w:tbl>
    <w:p>
      <w:pPr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1701" w:bottom="1474" w:left="170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zSVju0AAAAAUBAAAPAAAAAAAAAAEAIAAAADgAAABkcnMv&#10;ZG93bnJldi54bWxQSwECFAAUAAAACACHTuJAO70Z8bwBAABbAwAADgAAAAAAAAABACAAAAA1AQAA&#10;ZHJzL2Uyb0RvYy54bWxQSwUGAAAAAAYABgBZAQAAY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ED207"/>
    <w:rsid w:val="DDEED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2026-05-14T15:27:00Z</dcterms:created>
  <dc:creator>uos</dc:creator>
  <cp:lastModifiedBy>uos</cp:lastModifiedBy>
  <dcterms:modified xsi:type="dcterms:W3CDTF">2026-05-14T15:28:34Z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