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184"/>
        </w:tabs>
        <w:spacing w:line="56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pStyle w:val="4"/>
        <w:pageBreakBefore w:val="0"/>
        <w:kinsoku/>
        <w:wordWrap/>
        <w:overflowPunct/>
        <w:topLinePunct w:val="0"/>
        <w:bidi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参选供应商须知</w:t>
      </w:r>
    </w:p>
    <w:p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一、参选要求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应认真阅读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中所有的事项、格式、条款和技术规范等。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要求提交资料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或资料内前后关键内容不一致（如报价等），按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无效申请处理。</w:t>
      </w:r>
    </w:p>
    <w:p>
      <w:pPr>
        <w:pageBreakBefore w:val="0"/>
        <w:widowControl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bookmarkStart w:id="0" w:name="_Toc508119559"/>
      <w:bookmarkStart w:id="1" w:name="_Toc86052489"/>
      <w:bookmarkStart w:id="2" w:name="_Toc5205"/>
      <w:bookmarkStart w:id="3" w:name="_Toc455776609"/>
      <w:bookmarkStart w:id="4" w:name="_Toc1553"/>
      <w:bookmarkStart w:id="5" w:name="_Toc18438"/>
      <w:bookmarkStart w:id="6" w:name="_Toc268193521"/>
      <w:bookmarkStart w:id="7" w:name="_Toc436658694"/>
      <w:bookmarkStart w:id="8" w:name="_Toc176252200"/>
      <w:bookmarkStart w:id="9" w:name="_Toc503181105"/>
      <w:bookmarkStart w:id="10" w:name="_Toc508119479"/>
      <w:bookmarkStart w:id="11" w:name="_Toc268077453"/>
      <w:bookmarkStart w:id="12" w:name="_Toc269138190"/>
      <w:bookmarkStart w:id="13" w:name="_Toc441323268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参选文件要求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本通知已附示范文本的，均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示范文本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统一格式填写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。参选文件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统一编目编码装订成册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编排混乱导致被误读或查找不到，其责任应当由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承担。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须保证所提供的全部资料真实可靠，并接受评审委员会对其中任何资料进一步审查的要求。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3.参选文件均应使用中文简体字。参选文件中涉及的计量单位，均应为中华人民共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和国法定计量单位。 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正本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份, 副本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份，电子版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正本、副本和电子版的封面上应清楚地标记“正本”、“副本” 或“电子版”的字样。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正本中所有提交的复印件、影印件等必须加盖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供应商公章，以证明真实、有效。正本中加盖的公章是复印、影印形式的，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无效申请处理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当副本和正本不一致时，以正本为准。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电子版需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签字加盖公章后正本的彩色扫描件(P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DF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格式)及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word版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，存储在一个U盘或光盘中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需要签字盖章的，应由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法定代表人或其授权代理人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签字，加盖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密封递交，封口处应有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法定代表人或其授权代理人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签字或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供应商公章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提交资料中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如有修改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，必须由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法定代表人或其授权代理人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在修改处签字或盖章。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如提交资料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因字迹潦草或表达不清所引起的后果由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.本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通知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中所要求的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供应商公章是指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供应商的“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公章”，不得加盖其它“合同专用章、投标专用章、财务专用章”等非行政公章；签字是指手写签字或签章。否则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无效申请处理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。</w:t>
      </w:r>
    </w:p>
    <w:p>
      <w:pPr>
        <w:pageBreakBefore w:val="0"/>
        <w:tabs>
          <w:tab w:val="left" w:pos="900"/>
          <w:tab w:val="left" w:pos="1980"/>
        </w:tabs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对于比选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通知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中标记了“实质性格式”文件的，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供应商不得改变格式中给定的文字所表达的含义，不得删减格式中的实质性内容，不得自行添加与格式中给定的文字内容相矛盾的内容，不得对应当填写的空格不填写或不实质性响应，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否则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响应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</w:rPr>
        <w:t>无效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。未标记“实质性格式”的文件和比选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通知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未提供格式的内容，可由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供应商自行编写。</w:t>
      </w:r>
    </w:p>
    <w:p>
      <w:pPr>
        <w:pageBreakBefore w:val="0"/>
        <w:widowControl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14" w:name="_Toc176252201"/>
      <w:bookmarkStart w:id="15" w:name="_Toc441323269"/>
      <w:bookmarkStart w:id="16" w:name="_Toc11353"/>
      <w:bookmarkStart w:id="17" w:name="_Toc268077454"/>
      <w:bookmarkStart w:id="18" w:name="_Toc503181106"/>
      <w:bookmarkStart w:id="19" w:name="_Toc86052490"/>
      <w:bookmarkStart w:id="20" w:name="_Toc455776610"/>
      <w:bookmarkStart w:id="21" w:name="_Toc436658695"/>
      <w:bookmarkStart w:id="22" w:name="_Toc312"/>
      <w:bookmarkStart w:id="23" w:name="_Toc508119560"/>
      <w:bookmarkStart w:id="24" w:name="_Toc269138191"/>
      <w:bookmarkStart w:id="25" w:name="_Toc508119480"/>
      <w:bookmarkStart w:id="26" w:name="_Toc268193522"/>
      <w:bookmarkStart w:id="27" w:name="_Toc21063"/>
      <w:bookmarkStart w:id="28" w:name="_Toc166647429"/>
      <w:bookmarkStart w:id="29" w:name="_Toc129190727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参选文件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的递交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bookmarkEnd w:id="28"/>
    <w:bookmarkEnd w:id="29"/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bookmarkStart w:id="30" w:name="_Toc129190728"/>
      <w:bookmarkStart w:id="31" w:name="_Toc16664743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规定的截止日期和时间内，将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递交至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中规定的地址。</w:t>
      </w:r>
    </w:p>
    <w:p>
      <w:pPr>
        <w:pageBreakBefore w:val="0"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比选组织</w:t>
      </w:r>
    </w:p>
    <w:p>
      <w:pPr>
        <w:pageBreakBefore w:val="0"/>
        <w:tabs>
          <w:tab w:val="left" w:pos="900"/>
          <w:tab w:val="left" w:pos="1980"/>
        </w:tabs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项目单位组建评审小组，遵循公平、公正、公开、科学、择优的原则，对各参选供应商申报材料进行评审。评审小组根据合格参选供应商得分由高到低进行排序，确定排名第一的参选供应商为中选候选人，并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在规定的期限内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通过原公开渠道公布中选人名单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tabs>
          <w:tab w:val="left" w:pos="900"/>
          <w:tab w:val="left" w:pos="1980"/>
        </w:tabs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若中选候选人放弃中选、因不可抗力提出不能履行合同时，评选小组可以确定排名其后的参选供应商为中选人，以此类推。</w:t>
      </w:r>
    </w:p>
    <w:bookmarkEnd w:id="30"/>
    <w:bookmarkEnd w:id="31"/>
    <w:p>
      <w:pPr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560" w:lineRule="exact"/>
        <w:ind w:firstLine="64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32" w:name="_Toc15532"/>
      <w:bookmarkStart w:id="33" w:name="_Toc436658698"/>
      <w:bookmarkStart w:id="34" w:name="_Toc86052493"/>
      <w:bookmarkStart w:id="35" w:name="_Toc455776613"/>
      <w:bookmarkStart w:id="36" w:name="_Toc176252204"/>
      <w:bookmarkStart w:id="37" w:name="_Toc441323272"/>
      <w:bookmarkStart w:id="38" w:name="_Toc27313"/>
      <w:bookmarkStart w:id="39" w:name="_Toc13472"/>
      <w:bookmarkStart w:id="40" w:name="_Toc508119483"/>
      <w:bookmarkStart w:id="41" w:name="_Toc503181109"/>
      <w:bookmarkStart w:id="42" w:name="_Toc508119563"/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 纪律和监督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参选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供应商不得相互串通或与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串通，不得向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或者评审委员会成员行贿谋取中选，不得以他人名义申请或者以其他方式弄虚作假骗取中选；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参选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供应商不得以任何方式干扰、影响评审工作。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43" w:name="_GoBack"/>
      <w:bookmarkEnd w:id="43"/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0emDK8wBAACJ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651" w:leftChars="-114" w:hanging="1890" w:hangingChars="900"/>
      <w:rPr>
        <w:rFonts w:hint="eastAsia" w:ascii="仿宋_GB2312" w:eastAsia="仿宋_GB2312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72.26.67.245:9898/jwoa/OfficeServer2015"/>
  </w:docVars>
  <w:rsids>
    <w:rsidRoot w:val="00C764A9"/>
    <w:rsid w:val="000B06E7"/>
    <w:rsid w:val="000C0D01"/>
    <w:rsid w:val="000C2B3B"/>
    <w:rsid w:val="00143395"/>
    <w:rsid w:val="00151AE4"/>
    <w:rsid w:val="00171B01"/>
    <w:rsid w:val="0018602A"/>
    <w:rsid w:val="001B0F6F"/>
    <w:rsid w:val="001D5B05"/>
    <w:rsid w:val="00292ECF"/>
    <w:rsid w:val="002B0F6B"/>
    <w:rsid w:val="002B2AE1"/>
    <w:rsid w:val="00364BFD"/>
    <w:rsid w:val="003778A8"/>
    <w:rsid w:val="00381E5A"/>
    <w:rsid w:val="003E1AD8"/>
    <w:rsid w:val="00411E25"/>
    <w:rsid w:val="00415D3A"/>
    <w:rsid w:val="00434590"/>
    <w:rsid w:val="004A579F"/>
    <w:rsid w:val="005209B0"/>
    <w:rsid w:val="005654C3"/>
    <w:rsid w:val="005759AE"/>
    <w:rsid w:val="00585ABC"/>
    <w:rsid w:val="005F13D3"/>
    <w:rsid w:val="0063531E"/>
    <w:rsid w:val="00677053"/>
    <w:rsid w:val="006A1641"/>
    <w:rsid w:val="006B74E6"/>
    <w:rsid w:val="006D307F"/>
    <w:rsid w:val="006E04B9"/>
    <w:rsid w:val="0073253F"/>
    <w:rsid w:val="00744B94"/>
    <w:rsid w:val="0077474B"/>
    <w:rsid w:val="007C212B"/>
    <w:rsid w:val="007E28F8"/>
    <w:rsid w:val="0081009F"/>
    <w:rsid w:val="0088588E"/>
    <w:rsid w:val="008900EE"/>
    <w:rsid w:val="008B1BBA"/>
    <w:rsid w:val="008C1935"/>
    <w:rsid w:val="00924F45"/>
    <w:rsid w:val="009662DD"/>
    <w:rsid w:val="00982E5A"/>
    <w:rsid w:val="009A4C8A"/>
    <w:rsid w:val="009E0711"/>
    <w:rsid w:val="009F0873"/>
    <w:rsid w:val="009F29FF"/>
    <w:rsid w:val="00A8275C"/>
    <w:rsid w:val="00A975A1"/>
    <w:rsid w:val="00AA191F"/>
    <w:rsid w:val="00AF5E9A"/>
    <w:rsid w:val="00B07169"/>
    <w:rsid w:val="00B45453"/>
    <w:rsid w:val="00BD5AEC"/>
    <w:rsid w:val="00BE4C07"/>
    <w:rsid w:val="00BE5661"/>
    <w:rsid w:val="00BF06F3"/>
    <w:rsid w:val="00BF7886"/>
    <w:rsid w:val="00C2692C"/>
    <w:rsid w:val="00C764A9"/>
    <w:rsid w:val="00CC4859"/>
    <w:rsid w:val="00CE1228"/>
    <w:rsid w:val="00D744D2"/>
    <w:rsid w:val="00D84237"/>
    <w:rsid w:val="00DD5449"/>
    <w:rsid w:val="00DE7EBE"/>
    <w:rsid w:val="00E14EFC"/>
    <w:rsid w:val="00E30891"/>
    <w:rsid w:val="00E91A64"/>
    <w:rsid w:val="00E91C60"/>
    <w:rsid w:val="00EA0DBD"/>
    <w:rsid w:val="00EC2195"/>
    <w:rsid w:val="00ED6BB0"/>
    <w:rsid w:val="00EE3E41"/>
    <w:rsid w:val="00EE7069"/>
    <w:rsid w:val="00F24CF6"/>
    <w:rsid w:val="00F35E02"/>
    <w:rsid w:val="00F71AFD"/>
    <w:rsid w:val="00FB3CC3"/>
    <w:rsid w:val="00FD3D89"/>
    <w:rsid w:val="00FD46C7"/>
    <w:rsid w:val="00FE3944"/>
    <w:rsid w:val="00FE3E00"/>
    <w:rsid w:val="0E61DCAC"/>
    <w:rsid w:val="0FD9C66F"/>
    <w:rsid w:val="1BC6D738"/>
    <w:rsid w:val="1F7B3941"/>
    <w:rsid w:val="1FE15C73"/>
    <w:rsid w:val="256FC50C"/>
    <w:rsid w:val="27BDB516"/>
    <w:rsid w:val="2B5CD349"/>
    <w:rsid w:val="2C71DAA0"/>
    <w:rsid w:val="2D82F833"/>
    <w:rsid w:val="2E07D3E8"/>
    <w:rsid w:val="2FD73DB9"/>
    <w:rsid w:val="36F1CE77"/>
    <w:rsid w:val="379FFA43"/>
    <w:rsid w:val="38BF92FB"/>
    <w:rsid w:val="3D5F8051"/>
    <w:rsid w:val="3D7B4237"/>
    <w:rsid w:val="3EF7FA7E"/>
    <w:rsid w:val="3F7F22A0"/>
    <w:rsid w:val="3FFF5040"/>
    <w:rsid w:val="45FF4B21"/>
    <w:rsid w:val="4DCB9895"/>
    <w:rsid w:val="53BD3260"/>
    <w:rsid w:val="53F6B28F"/>
    <w:rsid w:val="5BF6D80D"/>
    <w:rsid w:val="5EFD7192"/>
    <w:rsid w:val="5EFF115D"/>
    <w:rsid w:val="5F7743E2"/>
    <w:rsid w:val="5FA1A71C"/>
    <w:rsid w:val="5FFA9A85"/>
    <w:rsid w:val="5FFECB2D"/>
    <w:rsid w:val="672F8810"/>
    <w:rsid w:val="67B945C3"/>
    <w:rsid w:val="67EF9282"/>
    <w:rsid w:val="67FF60F1"/>
    <w:rsid w:val="6BDE1205"/>
    <w:rsid w:val="6BEEF19E"/>
    <w:rsid w:val="6F5DF5F8"/>
    <w:rsid w:val="6FCFB250"/>
    <w:rsid w:val="6FFB553F"/>
    <w:rsid w:val="6FFEEFCF"/>
    <w:rsid w:val="75775F6E"/>
    <w:rsid w:val="767F12D4"/>
    <w:rsid w:val="7787C42A"/>
    <w:rsid w:val="7937A1F2"/>
    <w:rsid w:val="7B295EB3"/>
    <w:rsid w:val="7BF1C4F7"/>
    <w:rsid w:val="7CFCC662"/>
    <w:rsid w:val="7D7EADC9"/>
    <w:rsid w:val="7DBF7F7A"/>
    <w:rsid w:val="7F73C0CA"/>
    <w:rsid w:val="7F7E58E9"/>
    <w:rsid w:val="7FBE5A5B"/>
    <w:rsid w:val="7FF701D2"/>
    <w:rsid w:val="7FF81DA1"/>
    <w:rsid w:val="7FFE485C"/>
    <w:rsid w:val="7FFE916E"/>
    <w:rsid w:val="7FFF7019"/>
    <w:rsid w:val="8AB7A93F"/>
    <w:rsid w:val="9DAC1055"/>
    <w:rsid w:val="9FE72AE8"/>
    <w:rsid w:val="B3BF4D16"/>
    <w:rsid w:val="B6FF3BCA"/>
    <w:rsid w:val="B9FF5403"/>
    <w:rsid w:val="BB6F6565"/>
    <w:rsid w:val="BEDB7033"/>
    <w:rsid w:val="BFFE3369"/>
    <w:rsid w:val="CD2D6829"/>
    <w:rsid w:val="CED338A4"/>
    <w:rsid w:val="CFFED109"/>
    <w:rsid w:val="D7FF79BB"/>
    <w:rsid w:val="D7FF8C53"/>
    <w:rsid w:val="D9AD0970"/>
    <w:rsid w:val="DC5C66FA"/>
    <w:rsid w:val="DDDF1275"/>
    <w:rsid w:val="DFB7707A"/>
    <w:rsid w:val="DFF7BD2C"/>
    <w:rsid w:val="E5F9EB43"/>
    <w:rsid w:val="E6DE042D"/>
    <w:rsid w:val="E7DE1D21"/>
    <w:rsid w:val="E8F7BEB3"/>
    <w:rsid w:val="EF5B8A22"/>
    <w:rsid w:val="EF713A61"/>
    <w:rsid w:val="EFEFB5B0"/>
    <w:rsid w:val="F17520A9"/>
    <w:rsid w:val="F3978AED"/>
    <w:rsid w:val="F435159A"/>
    <w:rsid w:val="F7FD50CF"/>
    <w:rsid w:val="F7FE3358"/>
    <w:rsid w:val="F7FFFCD3"/>
    <w:rsid w:val="FA6B239F"/>
    <w:rsid w:val="FBEE3491"/>
    <w:rsid w:val="FBEE6646"/>
    <w:rsid w:val="FBFF6C62"/>
    <w:rsid w:val="FEBDD66C"/>
    <w:rsid w:val="FF7D03DA"/>
    <w:rsid w:val="FFBFBB78"/>
    <w:rsid w:val="FFCEC3BA"/>
    <w:rsid w:val="FFDDEC63"/>
    <w:rsid w:val="FFE7CC87"/>
    <w:rsid w:val="FFECC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2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0"/>
    <w:pPr>
      <w:suppressAutoHyphens/>
    </w:pPr>
    <w:rPr>
      <w:rFonts w:ascii="Times New Roman" w:hAnsi="Times New Roman"/>
      <w:kern w:val="1"/>
      <w:szCs w:val="20"/>
    </w:rPr>
  </w:style>
  <w:style w:type="paragraph" w:styleId="6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5">
    <w:name w:val="日期 Char"/>
    <w:link w:val="6"/>
    <w:semiHidden/>
    <w:qFormat/>
    <w:uiPriority w:val="99"/>
    <w:rPr>
      <w:kern w:val="2"/>
      <w:sz w:val="21"/>
      <w:szCs w:val="22"/>
    </w:rPr>
  </w:style>
  <w:style w:type="character" w:customStyle="1" w:styleId="16">
    <w:name w:val="批注框文本 Char"/>
    <w:link w:val="7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18">
    <w:name w:val="页眉 Char"/>
    <w:link w:val="9"/>
    <w:qFormat/>
    <w:uiPriority w:val="99"/>
    <w:rPr>
      <w:kern w:val="2"/>
      <w:sz w:val="18"/>
      <w:szCs w:val="18"/>
    </w:rPr>
  </w:style>
  <w:style w:type="table" w:customStyle="1" w:styleId="19">
    <w:name w:val="网格型1"/>
    <w:basedOn w:val="11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0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Calibri" w:hAnsi="Calibri" w:eastAsia="微软雅黑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373</Words>
  <Characters>2127</Characters>
  <Lines>17</Lines>
  <Paragraphs>4</Paragraphs>
  <TotalTime>204</TotalTime>
  <ScaleCrop>false</ScaleCrop>
  <LinksUpToDate>false</LinksUpToDate>
  <CharactersWithSpaces>2496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2020-03-04T18:57:00Z</dcterms:created>
  <dc:creator>郑学忠</dc:creator>
  <cp:lastModifiedBy>杨旭辉</cp:lastModifiedBy>
  <cp:lastPrinted>2026-01-24T03:25:00Z</cp:lastPrinted>
  <dcterms:modified xsi:type="dcterms:W3CDTF">2026-01-23T16:30:43Z</dcterms:modified>
  <dc:title>北京市住房和城乡建设委员会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