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40" w:type="dxa"/>
        <w:jc w:val="center"/>
        <w:tblInd w:w="-20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51" w:type="dxa"/>
          <w:left w:w="28" w:type="dxa"/>
          <w:bottom w:w="51" w:type="dxa"/>
          <w:right w:w="28" w:type="dxa"/>
        </w:tblCellMar>
      </w:tblPr>
      <w:tblGrid>
        <w:gridCol w:w="735"/>
        <w:gridCol w:w="1177"/>
        <w:gridCol w:w="3012"/>
        <w:gridCol w:w="1231"/>
        <w:gridCol w:w="1342"/>
        <w:gridCol w:w="12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6155" w:type="dxa"/>
            <w:gridSpan w:val="4"/>
            <w:vAlign w:val="center"/>
          </w:tcPr>
          <w:p>
            <w:pPr>
              <w:snapToGrid w:val="0"/>
              <w:jc w:val="center"/>
              <w:rPr>
                <w:rFonts w:hAnsi="黑体"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br w:type="page"/>
            </w:r>
            <w:r>
              <w:rPr>
                <w:rFonts w:hint="eastAsia" w:hAnsi="黑体" w:eastAsia="黑体"/>
                <w:kern w:val="0"/>
                <w:sz w:val="28"/>
                <w:szCs w:val="28"/>
              </w:rPr>
              <w:t>物料提升机验收表</w:t>
            </w:r>
          </w:p>
          <w:p>
            <w:pPr>
              <w:snapToGrid w:val="0"/>
              <w:jc w:val="center"/>
              <w:rPr>
                <w:rFonts w:hAnsi="黑体" w:eastAsia="黑体"/>
                <w:kern w:val="0"/>
                <w:sz w:val="18"/>
                <w:szCs w:val="18"/>
              </w:rPr>
            </w:pPr>
            <w:r>
              <w:rPr>
                <w:rFonts w:hint="eastAsia" w:hAnsi="黑体" w:eastAsia="黑体"/>
                <w:kern w:val="0"/>
                <w:sz w:val="28"/>
                <w:szCs w:val="28"/>
              </w:rPr>
              <w:t>表</w:t>
            </w:r>
            <w:r>
              <w:rPr>
                <w:rFonts w:hAnsi="黑体" w:eastAsia="黑体"/>
                <w:b/>
                <w:kern w:val="0"/>
                <w:sz w:val="28"/>
                <w:szCs w:val="28"/>
              </w:rPr>
              <w:t>AQ-C9-3</w:t>
            </w:r>
            <w:bookmarkStart w:id="0" w:name="_GoBack"/>
            <w:bookmarkEnd w:id="0"/>
          </w:p>
        </w:tc>
        <w:tc>
          <w:tcPr>
            <w:tcW w:w="134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编号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工程名称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验收日期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总承包单位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设备型号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产权单位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设备编号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安装单位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安装单位负责人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安装高度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安装日期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1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检查项目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验收内容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验收结果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基础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基础土层压实后的承载力应不小于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80kPa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浇注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C20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砼，厚度应大于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300mm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，埋设地脚螺栓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基础表面水平偏差应不大于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10mm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。有良好排水措施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安装水平高差应小于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10 mm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，与地脚螺栓连接牢固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架体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架体整体稳定，垂直度偏差应不大于高度的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‰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导轨接点截面错位应不大于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1.5mm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架体无开焊、变形、严重锈蚀等现象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各节点螺栓紧固力矩符合规定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非封闭式吊篮，架体外侧用立网防护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缆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风绳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缆风绳的设置组数及位置符合说明书的要求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附墙装置</w:t>
            </w:r>
          </w:p>
        </w:tc>
        <w:tc>
          <w:tcPr>
            <w:tcW w:w="5585" w:type="dxa"/>
            <w:gridSpan w:val="3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附墙架与架体及建筑物之间，应采用刚性连接，不得连接在脚手架上，严禁使用铁丝绑扎。附墙架的材质应与架体的材质相同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吊篮</w:t>
            </w: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有灵敏可靠的安全停靠装置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设置前后安全门，吊盘两侧设有防护网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断绳保险装置应灵敏可靠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1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卷扬机</w:t>
            </w:r>
          </w:p>
        </w:tc>
        <w:tc>
          <w:tcPr>
            <w:tcW w:w="55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场地砼硬化，有操作棚，视线良好，地锚牢固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安全防护装置齐全，刹车灵敏可靠，联轴器不松动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与井架第一只导向轮距离应不小于绳筒宽度的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倍。钢丝绳排列整齐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吊篮处于最低位置时，卷筒上的钢丝绳应不少于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圈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专人操作，持证上岗，操作棚内设有安全操作规程牌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cs="宋体" w:asciiTheme="minorEastAsia" w:hAnsiTheme="minorEastAsia" w:eastAsiaTheme="minorEastAsia"/>
          <w:kern w:val="0"/>
          <w:sz w:val="24"/>
          <w:szCs w:val="24"/>
        </w:rPr>
      </w:pPr>
    </w:p>
    <w:p>
      <w:pPr>
        <w:snapToGrid w:val="0"/>
        <w:jc w:val="center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续表</w:t>
      </w:r>
      <w:r>
        <w:rPr>
          <w:rFonts w:cs="宋体" w:asciiTheme="minorEastAsia" w:hAnsiTheme="minorEastAsia" w:eastAsiaTheme="minorEastAsia"/>
          <w:kern w:val="0"/>
          <w:sz w:val="24"/>
          <w:szCs w:val="24"/>
        </w:rPr>
        <w:t>AQ-C9-3</w:t>
      </w:r>
    </w:p>
    <w:tbl>
      <w:tblPr>
        <w:tblStyle w:val="3"/>
        <w:tblW w:w="8806" w:type="dxa"/>
        <w:jc w:val="center"/>
        <w:tblInd w:w="-285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51" w:type="dxa"/>
          <w:left w:w="28" w:type="dxa"/>
          <w:bottom w:w="51" w:type="dxa"/>
          <w:right w:w="28" w:type="dxa"/>
        </w:tblCellMar>
      </w:tblPr>
      <w:tblGrid>
        <w:gridCol w:w="768"/>
        <w:gridCol w:w="1177"/>
        <w:gridCol w:w="4566"/>
        <w:gridCol w:w="996"/>
        <w:gridCol w:w="12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钢丝绳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不得使用锈蚀、缺油及达到报废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"http://www.jianshe99.com/web/zhuanyeziliao/biaozhunguifan/" \t "_blank" \o "标准"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标准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的钢丝绳，不得拖地，过路有保护，绳卡设置符合规定要求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提升钢丝绳不得接长使用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限位保险装置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有超高限位装置并灵敏可靠，吊篮的越程应大于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3m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卷扬机卷筒上应有防止钢丝绳滑脱的保险装置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高架提升机应设有下极限限位器、缓冲器和超载限制器。限位器、超载限制器应灵敏可靠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电气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有专用开关箱，开关箱内装设隔离开关和漏电保护装置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用电设备应按规定作保护接零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重复接地符合要求，按规定设置避雷装置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1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进料口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进料口应设防护棚，其宽度应大于提升架最外部尺寸；长度：低架应大于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3m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，高架应大于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5m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。采用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5cm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厚木板或两层竹榀搭设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卸料平台</w:t>
            </w: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每层卸料平台宽度应大于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80cm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，设有常闭型定型化的防护门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平台两侧按规定设防护栏杆及挡脚板，并挂设密目式安全网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平台脚手板应铺平绑牢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管理资料</w:t>
            </w:r>
          </w:p>
        </w:tc>
        <w:tc>
          <w:tcPr>
            <w:tcW w:w="5562" w:type="dxa"/>
            <w:gridSpan w:val="2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租赁、安拆单位、物料提升机相关资质证明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安装方案、安全技术交底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安装告知、使用登记等资料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操作人员持证上岗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验收结论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验收人签字</w:t>
            </w:r>
          </w:p>
        </w:tc>
        <w:tc>
          <w:tcPr>
            <w:tcW w:w="4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安装单位（盖章）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产权单位（盖章）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jc w:val="center"/>
        </w:trPr>
        <w:tc>
          <w:tcPr>
            <w:tcW w:w="19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r>
        <w:rPr>
          <w:rFonts w:hint="eastAsia" w:cs="宋体" w:asciiTheme="minorEastAsia" w:hAnsiTheme="minorEastAsia" w:eastAsiaTheme="minorEastAsia"/>
          <w:sz w:val="24"/>
          <w:szCs w:val="24"/>
        </w:rPr>
        <w:t>注</w:t>
      </w:r>
      <w:r>
        <w:rPr>
          <w:rFonts w:cs="宋体" w:asciiTheme="minorEastAsia" w:hAnsiTheme="minorEastAsia" w:eastAsiaTheme="minorEastAsia"/>
          <w:sz w:val="24"/>
          <w:szCs w:val="24"/>
        </w:rPr>
        <w:t>: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本表由安装单位填写，安装单位、监理单位、总承包单位、产权单位各存一份。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U-BZ-Regular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0388"/>
    <w:rsid w:val="63950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2017-09-08T03:50:00Z</dcterms:created>
  <dc:creator>Administrator</dc:creator>
  <cp:lastModifiedBy>Administrator</cp:lastModifiedBy>
  <dcterms:modified xsi:type="dcterms:W3CDTF">2017-09-08T03:54:03Z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