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Ansi="黑体" w:eastAsia="黑体"/>
          <w:kern w:val="0"/>
          <w:sz w:val="44"/>
          <w:szCs w:val="44"/>
        </w:rPr>
      </w:pPr>
      <w:r>
        <w:rPr>
          <w:rFonts w:hint="eastAsia" w:hAnsi="黑体" w:eastAsia="黑体"/>
          <w:kern w:val="0"/>
          <w:sz w:val="44"/>
          <w:szCs w:val="44"/>
        </w:rPr>
        <w:t>起重机械运行记录</w:t>
      </w:r>
    </w:p>
    <w:p>
      <w:pPr>
        <w:snapToGrid w:val="0"/>
        <w:spacing w:line="360" w:lineRule="auto"/>
        <w:jc w:val="center"/>
        <w:rPr>
          <w:rFonts w:cs="宋体" w:asciiTheme="minorEastAsia" w:hAnsiTheme="minorEastAsia" w:eastAsiaTheme="minorEastAsia"/>
          <w:kern w:val="0"/>
          <w:sz w:val="44"/>
          <w:szCs w:val="44"/>
        </w:rPr>
      </w:pPr>
      <w:r>
        <w:rPr>
          <w:rFonts w:cs="宋体" w:asciiTheme="minorEastAsia" w:hAnsiTheme="minorEastAsia" w:eastAsiaTheme="minorEastAsia"/>
          <w:kern w:val="0"/>
          <w:sz w:val="44"/>
          <w:szCs w:val="44"/>
        </w:rPr>
        <w:t>(</w:t>
      </w:r>
      <w:r>
        <w:rPr>
          <w:rFonts w:hint="eastAsia" w:cs="宋体" w:asciiTheme="minorEastAsia" w:hAnsiTheme="minorEastAsia" w:eastAsiaTheme="minorEastAsia"/>
          <w:kern w:val="0"/>
          <w:sz w:val="44"/>
          <w:szCs w:val="44"/>
        </w:rPr>
        <w:t>表</w:t>
      </w:r>
      <w:r>
        <w:rPr>
          <w:rFonts w:eastAsiaTheme="minorEastAsia"/>
          <w:b/>
          <w:kern w:val="0"/>
          <w:sz w:val="44"/>
          <w:szCs w:val="44"/>
        </w:rPr>
        <w:t>AQ-C8-4</w:t>
      </w:r>
      <w:r>
        <w:rPr>
          <w:rFonts w:cs="宋体" w:asciiTheme="minorEastAsia" w:hAnsiTheme="minorEastAsia" w:eastAsiaTheme="minorEastAsia"/>
          <w:kern w:val="0"/>
          <w:sz w:val="44"/>
          <w:szCs w:val="44"/>
        </w:rPr>
        <w:t>)</w:t>
      </w:r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  <w:bookmarkStart w:id="0" w:name="_GoBack"/>
      <w:bookmarkEnd w:id="0"/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360" w:lineRule="auto"/>
        <w:ind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工程名称：</w:t>
      </w:r>
    </w:p>
    <w:p>
      <w:pPr>
        <w:snapToGrid w:val="0"/>
        <w:spacing w:line="360" w:lineRule="auto"/>
        <w:ind w:firstLine="1120" w:firstLineChars="4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总承包单位：</w:t>
      </w:r>
    </w:p>
    <w:p>
      <w:pPr>
        <w:snapToGrid w:val="0"/>
        <w:spacing w:line="360" w:lineRule="auto"/>
        <w:ind w:firstLine="1120" w:firstLineChars="4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使用单位：</w:t>
      </w:r>
    </w:p>
    <w:p>
      <w:pPr>
        <w:snapToGrid w:val="0"/>
        <w:spacing w:line="360" w:lineRule="auto"/>
        <w:ind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设备产权单位：</w:t>
      </w:r>
    </w:p>
    <w:p>
      <w:pPr>
        <w:snapToGrid w:val="0"/>
        <w:spacing w:line="360" w:lineRule="auto"/>
        <w:ind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设备名称：</w:t>
      </w:r>
    </w:p>
    <w:p>
      <w:pPr>
        <w:snapToGrid w:val="0"/>
        <w:spacing w:line="360" w:lineRule="auto"/>
        <w:ind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设备编号：</w:t>
      </w:r>
    </w:p>
    <w:p>
      <w:pPr>
        <w:snapToGrid w:val="0"/>
        <w:spacing w:line="288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3"/>
        <w:tblW w:w="8803" w:type="dxa"/>
        <w:jc w:val="center"/>
        <w:tblInd w:w="-147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79" w:type="dxa"/>
          <w:left w:w="28" w:type="dxa"/>
          <w:bottom w:w="85" w:type="dxa"/>
          <w:right w:w="28" w:type="dxa"/>
        </w:tblCellMar>
      </w:tblPr>
      <w:tblGrid>
        <w:gridCol w:w="698"/>
        <w:gridCol w:w="761"/>
        <w:gridCol w:w="1189"/>
        <w:gridCol w:w="3225"/>
        <w:gridCol w:w="798"/>
        <w:gridCol w:w="21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trHeight w:val="210" w:hRule="atLeast"/>
          <w:jc w:val="center"/>
        </w:trPr>
        <w:tc>
          <w:tcPr>
            <w:tcW w:w="5873" w:type="dxa"/>
            <w:gridSpan w:val="4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cs="黑体" w:asciiTheme="minorEastAsia" w:hAnsiTheme="minorEastAsia" w:eastAsia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hAnsi="黑体" w:eastAsia="黑体"/>
                <w:kern w:val="0"/>
                <w:sz w:val="28"/>
                <w:szCs w:val="28"/>
              </w:rPr>
              <w:t>起重机械运行记录</w:t>
            </w:r>
            <w:r>
              <w:rPr>
                <w:rFonts w:hAnsi="黑体" w:eastAsia="黑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hAnsi="黑体" w:eastAsia="黑体"/>
                <w:kern w:val="0"/>
                <w:sz w:val="28"/>
                <w:szCs w:val="28"/>
              </w:rPr>
              <w:t>表</w:t>
            </w:r>
            <w:r>
              <w:rPr>
                <w:rFonts w:hAnsi="黑体" w:eastAsia="黑体"/>
                <w:b/>
                <w:kern w:val="0"/>
                <w:sz w:val="28"/>
                <w:szCs w:val="28"/>
              </w:rPr>
              <w:t>AQ-C8-4</w:t>
            </w:r>
          </w:p>
        </w:tc>
        <w:tc>
          <w:tcPr>
            <w:tcW w:w="798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trHeight w:val="233" w:hRule="atLeast"/>
          <w:jc w:val="center"/>
        </w:trPr>
        <w:tc>
          <w:tcPr>
            <w:tcW w:w="5873" w:type="dxa"/>
            <w:gridSpan w:val="4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 w:val="15"/>
                <w:szCs w:val="15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2648" w:type="dxa"/>
            <w:gridSpan w:val="3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3225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2930" w:type="dxa"/>
            <w:gridSpan w:val="2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司机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签名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时分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79" w:type="dxa"/>
            <w:left w:w="28" w:type="dxa"/>
            <w:bottom w:w="85" w:type="dxa"/>
            <w:right w:w="2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起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288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注：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塔式起重机、施工升降机、移动式起重机、物料提升机等起重机械的司机，应按照规定认真填写记录并在机组存放。</w:t>
      </w:r>
    </w:p>
    <w:p>
      <w:pPr>
        <w:snapToGrid w:val="0"/>
        <w:spacing w:line="288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    2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工作记录主要内容：①各安全装置、电气线路等班前安全检查的情况；</w:t>
      </w:r>
      <w:r>
        <w:rPr>
          <w:rFonts w:asciiTheme="minorEastAsia" w:hAnsiTheme="minorEastAsia" w:eastAsiaTheme="minorEastAsia"/>
          <w:sz w:val="24"/>
          <w:szCs w:val="24"/>
        </w:rPr>
        <w:t>②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每班首次作业前试验情况；</w:t>
      </w:r>
      <w:r>
        <w:rPr>
          <w:rFonts w:asciiTheme="minorEastAsia" w:hAnsiTheme="minorEastAsia" w:eastAsiaTheme="minorEastAsia"/>
          <w:sz w:val="24"/>
          <w:szCs w:val="24"/>
        </w:rPr>
        <w:t>③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设备作业的情况；</w:t>
      </w:r>
      <w:r>
        <w:rPr>
          <w:rFonts w:asciiTheme="minorEastAsia" w:hAnsiTheme="minorEastAsia" w:eastAsiaTheme="minorEastAsia"/>
          <w:sz w:val="24"/>
          <w:szCs w:val="24"/>
        </w:rPr>
        <w:t>④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操作人员日常维护保养情况。</w:t>
      </w:r>
    </w:p>
    <w:p>
      <w:pPr>
        <w:snapToGrid w:val="0"/>
        <w:spacing w:line="288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    3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运行中如发现设备有异常情况，应立即停机检查报修，排除故障后方可继续运行，同时将情况填入记录。</w:t>
      </w:r>
    </w:p>
    <w:p>
      <w:pPr>
        <w:snapToGrid w:val="0"/>
        <w:spacing w:line="288" w:lineRule="auto"/>
        <w:ind w:firstLine="960" w:firstLineChars="4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起重机械运行记录可以记入《机械设备履历书》，也可以单独组卷，每本填写完后送交设备产权单位存档。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U-BZ-Regular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D76B5"/>
    <w:rsid w:val="692D7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2017-09-08T03:36:00Z</dcterms:created>
  <dc:creator>Administrator</dc:creator>
  <cp:lastModifiedBy>Administrator</cp:lastModifiedBy>
  <dcterms:modified xsi:type="dcterms:W3CDTF">2017-09-08T03:38:48Z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