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京建发〔2023〕234号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after="93" w:afterLines="30"/>
        <w:jc w:val="center"/>
      </w:pPr>
      <w:r>
        <w:rPr>
          <w:rFonts w:hint="eastAsia"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年电耗限额确认操作步骤</w:t>
      </w:r>
    </w:p>
    <w:p>
      <w:pPr>
        <w:spacing w:before="156" w:beforeLines="50" w:line="240" w:lineRule="auto"/>
        <w:jc w:val="center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drawing>
          <wp:inline distT="0" distB="0" distL="114300" distR="114300">
            <wp:extent cx="5088890" cy="6790055"/>
            <wp:effectExtent l="0" t="0" r="16510" b="10795"/>
            <wp:docPr id="2" name="图片 2" descr="附件2的图-2023_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的图-2023_01"/>
                    <pic:cNvPicPr>
                      <a:picLocks noChangeAspect="true"/>
                    </pic:cNvPicPr>
                  </pic:nvPicPr>
                  <pic:blipFill>
                    <a:blip r:embed="rId5"/>
                    <a:srcRect l="7300" t="6504" r="8006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</w:rPr>
        <w:t>注：请在平台首页“通知公告”栏下载</w:t>
      </w:r>
      <w:r>
        <w:rPr>
          <w:rFonts w:hint="eastAsia" w:ascii="仿宋_GB2312" w:eastAsia="仿宋_GB2312"/>
          <w:b/>
          <w:sz w:val="28"/>
          <w:u w:val="single"/>
        </w:rPr>
        <w:t>《北京市公共建筑能耗限额管理信息平台企业用户操作手册》</w:t>
      </w:r>
      <w:r>
        <w:rPr>
          <w:rFonts w:hint="eastAsia" w:ascii="仿宋_GB2312" w:eastAsia="仿宋_GB2312"/>
          <w:sz w:val="28"/>
        </w:rPr>
        <w:t>和</w:t>
      </w:r>
      <w:r>
        <w:rPr>
          <w:rFonts w:hint="eastAsia" w:ascii="仿宋_GB2312" w:eastAsia="仿宋_GB2312"/>
          <w:b/>
          <w:sz w:val="28"/>
          <w:u w:val="single"/>
        </w:rPr>
        <w:t>《北京市公共建筑能耗限额管理信息平台企业用户使用常见问题》</w:t>
      </w:r>
      <w:r>
        <w:rPr>
          <w:rFonts w:hint="eastAsia" w:ascii="仿宋_GB2312" w:eastAsia="仿宋_GB2312"/>
          <w:sz w:val="28"/>
        </w:rPr>
        <w:t>了解更多平台功能和操作指导。</w:t>
      </w:r>
    </w:p>
    <w:sectPr>
      <w:footerReference r:id="rId3" w:type="default"/>
      <w:pgSz w:w="11906" w:h="16838"/>
      <w:pgMar w:top="1440" w:right="1841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32A0"/>
    <w:rsid w:val="000177DA"/>
    <w:rsid w:val="00053E44"/>
    <w:rsid w:val="000D7E8A"/>
    <w:rsid w:val="001371F5"/>
    <w:rsid w:val="001C6144"/>
    <w:rsid w:val="00291C7C"/>
    <w:rsid w:val="002E25E1"/>
    <w:rsid w:val="002F25C4"/>
    <w:rsid w:val="00303B84"/>
    <w:rsid w:val="003137AE"/>
    <w:rsid w:val="0033218C"/>
    <w:rsid w:val="003A32A0"/>
    <w:rsid w:val="003C2482"/>
    <w:rsid w:val="004B4943"/>
    <w:rsid w:val="00521D47"/>
    <w:rsid w:val="00625545"/>
    <w:rsid w:val="0067397B"/>
    <w:rsid w:val="008676C2"/>
    <w:rsid w:val="009277C9"/>
    <w:rsid w:val="0093610D"/>
    <w:rsid w:val="00963014"/>
    <w:rsid w:val="00993C5B"/>
    <w:rsid w:val="009C27EF"/>
    <w:rsid w:val="00A510D7"/>
    <w:rsid w:val="00A82424"/>
    <w:rsid w:val="00AB2CA5"/>
    <w:rsid w:val="00B54DDF"/>
    <w:rsid w:val="00B824F8"/>
    <w:rsid w:val="00BB61FF"/>
    <w:rsid w:val="00C039F0"/>
    <w:rsid w:val="00CC7A2F"/>
    <w:rsid w:val="00D109FD"/>
    <w:rsid w:val="00D26C82"/>
    <w:rsid w:val="00D91A59"/>
    <w:rsid w:val="00DB06A1"/>
    <w:rsid w:val="00DF30C4"/>
    <w:rsid w:val="00E50575"/>
    <w:rsid w:val="00EC4F77"/>
    <w:rsid w:val="00ED358C"/>
    <w:rsid w:val="00F10FAE"/>
    <w:rsid w:val="1FFA675C"/>
    <w:rsid w:val="47FF3F85"/>
    <w:rsid w:val="5DEDF625"/>
    <w:rsid w:val="7DF9F2D8"/>
    <w:rsid w:val="7EFF7F84"/>
    <w:rsid w:val="9FEE0436"/>
    <w:rsid w:val="CCEB250E"/>
    <w:rsid w:val="EF5E7244"/>
    <w:rsid w:val="F7FD47BC"/>
    <w:rsid w:val="FF5F81BE"/>
    <w:rsid w:val="FFEFA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cbeex</dc:creator>
  <cp:lastModifiedBy>董志宇(建筑节能与建筑材料管理事务中心)</cp:lastModifiedBy>
  <cp:lastPrinted>2023-07-11T16:40:00Z</cp:lastPrinted>
  <dcterms:modified xsi:type="dcterms:W3CDTF">2023-07-20T16:04:16Z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