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kinsoku/>
        <w:wordWrap/>
        <w:overflowPunct/>
        <w:topLinePunct w:val="0"/>
        <w:autoSpaceDE/>
        <w:autoSpaceDN/>
        <w:bidi w:val="0"/>
        <w:adjustRightInd w:val="0"/>
        <w:snapToGrid w:val="0"/>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能源审计报告评分标准</w:t>
      </w:r>
    </w:p>
    <w:tbl>
      <w:tblPr>
        <w:tblStyle w:val="4"/>
        <w:tblpPr w:leftFromText="180" w:rightFromText="180" w:vertAnchor="text" w:horzAnchor="page" w:tblpX="1774" w:tblpY="294"/>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6"/>
        <w:gridCol w:w="531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trPr>
        <w:tc>
          <w:tcPr>
            <w:tcW w:w="13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评审内容</w:t>
            </w:r>
          </w:p>
        </w:tc>
        <w:tc>
          <w:tcPr>
            <w:tcW w:w="80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分值</w:t>
            </w:r>
          </w:p>
        </w:tc>
        <w:tc>
          <w:tcPr>
            <w:tcW w:w="531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评分要点</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审计范围</w:t>
            </w:r>
          </w:p>
        </w:tc>
        <w:tc>
          <w:tcPr>
            <w:tcW w:w="80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1"/>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审计范围模糊，整体用能情况边界不清，审计范围存在重大遗漏或以偏概全。</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审计事项</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说明</w:t>
            </w:r>
          </w:p>
        </w:tc>
        <w:tc>
          <w:tcPr>
            <w:tcW w:w="80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5</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从政府能耗限额工作开展、建筑用能单位自身节能工作开展等方面有针对性的说明本次审计工作开展的目的和意义</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审计的能耗范围与建筑能耗范围应一致，审核边界为建筑内发生的能耗。</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审计内容依据DB11/T 1007-2013规定的简单审计内容执行</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概况</w:t>
            </w:r>
          </w:p>
        </w:tc>
        <w:tc>
          <w:tcPr>
            <w:tcW w:w="80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18</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 xml:space="preserve">明确建筑的产权人、法人、管理单位、使用单位并简要介绍。 </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明确被审计建筑对应电力用户编号，以及建筑与电力用户的对应关系（如一个建筑对应多个电力用户编号、多个建筑对应一个建筑编号等情况），并明确用户编号供电的建筑面积。</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建筑与其它非公共建筑共用电力公司电表时，简述建筑分项计量情况。</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建筑物群体特点、建筑物功能、基本信息及建筑节能改造状况应描述清晰</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建筑用能系统的概况（空调通风、供暖、照明、综合服务系统、配电），同时明确建筑、空调、采暖等需要参与能耗分析的准确面积。</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审计团队名单，现场调查、报告编制、校审、审查人名单</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建筑物能源管理</w:t>
            </w:r>
          </w:p>
        </w:tc>
        <w:tc>
          <w:tcPr>
            <w:tcW w:w="80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6</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建筑用能单位能源管理机构建立情况和责权情况说明，对能源管理机构运行情况描述清晰，有评价意见。（总建筑面积20000</w:t>
            </w:r>
            <w:r>
              <w:rPr>
                <w:rFonts w:hint="eastAsia" w:ascii="仿宋_GB2312" w:hAnsi="仿宋_GB2312" w:eastAsia="仿宋_GB2312" w:cs="仿宋_GB2312"/>
                <w:kern w:val="0"/>
                <w:sz w:val="21"/>
                <w:szCs w:val="24"/>
                <w:lang w:eastAsia="zh-CN"/>
              </w:rPr>
              <w:t>平方米</w:t>
            </w:r>
            <w:r>
              <w:rPr>
                <w:rFonts w:hint="eastAsia" w:ascii="仿宋_GB2312" w:hAnsi="仿宋_GB2312" w:eastAsia="仿宋_GB2312" w:cs="仿宋_GB2312"/>
                <w:kern w:val="0"/>
                <w:sz w:val="21"/>
                <w:szCs w:val="24"/>
              </w:rPr>
              <w:t>以上）</w:t>
            </w:r>
            <w:r>
              <w:rPr>
                <w:rFonts w:hint="eastAsia" w:ascii="仿宋_GB2312" w:hAnsi="仿宋_GB2312" w:eastAsia="仿宋_GB2312" w:cs="仿宋_GB2312"/>
                <w:kern w:val="0"/>
                <w:sz w:val="21"/>
                <w:szCs w:val="24"/>
                <w:lang w:eastAsia="zh-CN"/>
              </w:rPr>
              <w:t>。</w:t>
            </w:r>
          </w:p>
        </w:tc>
        <w:tc>
          <w:tcPr>
            <w:tcW w:w="1061"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建筑用能单位的能源管理部门，以及在能源管理方面的主要职能（总建筑面积3000至20000</w:t>
            </w:r>
            <w:r>
              <w:rPr>
                <w:rFonts w:hint="eastAsia" w:ascii="仿宋_GB2312" w:hAnsi="仿宋_GB2312" w:eastAsia="仿宋_GB2312" w:cs="仿宋_GB2312"/>
                <w:kern w:val="0"/>
                <w:sz w:val="21"/>
                <w:szCs w:val="24"/>
                <w:lang w:eastAsia="zh-CN"/>
              </w:rPr>
              <w:t>平方米</w:t>
            </w:r>
            <w:r>
              <w:rPr>
                <w:rFonts w:hint="eastAsia" w:ascii="仿宋_GB2312" w:hAnsi="仿宋_GB2312" w:eastAsia="仿宋_GB2312" w:cs="仿宋_GB2312"/>
                <w:kern w:val="0"/>
                <w:sz w:val="21"/>
                <w:szCs w:val="24"/>
              </w:rPr>
              <w:t>之间的建筑）</w:t>
            </w:r>
            <w:r>
              <w:rPr>
                <w:rFonts w:hint="eastAsia" w:ascii="仿宋_GB2312" w:hAnsi="仿宋_GB2312" w:eastAsia="仿宋_GB2312" w:cs="仿宋_GB2312"/>
                <w:kern w:val="0"/>
                <w:sz w:val="21"/>
                <w:szCs w:val="24"/>
                <w:lang w:eastAsia="zh-CN"/>
              </w:rPr>
              <w:t>。</w:t>
            </w:r>
          </w:p>
        </w:tc>
        <w:tc>
          <w:tcPr>
            <w:tcW w:w="106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对能源管理制度现状和执行情况，有描述和评价意见。</w:t>
            </w:r>
          </w:p>
        </w:tc>
        <w:tc>
          <w:tcPr>
            <w:tcW w:w="1061"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（针对总建筑面积20000</w:t>
            </w:r>
            <w:r>
              <w:rPr>
                <w:rFonts w:hint="eastAsia" w:ascii="仿宋_GB2312" w:hAnsi="仿宋_GB2312" w:eastAsia="仿宋_GB2312" w:cs="仿宋_GB2312"/>
                <w:kern w:val="0"/>
                <w:sz w:val="21"/>
                <w:szCs w:val="24"/>
                <w:lang w:eastAsia="zh-CN"/>
              </w:rPr>
              <w:t>平方米</w:t>
            </w:r>
            <w:r>
              <w:rPr>
                <w:rFonts w:hint="eastAsia" w:ascii="仿宋_GB2312" w:hAnsi="仿宋_GB2312" w:eastAsia="仿宋_GB2312" w:cs="仿宋_GB2312"/>
                <w:kern w:val="0"/>
                <w:sz w:val="21"/>
                <w:szCs w:val="24"/>
              </w:rPr>
              <w:t>以上建筑，20000</w:t>
            </w:r>
            <w:r>
              <w:rPr>
                <w:rFonts w:hint="eastAsia" w:ascii="仿宋_GB2312" w:hAnsi="仿宋_GB2312" w:eastAsia="仿宋_GB2312" w:cs="仿宋_GB2312"/>
                <w:kern w:val="0"/>
                <w:sz w:val="21"/>
                <w:szCs w:val="24"/>
                <w:lang w:eastAsia="zh-CN"/>
              </w:rPr>
              <w:t>平方米</w:t>
            </w:r>
            <w:r>
              <w:rPr>
                <w:rFonts w:hint="eastAsia" w:ascii="仿宋_GB2312" w:hAnsi="仿宋_GB2312" w:eastAsia="仿宋_GB2312" w:cs="仿宋_GB2312"/>
                <w:kern w:val="0"/>
                <w:sz w:val="21"/>
                <w:szCs w:val="24"/>
              </w:rPr>
              <w:t>以下建筑直接得分）</w:t>
            </w:r>
          </w:p>
        </w:tc>
        <w:tc>
          <w:tcPr>
            <w:tcW w:w="106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对现行建筑节能领域法律法规技术标准的贯彻落实情况有描述和评价（针对总建筑面积20000</w:t>
            </w:r>
            <w:r>
              <w:rPr>
                <w:rFonts w:hint="eastAsia" w:ascii="仿宋_GB2312" w:hAnsi="仿宋_GB2312" w:eastAsia="仿宋_GB2312" w:cs="仿宋_GB2312"/>
                <w:kern w:val="0"/>
                <w:sz w:val="21"/>
                <w:szCs w:val="24"/>
                <w:lang w:eastAsia="zh-CN"/>
              </w:rPr>
              <w:t>平方米</w:t>
            </w:r>
            <w:r>
              <w:rPr>
                <w:rFonts w:hint="eastAsia" w:ascii="仿宋_GB2312" w:hAnsi="仿宋_GB2312" w:eastAsia="仿宋_GB2312" w:cs="仿宋_GB2312"/>
                <w:kern w:val="0"/>
                <w:sz w:val="21"/>
                <w:szCs w:val="24"/>
              </w:rPr>
              <w:t>以上建筑，20000</w:t>
            </w:r>
            <w:r>
              <w:rPr>
                <w:rFonts w:hint="eastAsia" w:ascii="仿宋_GB2312" w:hAnsi="仿宋_GB2312" w:eastAsia="仿宋_GB2312" w:cs="仿宋_GB2312"/>
                <w:kern w:val="0"/>
                <w:sz w:val="21"/>
                <w:szCs w:val="24"/>
                <w:lang w:eastAsia="zh-CN"/>
              </w:rPr>
              <w:t>平方米</w:t>
            </w:r>
            <w:r>
              <w:rPr>
                <w:rFonts w:hint="eastAsia" w:ascii="仿宋_GB2312" w:hAnsi="仿宋_GB2312" w:eastAsia="仿宋_GB2312" w:cs="仿宋_GB2312"/>
                <w:kern w:val="0"/>
                <w:sz w:val="21"/>
                <w:szCs w:val="24"/>
              </w:rPr>
              <w:t>以下建筑直接得分）</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2</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sectPr>
          <w:pgSz w:w="11906" w:h="16838"/>
          <w:pgMar w:top="1440" w:right="1800" w:bottom="1440" w:left="1800" w:header="851" w:footer="992" w:gutter="0"/>
          <w:pgNumType w:fmt="numberInDash" w:start="12"/>
          <w:cols w:space="425" w:num="1"/>
          <w:docGrid w:type="lines" w:linePitch="312" w:charSpace="0"/>
        </w:sectPr>
      </w:pPr>
    </w:p>
    <w:tbl>
      <w:tblPr>
        <w:tblStyle w:val="4"/>
        <w:tblpPr w:leftFromText="180" w:rightFromText="180" w:vertAnchor="text" w:horzAnchor="page" w:tblpX="1774" w:tblpY="294"/>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6"/>
        <w:gridCol w:w="531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建筑能耗构成分析</w:t>
            </w:r>
          </w:p>
        </w:tc>
        <w:tc>
          <w:tcPr>
            <w:tcW w:w="80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18</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清晰说明近3年建筑能耗总量和单位建筑面积能耗指标。各项能源资源分项占比、折标准煤量。</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分析近3年能源消耗结构和特点，重点说明各系统能耗状况，影响能耗的主要因素</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分析建筑规模、经营情况、能源管理、用能系统及设备性能、末端需求的变化等因素对能耗需求的影响。</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建筑主要能源利用系统分析</w:t>
            </w:r>
          </w:p>
        </w:tc>
        <w:tc>
          <w:tcPr>
            <w:tcW w:w="80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15</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描述供暖系统概况并分析供暖能耗，评价其热源、管网及末端设备的合理性。结合建筑用能特点和需求，以及供暖系统运行记录说明系统运行现状及特点。</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描述建筑空调通风系统的概况并分析能耗，评价空调、通风系统的冷热源、流体输配及末端设备的合理性。结合建筑用能特点和需求，以及空调、通风系统运行记录说明系统运行现状及特点。</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描述建筑照明系统的概况及进行能耗分析，结合建筑照明需求特点，进行普通照明、应急照明和景观照明用能状况和合理性分析，LED灯具使用情况说明。</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描述建筑综合服务系统的概况，如电梯系统、生活给水系统、中水系统、生活热水系统、餐饮系统等用能特点、用途、能源消耗品种及数量说明，用能合理性评价</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描述特殊用能系统及其用能特点合理性。特殊区域如信息数据机房、洁净室、大型实验室、交通工具等设备配置情况及运行管理方式说明，此区域能源消耗过程中存在的问题分析</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建筑节能</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潜力分析</w:t>
            </w:r>
          </w:p>
        </w:tc>
        <w:tc>
          <w:tcPr>
            <w:tcW w:w="80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12</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对用能单位在能源利用方面存在的问题及节能潜力进行分析，提出节能潜力点。</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提出管理节能和技术节能的建议和措施，技术措施具有针对性和可操作性，并计算投资回收期。</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审计结论</w:t>
            </w:r>
          </w:p>
        </w:tc>
        <w:tc>
          <w:tcPr>
            <w:tcW w:w="80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18</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限额值合理性和超限额原因分析。</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对被审计对象能源管理和节能技术进步状况的评价客观。</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完成限额指标的下一步建议可行，利于用能单位限额目标的完成。</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附件审核</w:t>
            </w:r>
          </w:p>
        </w:tc>
        <w:tc>
          <w:tcPr>
            <w:tcW w:w="80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6</w:t>
            </w:r>
          </w:p>
        </w:tc>
        <w:tc>
          <w:tcPr>
            <w:tcW w:w="531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调查表格填写完整，数据真实、合理（A1、A2、A3、B1及室温检测表）。</w:t>
            </w:r>
          </w:p>
        </w:tc>
        <w:tc>
          <w:tcPr>
            <w:tcW w:w="1061"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1"/>
                <w:szCs w:val="24"/>
              </w:rPr>
            </w:pPr>
          </w:p>
        </w:tc>
        <w:tc>
          <w:tcPr>
            <w:tcW w:w="106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lang w:eastAsia="zh-CN"/>
              </w:rPr>
            </w:pPr>
            <w:r>
              <w:rPr>
                <w:rFonts w:hint="eastAsia" w:ascii="仿宋_GB2312" w:hAnsi="仿宋_GB2312" w:eastAsia="仿宋_GB2312" w:cs="仿宋_GB2312"/>
                <w:kern w:val="0"/>
                <w:sz w:val="21"/>
                <w:szCs w:val="24"/>
              </w:rPr>
              <w:t>附属材料完整充分（管理文件、账单原件复印件、运行记录）</w:t>
            </w:r>
            <w:r>
              <w:rPr>
                <w:rFonts w:hint="eastAsia" w:ascii="仿宋_GB2312" w:hAnsi="仿宋_GB2312" w:eastAsia="仿宋_GB2312" w:cs="仿宋_GB2312"/>
                <w:kern w:val="0"/>
                <w:sz w:val="21"/>
                <w:szCs w:val="24"/>
                <w:lang w:eastAsia="zh-CN"/>
              </w:rPr>
              <w:t>。</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扉页</w:t>
            </w:r>
          </w:p>
        </w:tc>
        <w:tc>
          <w:tcPr>
            <w:tcW w:w="80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能源审计报告确认单应完整，审计人员名单应符合要求。</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审计报告</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格式</w:t>
            </w:r>
          </w:p>
        </w:tc>
        <w:tc>
          <w:tcPr>
            <w:tcW w:w="80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w:t>
            </w:r>
          </w:p>
        </w:tc>
        <w:tc>
          <w:tcPr>
            <w:tcW w:w="53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审计报告格式工整，内容详实，外观大方。</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p>
        </w:tc>
        <w:tc>
          <w:tcPr>
            <w:tcW w:w="80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100</w:t>
            </w:r>
          </w:p>
        </w:tc>
        <w:tc>
          <w:tcPr>
            <w:tcW w:w="531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　</w:t>
            </w:r>
          </w:p>
        </w:tc>
        <w:tc>
          <w:tcPr>
            <w:tcW w:w="10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1"/>
                <w:szCs w:val="24"/>
              </w:rPr>
            </w:pPr>
            <w:r>
              <w:rPr>
                <w:rFonts w:hint="eastAsia" w:ascii="仿宋_GB2312" w:hAnsi="仿宋_GB2312" w:eastAsia="仿宋_GB2312" w:cs="仿宋_GB2312"/>
                <w:kern w:val="0"/>
                <w:sz w:val="21"/>
                <w:szCs w:val="24"/>
              </w:rPr>
              <w:t>100</w:t>
            </w:r>
          </w:p>
        </w:tc>
      </w:tr>
    </w:tbl>
    <w:p>
      <w:pPr>
        <w:keepNext w:val="0"/>
        <w:keepLines w:val="0"/>
        <w:pageBreakBefore w:val="0"/>
        <w:tabs>
          <w:tab w:val="left" w:pos="1418"/>
          <w:tab w:val="left" w:pos="2835"/>
          <w:tab w:val="left" w:pos="2977"/>
        </w:tabs>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22"/>
          <w:szCs w:val="28"/>
        </w:rPr>
        <w:t>注：报告评审分数85分以上为优秀，70分以上是合格，70分以下不合格。不合格给予一次修改报告机会。</w:t>
      </w: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5CF0C"/>
    <w:rsid w:val="3775CF0C"/>
    <w:rsid w:val="5FDB3BB3"/>
    <w:rsid w:val="6FCC82CC"/>
    <w:rsid w:val="D5339FDD"/>
    <w:rsid w:val="DFED3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2023-02-16T02:35:00Z</dcterms:created>
  <dc:creator>uos</dc:creator>
  <cp:lastModifiedBy>uos</cp:lastModifiedBy>
  <dcterms:modified xsi:type="dcterms:W3CDTF">2023-03-10T15:09:14Z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