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  <w:color w:val="494949"/>
          <w:kern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/>
          <w:color w:val="494949"/>
          <w:kern w:val="0"/>
          <w:sz w:val="44"/>
          <w:szCs w:val="44"/>
          <w:lang w:eastAsia="zh-CN"/>
        </w:rPr>
        <w:t>附件：意见建议及采纳情况</w:t>
      </w:r>
      <w:bookmarkStart w:id="0" w:name="_GoBack"/>
      <w:bookmarkEnd w:id="0"/>
    </w:p>
    <w:p>
      <w:pPr>
        <w:jc w:val="center"/>
        <w:rPr>
          <w:rFonts w:ascii="微软雅黑" w:hAnsi="微软雅黑" w:eastAsia="微软雅黑"/>
          <w:color w:val="494949"/>
          <w:kern w:val="0"/>
          <w:sz w:val="32"/>
          <w:szCs w:val="32"/>
        </w:rPr>
      </w:pPr>
      <w:r>
        <w:rPr>
          <w:rFonts w:hint="eastAsia" w:ascii="微软雅黑" w:hAnsi="微软雅黑" w:eastAsia="微软雅黑"/>
          <w:color w:val="494949"/>
          <w:kern w:val="0"/>
          <w:sz w:val="32"/>
          <w:szCs w:val="32"/>
          <w:lang w:eastAsia="zh-CN"/>
        </w:rPr>
        <w:t>一、</w:t>
      </w:r>
      <w:r>
        <w:rPr>
          <w:rFonts w:hint="eastAsia" w:ascii="微软雅黑" w:hAnsi="微软雅黑" w:eastAsia="微软雅黑"/>
          <w:color w:val="494949"/>
          <w:kern w:val="0"/>
          <w:sz w:val="32"/>
          <w:szCs w:val="32"/>
        </w:rPr>
        <w:t>《压型金属板屋面工程施工质量验收标准》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248"/>
        <w:gridCol w:w="5877"/>
        <w:gridCol w:w="1722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地方标准章条编号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意见内容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主编单位处理意见（采纳/不采纳）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意见处理说明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（不采纳的理由等）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1.0.1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建议改为“为统一压型金属板屋面工程施工质量验收标准，保证工程质量，制定本标准”。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3.0.7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both"/>
              <w:rPr>
                <w:rFonts w:hint="eastAsia" w:ascii="宋体" w:hAnsi="宋体" w:cs="宋体"/>
                <w:spacing w:val="-3"/>
              </w:rPr>
            </w:pPr>
            <w:r>
              <w:rPr>
                <w:rFonts w:hint="eastAsia" w:ascii="宋体" w:hAnsi="宋体" w:cs="宋体"/>
                <w:spacing w:val="-3"/>
              </w:rPr>
              <w:t>“3.0.7 ...检测结果应满足设计要求”建议改为“3.0.7...检测结果应符合设计要求”</w:t>
            </w:r>
          </w:p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Cs w:val="21"/>
              </w:rPr>
              <w:t>第6小条建议注明抗风揭试验应执行的国家标准的名称和编号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5.2.1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建议改为“</w:t>
            </w:r>
            <w:r>
              <w:rPr>
                <w:rFonts w:hint="eastAsia" w:ascii="宋体" w:hAnsi="宋体" w:eastAsia="宋体"/>
                <w:spacing w:val="-3"/>
                <w:szCs w:val="21"/>
                <w:lang w:val="zh-CN"/>
              </w:rPr>
              <w:t>压型金属板</w:t>
            </w:r>
            <w:r>
              <w:rPr>
                <w:rFonts w:hint="eastAsia" w:ascii="宋体" w:hAnsi="宋体" w:eastAsia="宋体"/>
                <w:spacing w:val="-3"/>
                <w:szCs w:val="21"/>
              </w:rPr>
              <w:t>种类及厚度、</w:t>
            </w:r>
            <w:r>
              <w:rPr>
                <w:rFonts w:hint="eastAsia" w:ascii="宋体" w:hAnsi="宋体" w:eastAsia="宋体"/>
                <w:spacing w:val="-3"/>
                <w:szCs w:val="21"/>
                <w:lang w:val="zh-CN"/>
              </w:rPr>
              <w:t>涂层</w:t>
            </w:r>
            <w:r>
              <w:rPr>
                <w:rFonts w:hint="eastAsia" w:ascii="宋体" w:hAnsi="宋体" w:eastAsia="宋体"/>
                <w:spacing w:val="-3"/>
                <w:szCs w:val="21"/>
              </w:rPr>
              <w:t>种类及厚度或重量应满足设计要求及现行国家标准《压型金属板工程应用技术规范》GB 50896的规定。</w:t>
            </w:r>
            <w:r>
              <w:rPr>
                <w:rFonts w:hint="eastAsia" w:ascii="宋体" w:hAnsi="宋体" w:eastAsia="宋体"/>
                <w:szCs w:val="21"/>
              </w:rPr>
              <w:t>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6.1.6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建议改为“面板和底板纵横搭接方式应根据屋面功能和造型特点选择”。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6.3.1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“底板紧固件固定数量、间距应符合设计要求和国家现行有关标准规定”建议给出标准名和编号。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已修改为“</w:t>
            </w:r>
            <w:r>
              <w:rPr>
                <w:rFonts w:hint="eastAsia" w:ascii="宋体" w:hAnsi="宋体" w:eastAsia="宋体" w:cs="宋体"/>
                <w:szCs w:val="21"/>
              </w:rPr>
              <w:t>底板紧固件固定数量、间距应符合设计要求和《压型金属板工程应用技术规范》GB50896的相关规定</w:t>
            </w:r>
            <w:r>
              <w:rPr>
                <w:rFonts w:hint="eastAsia" w:ascii="宋体" w:hAnsi="宋体" w:eastAsia="宋体"/>
                <w:szCs w:val="21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2.0.16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建议“2.0.16 排水系统”内容改为“通过天沟、檐沟、水落管和水落口、溢水口、排水孔等有组织收集并排除屋面雨水的系统”。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此条术语在现有国标和行标中已有明确规定，本标准予以取消。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4.1.1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建议改为“原材料、零部件、成品件、标准件等产品应进行现场检验”。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原标准“4.1.1”已表述相关内容。</w:t>
            </w:r>
          </w:p>
        </w:tc>
      </w:tr>
    </w:tbl>
    <w:p>
      <w:pPr>
        <w:jc w:val="center"/>
        <w:rPr>
          <w:rFonts w:ascii="微软雅黑" w:hAnsi="微软雅黑" w:eastAsia="微软雅黑"/>
          <w:color w:val="494949"/>
          <w:kern w:val="0"/>
          <w:sz w:val="44"/>
          <w:szCs w:val="44"/>
        </w:rPr>
      </w:pPr>
      <w:r>
        <w:rPr>
          <w:rFonts w:hint="eastAsia" w:ascii="微软雅黑" w:hAnsi="微软雅黑" w:eastAsia="微软雅黑"/>
          <w:color w:val="494949"/>
          <w:kern w:val="0"/>
          <w:sz w:val="32"/>
          <w:szCs w:val="32"/>
          <w:lang w:eastAsia="zh-CN"/>
        </w:rPr>
        <w:t>二、</w:t>
      </w:r>
      <w:r>
        <w:rPr>
          <w:rFonts w:hint="eastAsia" w:ascii="微软雅黑" w:hAnsi="微软雅黑" w:eastAsia="微软雅黑"/>
          <w:color w:val="494949"/>
          <w:kern w:val="0"/>
          <w:sz w:val="32"/>
          <w:szCs w:val="32"/>
        </w:rPr>
        <w:t>《承插型盘扣式钢管脚手架安全选用技术规程》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47"/>
        <w:gridCol w:w="5712"/>
        <w:gridCol w:w="118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地方标准章条编号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意见内容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主编单位处理意见（采纳/不采纳）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意见处理说明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（不采纳的理由等）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4.2.17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建议修改为：钢板网使用的型钢、钢板、圆钢应符合国家现行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标准的规定，…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已修改为：外防护使用钢板网时，钢板网所使用型钢、钢板、圆钢的材质应符合现行国家标准《碳素结构钢》GB/T 700中Q235级钢或《低合金高强度结构钢》GB/T 1591中Q355级钢的规定；钢板网所用圆孔网应符合现行国家标准《工业用筛板 板厚》GB/T 10612的规定。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5.2.3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建议修改为：脚手架步距宜设置为2.0m，并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配置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步距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2.0m的斜杆。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已修改为：为便于人员作业，脚手架的步距宜采用2.0m，并设置配套斜杆。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建议增加：高度小于4m时如遇柱和顶板一起浇筑时，无法与柱连接，可以在柱四个方向一跨内设置竖向斜杆形成整体格构柱，以此加固架体。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建议增加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建议规范里增加一条，起始杆如不使用基座，立杆必须套筒端朝上。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4.1.3条修改为：立杆之间连接应通过套（插）管连接，并应符合表4.1.3的规定（图4.1.3）；连接套管（插）开口宜朝下，立杆套管焊缝不宜受力。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2.1.1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建议修改为：承插型盘扣式钢管脚手架disk lock steel tubular scaffold由立杆、水平杆、斜杆、可调底座及可调托撑等构配件构成；立杆采用外套管或内插管承插连接，水平杆和斜杆采用杆端扣接头卡入连接盘，用楔形插销连接，形成结构几何不变体系的钢管支撑架。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术语定义应包括分类依据及类型，为本规程下文提供依据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4.1.5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建议使用托梁应明确立柱两外端应有螺栓紧固，这样能使托梁与立柱夹紧，受力后不易变形。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6.2.14条已规定：应有不少于3组的横向连接，托梁长度应覆盖圆盘面，托梁上部杆件间应设置纵横方向水平杆约束。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6.1.3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建议修改为：标准步距为1.5m 的支撑架，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竖向斜杆布置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应根据支撑架搭设高度、支撑架型号及立杆轴向力设计值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确定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符合表6.1.3 的规定。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已修改为：支撑架搭设高度在24m内，标准步距为1.5m的支撑架，应根据支撑架搭设高度、支撑架型号及立杆轴向力设计值确定竖向斜杆布置，并符合表6.1.3-1、6.1.3-2的规定。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6.2.4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trike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建议修改为：模板支撑架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、组合套插立杆段、可调托撑和可调底座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搭设参数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符合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计算和构造要求。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已修改为：脚手架搭设参数应满足构造和计算要求，并合理选用主次龙骨、架体规格、可调托撑和可调底座等。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6.2.21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trike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第二条：两侧至少设置两排立杆。建议改三排且增加竖向斜杆。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已删除文字描述，图示表示为后浇带两侧保留两排立杆，符合相关规范规定。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7.2.2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trike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盘扣脚手架不宜布置在平面结构为弧线或折线的结构上，建议后边补充说明：如需使用应搭设为满堂脚手架，其面积为矩形覆盖弧线和折线结构投影且满足操作要求。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已修改为：平面结构为弧线或折线形结构时，脚手架宜分段搭设，断开部分通过钢管扣件脚手架连接成整体；盘扣式脚手架纵横向水平杆应相互垂直，水平杆扣接头端部弧面应与立杆外表面贴合。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8.0.16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建议修改为：作业层架体外立杆内侧应设置上下两道防护栏杆和挡脚板，上道栏杆高度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为1.2m，下道栏杆高度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为0.6m，挡脚板高度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为0.18m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挡脚笆高度不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小于0.5m。塔吊处或开口位置应密封严实。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已对条款进行整合，修改后为7.2.8条：作业脚手架外立面应设挡脚板和两道防护栏杆，栏杆间距应为500mm。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ascii="微软雅黑" w:hAnsi="微软雅黑" w:eastAsia="微软雅黑"/>
          <w:color w:val="494949"/>
          <w:kern w:val="0"/>
          <w:sz w:val="32"/>
          <w:szCs w:val="32"/>
        </w:rPr>
      </w:pPr>
      <w:r>
        <w:rPr>
          <w:rFonts w:hint="eastAsia" w:ascii="微软雅黑" w:hAnsi="微软雅黑" w:eastAsia="微软雅黑"/>
          <w:color w:val="494949"/>
          <w:kern w:val="0"/>
          <w:sz w:val="32"/>
          <w:szCs w:val="32"/>
          <w:lang w:eastAsia="zh-CN"/>
        </w:rPr>
        <w:t>三、</w:t>
      </w:r>
      <w:r>
        <w:rPr>
          <w:rFonts w:hint="eastAsia" w:ascii="微软雅黑" w:hAnsi="微软雅黑" w:eastAsia="微软雅黑"/>
          <w:color w:val="494949"/>
          <w:kern w:val="0"/>
          <w:sz w:val="32"/>
          <w:szCs w:val="32"/>
        </w:rPr>
        <w:t>《钢筋套筒灌浆连接技术规程》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79"/>
        <w:gridCol w:w="3924"/>
        <w:gridCol w:w="1535"/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地方标准章条编号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意见内容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主编单位处理意见（采纳/不采纳）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意见处理说明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（不采纳的理由等）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3.1.1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3.3.1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性能应符合表</w:t>
            </w: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3.3.1-1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和表</w:t>
            </w: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3.3.1-2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的规定和3.3.6条冲突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4.2.5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4.2.5条中对低温灌浆料应区分常温型和低温型。应和4.2.8规定一致。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shd w:val="clear" w:color="auto" w:fill="FFFFFF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6.1.3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6.1.3中的4.5条不明确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常温灌浆料和低温灌浆料制作的灌浆接头均应进行工艺检验，接头试件与灌浆料试块制作环境与养护条件相同，养护28d方可进行试验。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6.3.10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出浆口加封堵，保压保压 0.1MPa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建议改成0</w:t>
            </w: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.06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MPa。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在征求意见稿中修改完善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2.1.10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定义不准确，建议改为：套筒排浆口最下沿位置（≥8d）与灌浆料上表面的位置的相对状态。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已重新定义为：钢筋套筒灌浆连接灌浆结束，灌浆料终凝后，灌浆料充满套筒与钢筋间隙达到规定钢筋灌浆锚固长度的程度。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4.1.3 2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第2条规定与GB 55008中相关条款规定不一致。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此条与行标JG/T 398-2019中5.1.1  a）相协调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4.2.6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灌浆料试块的抗压强度偏离生产单位提供的抗压强度等级值应小于 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5%，要求过高。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型式检验需限定灌浆料强度范围离散值越小越好，型式检验无需保证一次通过，</w:t>
            </w: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型检用灌浆料抗压强度控制在一定范围内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，后期应确保实际工程使用灌浆料</w:t>
            </w:r>
            <w:r>
              <w:rPr>
                <w:rFonts w:ascii="宋体" w:hAnsi="宋体" w:eastAsia="宋体" w:cs="方正仿宋_GB2312"/>
                <w:color w:val="000000"/>
                <w:kern w:val="0"/>
                <w:szCs w:val="21"/>
              </w:rPr>
              <w:t>抗压强度大于等于灌浆接头型检用灌浆料抗压强度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6.1.3 6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评判为工艺检验合格</w:t>
            </w: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改为28天抗压强度或-7+21天抗压强度符合JG/T408规定时，评判为工艺检验合格。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灌浆接头型式检验灌浆料28天抗压强度值可远大JG/T408规定的强度最低值，工程中实际使用灌浆料28天抗压强度仅满足≥85MPa，某些情况可能小于型检中灌浆料强度值，这时灌浆接头的力学性能是无法保证的。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6.3.5 5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可不分仓，灌浆效果和效率更高。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szCs w:val="21"/>
              </w:rPr>
              <w:t>不采纳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方正仿宋_GB2312"/>
                <w:color w:val="000000"/>
                <w:kern w:val="0"/>
                <w:szCs w:val="21"/>
              </w:rPr>
              <w:t>仓位过大，容易造成压力灌浆局部压力过大，远端部分套筒灌浆不实。</w:t>
            </w:r>
          </w:p>
        </w:tc>
      </w:tr>
    </w:tbl>
    <w:p>
      <w:pPr>
        <w:rPr>
          <w:rFonts w:hint="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幼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D"/>
    <w:rsid w:val="00056E9E"/>
    <w:rsid w:val="001C2396"/>
    <w:rsid w:val="001E4735"/>
    <w:rsid w:val="002A0D55"/>
    <w:rsid w:val="00387A4F"/>
    <w:rsid w:val="004201FD"/>
    <w:rsid w:val="004335F2"/>
    <w:rsid w:val="007310DA"/>
    <w:rsid w:val="0091415B"/>
    <w:rsid w:val="00920D1D"/>
    <w:rsid w:val="00992B72"/>
    <w:rsid w:val="00A93A0E"/>
    <w:rsid w:val="00BA68BA"/>
    <w:rsid w:val="00D15F77"/>
    <w:rsid w:val="00E40B67"/>
    <w:rsid w:val="00E61768"/>
    <w:rsid w:val="00EF419B"/>
    <w:rsid w:val="00F56CF9"/>
    <w:rsid w:val="37E92D91"/>
    <w:rsid w:val="47EFFD22"/>
    <w:rsid w:val="4BEB9044"/>
    <w:rsid w:val="7FFEF193"/>
    <w:rsid w:val="AFE74F40"/>
    <w:rsid w:val="FA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Calibri" w:hAnsi="Calibri" w:eastAsia="宋体" w:cs="Calibri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2022-05-11T07:36:00Z</dcterms:created>
  <dc:creator>吴 大伟</dc:creator>
  <cp:lastModifiedBy>uos</cp:lastModifiedBy>
  <dcterms:modified xsi:type="dcterms:W3CDTF">2022-05-11T09:50:40Z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