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before="60" w:after="60"/>
        <w:rPr>
          <w:b/>
          <w:color w:val="000000" w:themeColor="text1"/>
          <w:sz w:val="22"/>
          <w14:textFill>
            <w14:solidFill>
              <w14:schemeClr w14:val="tx1"/>
            </w14:solidFill>
          </w14:textFill>
        </w:rPr>
      </w:pPr>
      <w:bookmarkStart w:id="0" w:name="_Toc397965640"/>
      <w:bookmarkStart w:id="1" w:name="_Toc404681284"/>
      <w:bookmarkStart w:id="2" w:name="SectionMark0"/>
      <w:bookmarkStart w:id="3" w:name="_Toc313897837"/>
      <w:r>
        <w:rPr>
          <w:b/>
          <w:color w:val="000000" w:themeColor="text1"/>
          <w:kern w:val="0"/>
          <w:sz w:val="22"/>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4097655</wp:posOffset>
                </wp:positionH>
                <wp:positionV relativeFrom="paragraph">
                  <wp:posOffset>-449580</wp:posOffset>
                </wp:positionV>
                <wp:extent cx="1981835" cy="1481455"/>
                <wp:effectExtent l="0" t="0" r="0" b="0"/>
                <wp:wrapNone/>
                <wp:docPr id="124" name="文本框 124"/>
                <wp:cNvGraphicFramePr/>
                <a:graphic xmlns:a="http://schemas.openxmlformats.org/drawingml/2006/main">
                  <a:graphicData uri="http://schemas.microsoft.com/office/word/2010/wordprocessingShape">
                    <wps:wsp>
                      <wps:cNvSpPr txBox="1">
                        <a:spLocks noChangeArrowheads="1"/>
                      </wps:cNvSpPr>
                      <wps:spPr bwMode="auto">
                        <a:xfrm>
                          <a:off x="0" y="0"/>
                          <a:ext cx="1438275" cy="1481138"/>
                        </a:xfrm>
                        <a:prstGeom prst="rect">
                          <a:avLst/>
                        </a:prstGeom>
                        <a:noFill/>
                        <a:ln>
                          <a:noFill/>
                        </a:ln>
                        <a:effectLst/>
                      </wps:spPr>
                      <wps:txbx>
                        <w:txbxContent>
                          <w:p>
                            <w:pPr>
                              <w:spacing w:before="60" w:after="60"/>
                              <w:rPr>
                                <w:rFonts w:ascii="Adobe 黑体 Std R" w:hAnsi="Adobe 黑体 Std R" w:eastAsia="Adobe 黑体 Std R"/>
                                <w:sz w:val="144"/>
                                <w:szCs w:val="144"/>
                              </w:rPr>
                            </w:pPr>
                            <w:r>
                              <w:rPr>
                                <w:rFonts w:hint="eastAsia" w:ascii="Adobe 黑体 Std R" w:hAnsi="Adobe 黑体 Std R" w:eastAsia="Adobe 黑体 Std R"/>
                                <w:sz w:val="144"/>
                                <w:szCs w:val="144"/>
                              </w:rPr>
                              <w:t>DB</w:t>
                            </w:r>
                          </w:p>
                          <w:p>
                            <w:pPr>
                              <w:spacing w:before="60" w:after="60"/>
                            </w:pPr>
                          </w:p>
                        </w:txbxContent>
                      </wps:txbx>
                      <wps:bodyPr rot="0" vert="horz" wrap="square" lIns="91440" tIns="45720" rIns="91440" bIns="45720" anchor="t" anchorCtr="0" upright="1">
                        <a:noAutofit/>
                      </wps:bodyPr>
                    </wps:wsp>
                  </a:graphicData>
                </a:graphic>
              </wp:anchor>
            </w:drawing>
          </mc:Choice>
          <mc:Fallback>
            <w:pict>
              <v:shape id="_x0000_s1026" o:spid="_x0000_s1026" o:spt="202" type="#_x0000_t202" style="position:absolute;left:0pt;margin-left:322.65pt;margin-top:-35.4pt;height:116.65pt;width:156.05pt;z-index:251662336;mso-width-relative:page;mso-height-relative:page;" filled="f" stroked="f" coordsize="21600,21600" o:gfxdata="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JphBonZ&#10;AAAACwEAAA8AAAAAAAAAAQAgAAAAIgAAAGRycy9kb3ducmV2LnhtbFBLAQIUABQAAAAIAIdO4kC5&#10;ZiCIHwIAACgEAAAOAAAAAAAAAAEAIAAAACgBAABkcnMvZTJvRG9jLnhtbFBLBQYAAAAABgAGAFkB&#10;AAC5BQAAAAA=&#10;">
                <v:fill on="f" focussize="0,0"/>
                <v:stroke on="f"/>
                <v:imagedata o:title=""/>
                <o:lock v:ext="edit" aspectratio="f"/>
                <v:textbox>
                  <w:txbxContent>
                    <w:p>
                      <w:pPr>
                        <w:spacing w:before="60" w:after="60"/>
                        <w:rPr>
                          <w:rFonts w:ascii="Adobe 黑体 Std R" w:hAnsi="Adobe 黑体 Std R" w:eastAsia="Adobe 黑体 Std R"/>
                          <w:sz w:val="144"/>
                          <w:szCs w:val="144"/>
                        </w:rPr>
                      </w:pPr>
                      <w:r>
                        <w:rPr>
                          <w:rFonts w:hint="eastAsia" w:ascii="Adobe 黑体 Std R" w:hAnsi="Adobe 黑体 Std R" w:eastAsia="Adobe 黑体 Std R"/>
                          <w:sz w:val="144"/>
                          <w:szCs w:val="144"/>
                        </w:rPr>
                        <w:t>DB</w:t>
                      </w:r>
                    </w:p>
                    <w:p>
                      <w:pPr>
                        <w:spacing w:before="60" w:after="60"/>
                      </w:pPr>
                    </w:p>
                  </w:txbxContent>
                </v:textbox>
              </v:shape>
            </w:pict>
          </mc:Fallback>
        </mc:AlternateContent>
      </w:r>
      <w:r>
        <w:rPr>
          <w:rFonts w:hint="eastAsia"/>
          <w:b/>
          <w:color w:val="000000" w:themeColor="text1"/>
          <w:kern w:val="0"/>
          <w:sz w:val="22"/>
          <w14:textFill>
            <w14:solidFill>
              <w14:schemeClr w14:val="tx1"/>
            </w14:solidFill>
          </w14:textFill>
        </w:rPr>
        <w:t>UG</w:t>
      </w:r>
    </w:p>
    <w:p>
      <w:pPr>
        <w:spacing w:before="60" w:after="60"/>
        <w:jc w:val="center"/>
        <w:rPr>
          <w:b/>
          <w:color w:val="000000" w:themeColor="text1"/>
          <w:sz w:val="28"/>
          <w:szCs w:val="28"/>
          <w14:textFill>
            <w14:solidFill>
              <w14:schemeClr w14:val="tx1"/>
            </w14:solidFill>
          </w14:textFill>
        </w:rPr>
      </w:pPr>
      <w:r>
        <w:rPr>
          <w:rFonts w:ascii="黑体" w:eastAsia="黑体"/>
          <w:color w:val="000000" w:themeColor="text1"/>
          <w:kern w:val="0"/>
          <w:sz w:val="48"/>
          <w:szCs w:val="48"/>
          <w14:textFill>
            <w14:solidFill>
              <w14:schemeClr w14:val="tx1"/>
            </w14:solidFill>
          </w14:textFill>
        </w:rPr>
        <w:t>北京市地方</w:t>
      </w:r>
      <w:r>
        <w:rPr>
          <w:rFonts w:hint="eastAsia" w:ascii="黑体" w:eastAsia="黑体"/>
          <w:color w:val="000000" w:themeColor="text1"/>
          <w:kern w:val="0"/>
          <w:sz w:val="48"/>
          <w:szCs w:val="48"/>
          <w14:textFill>
            <w14:solidFill>
              <w14:schemeClr w14:val="tx1"/>
            </w14:solidFill>
          </w14:textFill>
        </w:rPr>
        <w:t>标准</w:t>
      </w:r>
    </w:p>
    <w:p>
      <w:pPr>
        <w:spacing w:before="60" w:after="60"/>
        <w:ind w:firstLine="480" w:firstLineChars="100"/>
        <w:rPr>
          <w:rFonts w:ascii="黑体" w:hAnsi="Plotter" w:eastAsia="黑体" w:cs="Plotter"/>
          <w:color w:val="000000" w:themeColor="text1"/>
          <w:sz w:val="48"/>
          <w:szCs w:val="48"/>
          <w14:textFill>
            <w14:solidFill>
              <w14:schemeClr w14:val="tx1"/>
            </w14:solidFill>
          </w14:textFill>
        </w:rPr>
      </w:pPr>
    </w:p>
    <w:p>
      <w:pPr>
        <w:spacing w:before="60" w:after="60"/>
        <w:rPr>
          <w:b/>
          <w:color w:val="000000" w:themeColor="text1"/>
          <w14:textFill>
            <w14:solidFill>
              <w14:schemeClr w14:val="tx1"/>
            </w14:solidFill>
          </w14:textFill>
        </w:rPr>
      </w:pPr>
    </w:p>
    <w:p>
      <w:pPr>
        <w:spacing w:before="60" w:after="60"/>
        <w:ind w:left="0" w:leftChars="0" w:firstLine="5198" w:firstLineChars="2302"/>
        <w:rPr>
          <w:rFonts w:ascii="宋体" w:hAnsi="宋体" w:cs="宋体"/>
          <w:b/>
          <w:snapToGrid w:val="0"/>
          <w:color w:val="000000" w:themeColor="text1"/>
          <w:kern w:val="0"/>
          <w14:textFill>
            <w14:solidFill>
              <w14:schemeClr w14:val="tx1"/>
            </w14:solidFill>
          </w14:textFill>
        </w:rPr>
      </w:pPr>
      <w:r>
        <w:rPr>
          <w:rFonts w:hint="eastAsia" w:ascii="宋体" w:hAnsi="宋体" w:cs="宋体"/>
          <w:b/>
          <w:snapToGrid w:val="0"/>
          <w:color w:val="000000" w:themeColor="text1"/>
          <w:spacing w:val="14"/>
          <w:w w:val="94"/>
          <w:kern w:val="0"/>
          <w14:textFill>
            <w14:solidFill>
              <w14:schemeClr w14:val="tx1"/>
            </w14:solidFill>
          </w14:textFill>
        </w:rPr>
        <w:t>编</w:t>
      </w:r>
      <w:r>
        <w:rPr>
          <w:rFonts w:hint="eastAsia" w:ascii="宋体" w:hAnsi="宋体" w:cs="宋体"/>
          <w:b/>
          <w:snapToGrid w:val="0"/>
          <w:color w:val="000000" w:themeColor="text1"/>
          <w:spacing w:val="14"/>
          <w:w w:val="94"/>
          <w:kern w:val="0"/>
          <w:lang w:val="en-US" w:eastAsia="zh-CN"/>
          <w14:textFill>
            <w14:solidFill>
              <w14:schemeClr w14:val="tx1"/>
            </w14:solidFill>
          </w14:textFill>
        </w:rPr>
        <w:t xml:space="preserve">  </w:t>
      </w:r>
      <w:r>
        <w:rPr>
          <w:rFonts w:hint="eastAsia" w:ascii="宋体" w:hAnsi="宋体" w:cs="宋体"/>
          <w:b/>
          <w:snapToGrid w:val="0"/>
          <w:color w:val="000000" w:themeColor="text1"/>
          <w:spacing w:val="14"/>
          <w:w w:val="94"/>
          <w:kern w:val="0"/>
          <w14:textFill>
            <w14:solidFill>
              <w14:schemeClr w14:val="tx1"/>
            </w14:solidFill>
          </w14:textFill>
        </w:rPr>
        <w:t>号：DB11/T XXXX－202</w:t>
      </w:r>
      <w:r>
        <w:rPr>
          <w:rFonts w:hint="eastAsia" w:ascii="宋体" w:hAnsi="宋体" w:cs="宋体"/>
          <w:b/>
          <w:snapToGrid w:val="0"/>
          <w:color w:val="000000" w:themeColor="text1"/>
          <w:spacing w:val="12"/>
          <w:w w:val="94"/>
          <w:kern w:val="0"/>
          <w14:textFill>
            <w14:solidFill>
              <w14:schemeClr w14:val="tx1"/>
            </w14:solidFill>
          </w14:textFill>
        </w:rPr>
        <w:t>X</w:t>
      </w:r>
    </w:p>
    <w:p>
      <w:pPr>
        <w:spacing w:before="60" w:after="60"/>
        <w:ind w:firstLine="5180" w:firstLineChars="2400"/>
        <w:rPr>
          <w:rFonts w:ascii="Plotter" w:hAnsi="Plotter" w:cs="Plotter"/>
          <w:b/>
          <w:color w:val="000000" w:themeColor="text1"/>
          <w14:textFill>
            <w14:solidFill>
              <w14:schemeClr w14:val="tx1"/>
            </w14:solidFill>
          </w14:textFill>
        </w:rPr>
      </w:pPr>
      <w:r>
        <w:rPr>
          <w:rFonts w:hint="eastAsia" w:ascii="宋体" w:hAnsi="宋体" w:cs="宋体"/>
          <w:b/>
          <w:color w:val="000000" w:themeColor="text1"/>
          <w:spacing w:val="10"/>
          <w:w w:val="93"/>
          <w:kern w:val="0"/>
          <w14:textFill>
            <w14:solidFill>
              <w14:schemeClr w14:val="tx1"/>
            </w14:solidFill>
          </w14:textFill>
        </w:rPr>
        <w:t>备案号：J</w:t>
      </w:r>
      <w:r>
        <w:rPr>
          <w:rFonts w:hint="eastAsia" w:ascii="宋体" w:hAnsi="宋体" w:cs="宋体"/>
          <w:b/>
          <w:snapToGrid w:val="0"/>
          <w:color w:val="000000" w:themeColor="text1"/>
          <w:spacing w:val="12"/>
          <w:w w:val="94"/>
          <w:kern w:val="0"/>
          <w14:textFill>
            <w14:solidFill>
              <w14:schemeClr w14:val="tx1"/>
            </w14:solidFill>
          </w14:textFill>
        </w:rPr>
        <w:t>X</w:t>
      </w:r>
      <w:r>
        <w:rPr>
          <w:rFonts w:hint="eastAsia" w:ascii="宋体" w:hAnsi="宋体" w:cs="宋体"/>
          <w:b/>
          <w:color w:val="000000" w:themeColor="text1"/>
          <w:spacing w:val="10"/>
          <w:w w:val="93"/>
          <w:kern w:val="0"/>
          <w14:textFill>
            <w14:solidFill>
              <w14:schemeClr w14:val="tx1"/>
            </w14:solidFill>
          </w14:textFill>
        </w:rPr>
        <w:t>－202</w:t>
      </w:r>
      <w:r>
        <w:rPr>
          <w:rFonts w:hint="eastAsia" w:ascii="宋体" w:hAnsi="宋体" w:cs="宋体"/>
          <w:b/>
          <w:snapToGrid w:val="0"/>
          <w:color w:val="000000" w:themeColor="text1"/>
          <w:spacing w:val="12"/>
          <w:w w:val="94"/>
          <w:kern w:val="0"/>
          <w14:textFill>
            <w14:solidFill>
              <w14:schemeClr w14:val="tx1"/>
            </w14:solidFill>
          </w14:textFill>
        </w:rPr>
        <w:t>X</w:t>
      </w:r>
    </w:p>
    <w:p>
      <w:pPr>
        <w:spacing w:before="60" w:after="60"/>
        <w:rPr>
          <w:color w:val="000000" w:themeColor="text1"/>
          <w:sz w:val="28"/>
          <w:szCs w:val="28"/>
          <w14:textFill>
            <w14:solidFill>
              <w14:schemeClr w14:val="tx1"/>
            </w14:solidFill>
          </w14:textFill>
        </w:rPr>
      </w:pPr>
      <w:r>
        <w:rPr>
          <w:color w:val="000000" w:themeColor="text1"/>
          <w14:textFill>
            <w14:solidFill>
              <w14:schemeClr w14:val="tx1"/>
            </w14:solidFill>
          </w14:textFill>
        </w:rPr>
        <mc:AlternateContent>
          <mc:Choice Requires="wps">
            <w:drawing>
              <wp:anchor distT="0" distB="0" distL="114300" distR="114300" simplePos="0" relativeHeight="251660288" behindDoc="0" locked="0" layoutInCell="1" allowOverlap="1">
                <wp:simplePos x="0" y="0"/>
                <wp:positionH relativeFrom="column">
                  <wp:posOffset>-19050</wp:posOffset>
                </wp:positionH>
                <wp:positionV relativeFrom="paragraph">
                  <wp:posOffset>49530</wp:posOffset>
                </wp:positionV>
                <wp:extent cx="6112510" cy="0"/>
                <wp:effectExtent l="0" t="4445" r="2540" b="5080"/>
                <wp:wrapNone/>
                <wp:docPr id="123" name="直接连接符 123"/>
                <wp:cNvGraphicFramePr/>
                <a:graphic xmlns:a="http://schemas.openxmlformats.org/drawingml/2006/main">
                  <a:graphicData uri="http://schemas.microsoft.com/office/word/2010/wordprocessingShape">
                    <wps:wsp>
                      <wps:cNvCnPr>
                        <a:cxnSpLocks noChangeShapeType="1"/>
                      </wps:cNvCnPr>
                      <wps:spPr bwMode="auto">
                        <a:xfrm>
                          <a:off x="0" y="0"/>
                          <a:ext cx="6112510" cy="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1.5pt;margin-top:3.9pt;height:0pt;width:481.3pt;z-index:251660288;mso-width-relative:page;mso-height-relative:page;" filled="f" stroked="t" coordsize="21600,21600" o:gfxdata="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AD15qbU&#10;AAAABgEAAA8AAAAAAAAAAQAgAAAAIgAAAGRycy9kb3ducmV2LnhtbFBLAQIUABQAAAAIAIdO4kBw&#10;a2LG6wEAALwDAAAOAAAAAAAAAAEAIAAAACMBAABkcnMvZTJvRG9jLnhtbFBLBQYAAAAABgAGAFkB&#10;AACABQAAAAA=&#10;">
                <v:fill on="f" focussize="0,0"/>
                <v:stroke color="#000000" joinstyle="round"/>
                <v:imagedata o:title=""/>
                <o:lock v:ext="edit" aspectratio="f"/>
              </v:line>
            </w:pict>
          </mc:Fallback>
        </mc:AlternateContent>
      </w:r>
    </w:p>
    <w:p>
      <w:pPr>
        <w:spacing w:before="60" w:after="60"/>
        <w:jc w:val="center"/>
        <w:rPr>
          <w:rFonts w:ascii="黑体" w:eastAsia="黑体"/>
          <w:color w:val="000000" w:themeColor="text1"/>
          <w:w w:val="92"/>
          <w:kern w:val="0"/>
          <w:sz w:val="44"/>
          <w:szCs w:val="44"/>
          <w14:textFill>
            <w14:solidFill>
              <w14:schemeClr w14:val="tx1"/>
            </w14:solidFill>
          </w14:textFill>
        </w:rPr>
      </w:pPr>
    </w:p>
    <w:p>
      <w:pPr>
        <w:spacing w:before="60" w:after="60"/>
        <w:jc w:val="center"/>
        <w:rPr>
          <w:rFonts w:eastAsia="黑体"/>
          <w:b/>
          <w:color w:val="000000" w:themeColor="text1"/>
          <w:sz w:val="32"/>
          <w:szCs w:val="32"/>
          <w14:textFill>
            <w14:solidFill>
              <w14:schemeClr w14:val="tx1"/>
            </w14:solidFill>
          </w14:textFill>
        </w:rPr>
      </w:pPr>
      <w:r>
        <w:rPr>
          <w:rFonts w:hint="eastAsia" w:ascii="黑体" w:eastAsia="黑体"/>
          <w:color w:val="000000" w:themeColor="text1"/>
          <w:spacing w:val="1"/>
          <w:w w:val="96"/>
          <w:kern w:val="0"/>
          <w:sz w:val="44"/>
          <w:szCs w:val="44"/>
          <w14:textFill>
            <w14:solidFill>
              <w14:schemeClr w14:val="tx1"/>
            </w14:solidFill>
          </w14:textFill>
        </w:rPr>
        <w:t>城市轨道交通工程浅埋暗挖法施工技术规程</w:t>
      </w:r>
    </w:p>
    <w:p>
      <w:pPr>
        <w:spacing w:before="60" w:after="60"/>
        <w:jc w:val="center"/>
        <w:rPr>
          <w:rFonts w:eastAsia="黑体"/>
          <w:color w:val="000000" w:themeColor="text1"/>
          <w:w w:val="83"/>
          <w:kern w:val="0"/>
          <w:sz w:val="28"/>
          <w:szCs w:val="28"/>
          <w14:textFill>
            <w14:solidFill>
              <w14:schemeClr w14:val="tx1"/>
            </w14:solidFill>
          </w14:textFill>
        </w:rPr>
      </w:pPr>
      <w:r>
        <w:rPr>
          <w:rFonts w:hint="eastAsia" w:eastAsia="黑体"/>
          <w:color w:val="000000" w:themeColor="text1"/>
          <w:w w:val="83"/>
          <w:kern w:val="0"/>
          <w:sz w:val="28"/>
          <w:szCs w:val="28"/>
          <w14:textFill>
            <w14:solidFill>
              <w14:schemeClr w14:val="tx1"/>
            </w14:solidFill>
          </w14:textFill>
        </w:rPr>
        <w:t xml:space="preserve">The technical specification for shallow tunneling method in urban rail </w:t>
      </w:r>
    </w:p>
    <w:p>
      <w:pPr>
        <w:spacing w:line="240" w:lineRule="exact"/>
        <w:jc w:val="center"/>
        <w:rPr>
          <w:rFonts w:eastAsia="黑体"/>
          <w:color w:val="000000" w:themeColor="text1"/>
          <w:w w:val="83"/>
          <w:kern w:val="0"/>
          <w:sz w:val="28"/>
          <w:szCs w:val="28"/>
          <w14:textFill>
            <w14:solidFill>
              <w14:schemeClr w14:val="tx1"/>
            </w14:solidFill>
          </w14:textFill>
        </w:rPr>
      </w:pPr>
      <w:r>
        <w:rPr>
          <w:rFonts w:hint="eastAsia" w:eastAsia="黑体"/>
          <w:color w:val="000000" w:themeColor="text1"/>
          <w:w w:val="83"/>
          <w:kern w:val="0"/>
          <w:sz w:val="28"/>
          <w:szCs w:val="28"/>
          <w14:textFill>
            <w14:solidFill>
              <w14:schemeClr w14:val="tx1"/>
            </w14:solidFill>
          </w14:textFill>
        </w:rPr>
        <w:t>transit engineering</w:t>
      </w:r>
    </w:p>
    <w:p>
      <w:pPr>
        <w:spacing w:before="60" w:after="60"/>
        <w:jc w:val="center"/>
        <w:rPr>
          <w:rFonts w:eastAsia="黑体"/>
          <w:color w:val="000000" w:themeColor="text1"/>
          <w:kern w:val="0"/>
          <w:sz w:val="28"/>
          <w:szCs w:val="28"/>
          <w14:textFill>
            <w14:solidFill>
              <w14:schemeClr w14:val="tx1"/>
            </w14:solidFill>
          </w14:textFill>
        </w:rPr>
      </w:pPr>
      <w:r>
        <w:rPr>
          <w:rFonts w:eastAsia="黑体"/>
          <w:color w:val="000000" w:themeColor="text1"/>
          <w:kern w:val="0"/>
          <w:sz w:val="28"/>
          <w:szCs w:val="28"/>
          <w14:textFill>
            <w14:solidFill>
              <w14:schemeClr w14:val="tx1"/>
            </w14:solidFill>
          </w14:textFill>
        </w:rPr>
        <w:t>（</w:t>
      </w:r>
      <w:r>
        <w:rPr>
          <w:rFonts w:hint="eastAsia" w:eastAsia="黑体"/>
          <w:color w:val="000000" w:themeColor="text1"/>
          <w:kern w:val="0"/>
          <w:sz w:val="28"/>
          <w:szCs w:val="28"/>
          <w14:textFill>
            <w14:solidFill>
              <w14:schemeClr w14:val="tx1"/>
            </w14:solidFill>
          </w14:textFill>
        </w:rPr>
        <w:t>征求意见</w:t>
      </w:r>
      <w:r>
        <w:rPr>
          <w:rFonts w:eastAsia="黑体"/>
          <w:color w:val="000000" w:themeColor="text1"/>
          <w:kern w:val="0"/>
          <w:sz w:val="28"/>
          <w:szCs w:val="28"/>
          <w14:textFill>
            <w14:solidFill>
              <w14:schemeClr w14:val="tx1"/>
            </w14:solidFill>
          </w14:textFill>
        </w:rPr>
        <w:t>稿）</w:t>
      </w:r>
    </w:p>
    <w:p>
      <w:pPr>
        <w:spacing w:before="60" w:after="60"/>
        <w:rPr>
          <w:color w:val="000000" w:themeColor="text1"/>
          <w:sz w:val="28"/>
          <w:szCs w:val="28"/>
          <w14:textFill>
            <w14:solidFill>
              <w14:schemeClr w14:val="tx1"/>
            </w14:solidFill>
          </w14:textFill>
        </w:rPr>
      </w:pPr>
    </w:p>
    <w:p>
      <w:pPr>
        <w:spacing w:before="60" w:after="60"/>
        <w:rPr>
          <w:color w:val="000000" w:themeColor="text1"/>
          <w:sz w:val="28"/>
          <w:szCs w:val="28"/>
          <w14:textFill>
            <w14:solidFill>
              <w14:schemeClr w14:val="tx1"/>
            </w14:solidFill>
          </w14:textFill>
        </w:rPr>
      </w:pPr>
    </w:p>
    <w:p>
      <w:pPr>
        <w:spacing w:before="60" w:after="60"/>
        <w:rPr>
          <w:color w:val="000000" w:themeColor="text1"/>
          <w:sz w:val="28"/>
          <w:szCs w:val="28"/>
          <w14:textFill>
            <w14:solidFill>
              <w14:schemeClr w14:val="tx1"/>
            </w14:solidFill>
          </w14:textFill>
        </w:rPr>
      </w:pPr>
    </w:p>
    <w:p>
      <w:pPr>
        <w:spacing w:before="60" w:after="60"/>
        <w:rPr>
          <w:color w:val="000000" w:themeColor="text1"/>
          <w:sz w:val="28"/>
          <w:szCs w:val="28"/>
          <w14:textFill>
            <w14:solidFill>
              <w14:schemeClr w14:val="tx1"/>
            </w14:solidFill>
          </w14:textFill>
        </w:rPr>
      </w:pPr>
    </w:p>
    <w:p>
      <w:pPr>
        <w:spacing w:before="60" w:after="60"/>
        <w:rPr>
          <w:color w:val="000000" w:themeColor="text1"/>
          <w:sz w:val="28"/>
          <w:szCs w:val="28"/>
          <w14:textFill>
            <w14:solidFill>
              <w14:schemeClr w14:val="tx1"/>
            </w14:solidFill>
          </w14:textFill>
        </w:rPr>
      </w:pPr>
    </w:p>
    <w:p>
      <w:pPr>
        <w:spacing w:before="60" w:after="60"/>
        <w:rPr>
          <w:color w:val="000000" w:themeColor="text1"/>
          <w:sz w:val="28"/>
          <w:szCs w:val="28"/>
          <w14:textFill>
            <w14:solidFill>
              <w14:schemeClr w14:val="tx1"/>
            </w14:solidFill>
          </w14:textFill>
        </w:rPr>
      </w:pPr>
    </w:p>
    <w:p>
      <w:pPr>
        <w:spacing w:before="60" w:after="60"/>
        <w:rPr>
          <w:color w:val="000000" w:themeColor="text1"/>
          <w:sz w:val="28"/>
          <w:szCs w:val="28"/>
          <w14:textFill>
            <w14:solidFill>
              <w14:schemeClr w14:val="tx1"/>
            </w14:solidFill>
          </w14:textFill>
        </w:rPr>
      </w:pPr>
    </w:p>
    <w:p>
      <w:pPr>
        <w:spacing w:before="60" w:after="60"/>
        <w:jc w:val="center"/>
        <w:rPr>
          <w:rFonts w:eastAsia="黑体"/>
          <w:b/>
          <w:color w:val="000000" w:themeColor="text1"/>
          <w:sz w:val="28"/>
          <w:szCs w:val="28"/>
          <w14:textFill>
            <w14:solidFill>
              <w14:schemeClr w14:val="tx1"/>
            </w14:solidFill>
          </w14:textFill>
        </w:rPr>
      </w:pPr>
      <w:r>
        <w:rPr>
          <w:rFonts w:eastAsia="黑体"/>
          <w:b/>
          <w:color w:val="000000" w:themeColor="text1"/>
          <w:spacing w:val="3"/>
          <w:w w:val="78"/>
          <w:kern w:val="0"/>
          <w:sz w:val="28"/>
          <w:szCs w:val="28"/>
          <w14:textFill>
            <w14:solidFill>
              <w14:schemeClr w14:val="tx1"/>
            </w14:solidFill>
          </w14:textFill>
        </w:rPr>
        <w:t>20</w:t>
      </w:r>
      <w:r>
        <w:rPr>
          <w:rFonts w:hint="eastAsia" w:eastAsia="黑体"/>
          <w:b/>
          <w:color w:val="000000" w:themeColor="text1"/>
          <w:spacing w:val="3"/>
          <w:w w:val="78"/>
          <w:kern w:val="0"/>
          <w:sz w:val="28"/>
          <w:szCs w:val="28"/>
          <w14:textFill>
            <w14:solidFill>
              <w14:schemeClr w14:val="tx1"/>
            </w14:solidFill>
          </w14:textFill>
        </w:rPr>
        <w:t>2</w:t>
      </w:r>
      <w:r>
        <w:rPr>
          <w:rFonts w:eastAsia="黑体"/>
          <w:b/>
          <w:color w:val="000000" w:themeColor="text1"/>
          <w:spacing w:val="3"/>
          <w:w w:val="78"/>
          <w:kern w:val="0"/>
          <w:sz w:val="28"/>
          <w:szCs w:val="28"/>
          <w14:textFill>
            <w14:solidFill>
              <w14:schemeClr w14:val="tx1"/>
            </w14:solidFill>
          </w14:textFill>
        </w:rPr>
        <w:t>×</w:t>
      </w:r>
      <w:r>
        <w:rPr>
          <w:rFonts w:hint="eastAsia" w:eastAsia="黑体"/>
          <w:b/>
          <w:color w:val="000000" w:themeColor="text1"/>
          <w:spacing w:val="3"/>
          <w:w w:val="78"/>
          <w:kern w:val="0"/>
          <w:sz w:val="28"/>
          <w:szCs w:val="28"/>
          <w14:textFill>
            <w14:solidFill>
              <w14:schemeClr w14:val="tx1"/>
            </w14:solidFill>
          </w14:textFill>
        </w:rPr>
        <w:t>－</w:t>
      </w:r>
      <w:r>
        <w:rPr>
          <w:rFonts w:eastAsia="黑体"/>
          <w:b/>
          <w:color w:val="000000" w:themeColor="text1"/>
          <w:spacing w:val="3"/>
          <w:w w:val="78"/>
          <w:kern w:val="0"/>
          <w:sz w:val="28"/>
          <w:szCs w:val="28"/>
          <w14:textFill>
            <w14:solidFill>
              <w14:schemeClr w14:val="tx1"/>
            </w14:solidFill>
          </w14:textFill>
        </w:rPr>
        <w:t>××</w:t>
      </w:r>
      <w:r>
        <w:rPr>
          <w:rFonts w:hint="eastAsia" w:eastAsia="黑体"/>
          <w:b/>
          <w:color w:val="000000" w:themeColor="text1"/>
          <w:spacing w:val="3"/>
          <w:w w:val="78"/>
          <w:kern w:val="0"/>
          <w:sz w:val="28"/>
          <w:szCs w:val="28"/>
          <w14:textFill>
            <w14:solidFill>
              <w14:schemeClr w14:val="tx1"/>
            </w14:solidFill>
          </w14:textFill>
        </w:rPr>
        <w:t>－</w:t>
      </w:r>
      <w:r>
        <w:rPr>
          <w:rFonts w:eastAsia="黑体"/>
          <w:b/>
          <w:color w:val="000000" w:themeColor="text1"/>
          <w:spacing w:val="3"/>
          <w:w w:val="78"/>
          <w:kern w:val="0"/>
          <w:sz w:val="28"/>
          <w:szCs w:val="28"/>
          <w14:textFill>
            <w14:solidFill>
              <w14:schemeClr w14:val="tx1"/>
            </w14:solidFill>
          </w14:textFill>
        </w:rPr>
        <w:t>××</w:t>
      </w:r>
      <w:r>
        <w:rPr>
          <w:rFonts w:hint="eastAsia" w:eastAsia="黑体"/>
          <w:b/>
          <w:color w:val="000000" w:themeColor="text1"/>
          <w:spacing w:val="3"/>
          <w:w w:val="78"/>
          <w:kern w:val="0"/>
          <w:sz w:val="28"/>
          <w:szCs w:val="28"/>
          <w14:textFill>
            <w14:solidFill>
              <w14:schemeClr w14:val="tx1"/>
            </w14:solidFill>
          </w14:textFill>
        </w:rPr>
        <w:t>发布</w:t>
      </w:r>
      <w:r>
        <w:rPr>
          <w:rFonts w:eastAsia="黑体"/>
          <w:b/>
          <w:color w:val="000000" w:themeColor="text1"/>
          <w:spacing w:val="3"/>
          <w:w w:val="78"/>
          <w:kern w:val="0"/>
          <w:sz w:val="28"/>
          <w:szCs w:val="28"/>
          <w14:textFill>
            <w14:solidFill>
              <w14:schemeClr w14:val="tx1"/>
            </w14:solidFill>
          </w14:textFill>
        </w:rPr>
        <w:t xml:space="preserve">                         20</w:t>
      </w:r>
      <w:r>
        <w:rPr>
          <w:rFonts w:hint="eastAsia" w:eastAsia="黑体"/>
          <w:b/>
          <w:color w:val="000000" w:themeColor="text1"/>
          <w:spacing w:val="3"/>
          <w:w w:val="78"/>
          <w:kern w:val="0"/>
          <w:sz w:val="28"/>
          <w:szCs w:val="28"/>
          <w14:textFill>
            <w14:solidFill>
              <w14:schemeClr w14:val="tx1"/>
            </w14:solidFill>
          </w14:textFill>
        </w:rPr>
        <w:t>2</w:t>
      </w:r>
      <w:r>
        <w:rPr>
          <w:rFonts w:eastAsia="黑体"/>
          <w:b/>
          <w:color w:val="000000" w:themeColor="text1"/>
          <w:spacing w:val="3"/>
          <w:w w:val="78"/>
          <w:kern w:val="0"/>
          <w:sz w:val="28"/>
          <w:szCs w:val="28"/>
          <w14:textFill>
            <w14:solidFill>
              <w14:schemeClr w14:val="tx1"/>
            </w14:solidFill>
          </w14:textFill>
        </w:rPr>
        <w:t>×</w:t>
      </w:r>
      <w:r>
        <w:rPr>
          <w:rFonts w:hint="eastAsia" w:eastAsia="黑体"/>
          <w:b/>
          <w:color w:val="000000" w:themeColor="text1"/>
          <w:spacing w:val="3"/>
          <w:w w:val="78"/>
          <w:kern w:val="0"/>
          <w:sz w:val="28"/>
          <w:szCs w:val="28"/>
          <w14:textFill>
            <w14:solidFill>
              <w14:schemeClr w14:val="tx1"/>
            </w14:solidFill>
          </w14:textFill>
        </w:rPr>
        <w:t>－</w:t>
      </w:r>
      <w:r>
        <w:rPr>
          <w:rFonts w:eastAsia="黑体"/>
          <w:b/>
          <w:color w:val="000000" w:themeColor="text1"/>
          <w:spacing w:val="3"/>
          <w:w w:val="78"/>
          <w:kern w:val="0"/>
          <w:sz w:val="28"/>
          <w:szCs w:val="28"/>
          <w14:textFill>
            <w14:solidFill>
              <w14:schemeClr w14:val="tx1"/>
            </w14:solidFill>
          </w14:textFill>
        </w:rPr>
        <w:t>××</w:t>
      </w:r>
      <w:r>
        <w:rPr>
          <w:rFonts w:hint="eastAsia" w:eastAsia="黑体"/>
          <w:b/>
          <w:color w:val="000000" w:themeColor="text1"/>
          <w:spacing w:val="3"/>
          <w:w w:val="78"/>
          <w:kern w:val="0"/>
          <w:sz w:val="28"/>
          <w:szCs w:val="28"/>
          <w14:textFill>
            <w14:solidFill>
              <w14:schemeClr w14:val="tx1"/>
            </w14:solidFill>
          </w14:textFill>
        </w:rPr>
        <w:t>－</w:t>
      </w:r>
      <w:r>
        <w:rPr>
          <w:rFonts w:eastAsia="黑体"/>
          <w:b/>
          <w:color w:val="000000" w:themeColor="text1"/>
          <w:spacing w:val="3"/>
          <w:w w:val="78"/>
          <w:kern w:val="0"/>
          <w:sz w:val="28"/>
          <w:szCs w:val="28"/>
          <w14:textFill>
            <w14:solidFill>
              <w14:schemeClr w14:val="tx1"/>
            </w14:solidFill>
          </w14:textFill>
        </w:rPr>
        <w:t>××</w:t>
      </w:r>
      <w:r>
        <w:rPr>
          <w:rFonts w:hint="eastAsia" w:eastAsia="黑体"/>
          <w:b/>
          <w:color w:val="000000" w:themeColor="text1"/>
          <w:spacing w:val="3"/>
          <w:w w:val="78"/>
          <w:kern w:val="0"/>
          <w:sz w:val="28"/>
          <w:szCs w:val="28"/>
          <w14:textFill>
            <w14:solidFill>
              <w14:schemeClr w14:val="tx1"/>
            </w14:solidFill>
          </w14:textFill>
        </w:rPr>
        <w:t>实</w:t>
      </w:r>
      <w:r>
        <w:rPr>
          <w:rFonts w:hint="eastAsia" w:eastAsia="黑体"/>
          <w:b/>
          <w:color w:val="000000" w:themeColor="text1"/>
          <w:spacing w:val="-31"/>
          <w:w w:val="78"/>
          <w:kern w:val="0"/>
          <w:sz w:val="28"/>
          <w:szCs w:val="28"/>
          <w14:textFill>
            <w14:solidFill>
              <w14:schemeClr w14:val="tx1"/>
            </w14:solidFill>
          </w14:textFill>
        </w:rPr>
        <w:t>施</w:t>
      </w:r>
    </w:p>
    <w:p>
      <w:pPr>
        <w:ind w:firstLine="420" w:firstLineChars="200"/>
        <w:jc w:val="left"/>
        <w:rPr>
          <w:rFonts w:ascii="黑体" w:eastAsia="黑体"/>
          <w:b/>
          <w:color w:val="000000" w:themeColor="text1"/>
          <w:spacing w:val="1"/>
          <w:kern w:val="0"/>
          <w:sz w:val="32"/>
          <w:szCs w:val="32"/>
          <w14:textFill>
            <w14:solidFill>
              <w14:schemeClr w14:val="tx1"/>
            </w14:solidFill>
          </w14:textFill>
        </w:rPr>
      </w:pPr>
      <w:r>
        <w:rPr>
          <w:rFonts w:ascii="Plotter" w:hAnsi="Plotter" w:cs="Plotter"/>
          <w:color w:val="000000" w:themeColor="text1"/>
          <w14:textFill>
            <w14:solidFill>
              <w14:schemeClr w14:val="tx1"/>
            </w14:solidFill>
          </w14:textFill>
        </w:rPr>
        <mc:AlternateContent>
          <mc:Choice Requires="wps">
            <w:drawing>
              <wp:anchor distT="0" distB="0" distL="114300" distR="114300" simplePos="0" relativeHeight="251661312" behindDoc="0" locked="0" layoutInCell="1" allowOverlap="1">
                <wp:simplePos x="0" y="0"/>
                <wp:positionH relativeFrom="column">
                  <wp:posOffset>-66040</wp:posOffset>
                </wp:positionH>
                <wp:positionV relativeFrom="paragraph">
                  <wp:posOffset>24765</wp:posOffset>
                </wp:positionV>
                <wp:extent cx="6200775" cy="0"/>
                <wp:effectExtent l="0" t="4445" r="0" b="5080"/>
                <wp:wrapNone/>
                <wp:docPr id="122" name="直接连接符 122"/>
                <wp:cNvGraphicFramePr/>
                <a:graphic xmlns:a="http://schemas.openxmlformats.org/drawingml/2006/main">
                  <a:graphicData uri="http://schemas.microsoft.com/office/word/2010/wordprocessingShape">
                    <wps:wsp>
                      <wps:cNvCnPr>
                        <a:cxnSpLocks noChangeShapeType="1"/>
                      </wps:cNvCnPr>
                      <wps:spPr bwMode="auto">
                        <a:xfrm>
                          <a:off x="0" y="0"/>
                          <a:ext cx="6200775" cy="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5.2pt;margin-top:1.95pt;height:0pt;width:488.25pt;z-index:251661312;mso-width-relative:page;mso-height-relative:page;" filled="f" stroked="t" coordsize="21600,21600" o:gfxdata="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MGxYCvV&#10;AAAABwEAAA8AAAAAAAAAAQAgAAAAIgAAAGRycy9kb3ducmV2LnhtbFBLAQIUABQAAAAIAIdO4kDu&#10;Tg6B6gEAALwDAAAOAAAAAAAAAAEAIAAAACQBAABkcnMvZTJvRG9jLnhtbFBLBQYAAAAABgAGAFkB&#10;AACABQAAAAA=&#10;">
                <v:fill on="f" focussize="0,0"/>
                <v:stroke color="#000000" joinstyle="round"/>
                <v:imagedata o:title=""/>
                <o:lock v:ext="edit" aspectratio="f"/>
              </v:line>
            </w:pict>
          </mc:Fallback>
        </mc:AlternateContent>
      </w:r>
      <w:r>
        <w:rPr>
          <w:rFonts w:ascii="黑体" w:eastAsia="黑体"/>
          <w:b/>
          <w:color w:val="000000" w:themeColor="text1"/>
          <w:kern w:val="0"/>
          <w:sz w:val="32"/>
          <w:szCs w:val="32"/>
          <w14:textFill>
            <w14:solidFill>
              <w14:schemeClr w14:val="tx1"/>
            </w14:solidFill>
          </w14:textFill>
        </w:rPr>
        <mc:AlternateContent>
          <mc:Choice Requires="wps">
            <w:drawing>
              <wp:anchor distT="45720" distB="45720" distL="114300" distR="114300" simplePos="0" relativeHeight="251663360" behindDoc="0" locked="0" layoutInCell="1" allowOverlap="1">
                <wp:simplePos x="0" y="0"/>
                <wp:positionH relativeFrom="column">
                  <wp:posOffset>3880485</wp:posOffset>
                </wp:positionH>
                <wp:positionV relativeFrom="paragraph">
                  <wp:posOffset>97155</wp:posOffset>
                </wp:positionV>
                <wp:extent cx="1410970" cy="631825"/>
                <wp:effectExtent l="0" t="0" r="0" b="0"/>
                <wp:wrapSquare wrapText="bothSides"/>
                <wp:docPr id="217" name="文本框 217"/>
                <wp:cNvGraphicFramePr/>
                <a:graphic xmlns:a="http://schemas.openxmlformats.org/drawingml/2006/main">
                  <a:graphicData uri="http://schemas.microsoft.com/office/word/2010/wordprocessingShape">
                    <wps:wsp>
                      <wps:cNvSpPr txBox="1">
                        <a:spLocks noChangeArrowheads="1"/>
                      </wps:cNvSpPr>
                      <wps:spPr bwMode="auto">
                        <a:xfrm>
                          <a:off x="0" y="0"/>
                          <a:ext cx="1410970" cy="1404620"/>
                        </a:xfrm>
                        <a:prstGeom prst="rect">
                          <a:avLst/>
                        </a:prstGeom>
                        <a:noFill/>
                        <a:ln w="9525">
                          <a:noFill/>
                          <a:miter lim="800000"/>
                        </a:ln>
                        <a:effectLst/>
                      </wps:spPr>
                      <wps:txbx>
                        <w:txbxContent>
                          <w:p>
                            <w:pPr>
                              <w:spacing w:before="60" w:after="60"/>
                            </w:pPr>
                            <w:r>
                              <w:rPr>
                                <w:rFonts w:hint="eastAsia" w:ascii="黑体" w:eastAsia="黑体"/>
                                <w:b/>
                                <w:sz w:val="32"/>
                                <w:szCs w:val="32"/>
                              </w:rPr>
                              <w:t xml:space="preserve"> 联</w:t>
                            </w:r>
                            <w:r>
                              <w:rPr>
                                <w:rFonts w:ascii="黑体" w:eastAsia="黑体"/>
                                <w:b/>
                                <w:sz w:val="32"/>
                                <w:szCs w:val="32"/>
                              </w:rPr>
                              <w:t>合</w:t>
                            </w:r>
                            <w:r>
                              <w:rPr>
                                <w:rFonts w:hint="eastAsia" w:ascii="黑体" w:eastAsia="黑体"/>
                                <w:b/>
                                <w:sz w:val="32"/>
                                <w:szCs w:val="32"/>
                              </w:rPr>
                              <w:t>发布</w:t>
                            </w:r>
                          </w:p>
                          <w:p>
                            <w:pPr>
                              <w:spacing w:before="60" w:after="60"/>
                            </w:pPr>
                          </w:p>
                        </w:txbxContent>
                      </wps:txbx>
                      <wps:bodyPr rot="0" vert="horz" wrap="square" lIns="91440" tIns="45720" rIns="91440" bIns="45720" anchor="t" anchorCtr="0">
                        <a:spAutoFit/>
                      </wps:bodyPr>
                    </wps:wsp>
                  </a:graphicData>
                </a:graphic>
                <wp14:sizeRelH relativeFrom="page">
                  <wp14:pctWidth>0</wp14:pctWidth>
                </wp14:sizeRelH>
                <wp14:sizeRelV relativeFrom="margin">
                  <wp14:pctHeight>20000</wp14:pctHeight>
                </wp14:sizeRelV>
              </wp:anchor>
            </w:drawing>
          </mc:Choice>
          <mc:Fallback>
            <w:pict>
              <v:shape id="_x0000_s1026" o:spid="_x0000_s1026" o:spt="202" type="#_x0000_t202" style="position:absolute;left:0pt;margin-left:305.55pt;margin-top:7.65pt;height:49.75pt;width:111.1pt;mso-wrap-distance-bottom:3.6pt;mso-wrap-distance-left:9pt;mso-wrap-distance-right:9pt;mso-wrap-distance-top:3.6pt;z-index:251663360;mso-width-relative:page;mso-height-relative:margin;mso-height-percent:200;" filled="f" stroked="f" coordsize="21600,21600" o:gfxdata="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QHiaf1wAAAAoBAAAPAAAAAAAAAAEAIAAAACIAAABkcnMvZG93bnJldi54bWxQSwEC&#10;FAAUAAAACACHTuJAN/Hrbi4CAAA8BAAADgAAAAAAAAABACAAAAAmAQAAZHJzL2Uyb0RvYy54bWxQ&#10;SwUGAAAAAAYABgBZAQAAxgUAAAAA&#10;">
                <v:fill on="f" focussize="0,0"/>
                <v:stroke on="f" miterlimit="8" joinstyle="miter"/>
                <v:imagedata o:title=""/>
                <o:lock v:ext="edit" aspectratio="f"/>
                <v:textbox style="mso-fit-shape-to-text:t;">
                  <w:txbxContent>
                    <w:p>
                      <w:pPr>
                        <w:spacing w:before="60" w:after="60"/>
                      </w:pPr>
                      <w:r>
                        <w:rPr>
                          <w:rFonts w:hint="eastAsia" w:ascii="黑体" w:eastAsia="黑体"/>
                          <w:b/>
                          <w:sz w:val="32"/>
                          <w:szCs w:val="32"/>
                        </w:rPr>
                        <w:t xml:space="preserve"> 联</w:t>
                      </w:r>
                      <w:r>
                        <w:rPr>
                          <w:rFonts w:ascii="黑体" w:eastAsia="黑体"/>
                          <w:b/>
                          <w:sz w:val="32"/>
                          <w:szCs w:val="32"/>
                        </w:rPr>
                        <w:t>合</w:t>
                      </w:r>
                      <w:r>
                        <w:rPr>
                          <w:rFonts w:hint="eastAsia" w:ascii="黑体" w:eastAsia="黑体"/>
                          <w:b/>
                          <w:sz w:val="32"/>
                          <w:szCs w:val="32"/>
                        </w:rPr>
                        <w:t>发布</w:t>
                      </w:r>
                    </w:p>
                    <w:p>
                      <w:pPr>
                        <w:spacing w:before="60" w:after="60"/>
                      </w:pPr>
                    </w:p>
                  </w:txbxContent>
                </v:textbox>
                <w10:wrap type="square"/>
              </v:shape>
            </w:pict>
          </mc:Fallback>
        </mc:AlternateContent>
      </w:r>
      <w:r>
        <w:rPr>
          <w:rFonts w:ascii="黑体" w:eastAsia="黑体"/>
          <w:b/>
          <w:color w:val="000000" w:themeColor="text1"/>
          <w:spacing w:val="2"/>
          <w:kern w:val="0"/>
          <w:sz w:val="32"/>
          <w:szCs w:val="32"/>
          <w14:textFill>
            <w14:solidFill>
              <w14:schemeClr w14:val="tx1"/>
            </w14:solidFill>
          </w14:textFill>
        </w:rPr>
        <w:t>北京市</w:t>
      </w:r>
      <w:r>
        <w:rPr>
          <w:rFonts w:hint="eastAsia" w:ascii="黑体" w:eastAsia="黑体"/>
          <w:b/>
          <w:color w:val="000000" w:themeColor="text1"/>
          <w:spacing w:val="2"/>
          <w:kern w:val="0"/>
          <w:sz w:val="32"/>
          <w:szCs w:val="32"/>
          <w14:textFill>
            <w14:solidFill>
              <w14:schemeClr w14:val="tx1"/>
            </w14:solidFill>
          </w14:textFill>
        </w:rPr>
        <w:t>住房和城乡</w:t>
      </w:r>
      <w:r>
        <w:rPr>
          <w:rFonts w:ascii="黑体" w:eastAsia="黑体"/>
          <w:b/>
          <w:color w:val="000000" w:themeColor="text1"/>
          <w:spacing w:val="2"/>
          <w:kern w:val="0"/>
          <w:sz w:val="32"/>
          <w:szCs w:val="32"/>
          <w14:textFill>
            <w14:solidFill>
              <w14:schemeClr w14:val="tx1"/>
            </w14:solidFill>
          </w14:textFill>
        </w:rPr>
        <w:t>建设委员</w:t>
      </w:r>
      <w:r>
        <w:rPr>
          <w:rFonts w:ascii="黑体" w:eastAsia="黑体"/>
          <w:b/>
          <w:color w:val="000000" w:themeColor="text1"/>
          <w:spacing w:val="-11"/>
          <w:kern w:val="0"/>
          <w:sz w:val="32"/>
          <w:szCs w:val="32"/>
          <w14:textFill>
            <w14:solidFill>
              <w14:schemeClr w14:val="tx1"/>
            </w14:solidFill>
          </w14:textFill>
        </w:rPr>
        <w:t>会</w:t>
      </w:r>
    </w:p>
    <w:p>
      <w:pPr>
        <w:ind w:firstLine="1143" w:firstLineChars="358"/>
        <w:rPr>
          <w:rFonts w:ascii="黑体" w:eastAsia="黑体"/>
          <w:b/>
          <w:color w:val="000000" w:themeColor="text1"/>
          <w:sz w:val="32"/>
          <w:szCs w:val="32"/>
          <w14:textFill>
            <w14:solidFill>
              <w14:schemeClr w14:val="tx1"/>
            </w14:solidFill>
          </w14:textFill>
        </w:rPr>
      </w:pPr>
      <w:r>
        <w:rPr>
          <w:rFonts w:hint="eastAsia" w:ascii="黑体" w:eastAsia="黑体"/>
          <w:b/>
          <w:color w:val="000000" w:themeColor="text1"/>
          <w:spacing w:val="12"/>
          <w:w w:val="92"/>
          <w:kern w:val="0"/>
          <w:sz w:val="32"/>
          <w:szCs w:val="32"/>
          <w14:textFill>
            <w14:solidFill>
              <w14:schemeClr w14:val="tx1"/>
            </w14:solidFill>
          </w14:textFill>
        </w:rPr>
        <w:t xml:space="preserve">北京市市场监督管理局 </w:t>
      </w:r>
      <w:r>
        <w:rPr>
          <w:rFonts w:hint="eastAsia" w:ascii="黑体" w:eastAsia="黑体"/>
          <w:b/>
          <w:color w:val="000000" w:themeColor="text1"/>
          <w:spacing w:val="3"/>
          <w:w w:val="92"/>
          <w:kern w:val="0"/>
          <w:sz w:val="32"/>
          <w:szCs w:val="32"/>
          <w14:textFill>
            <w14:solidFill>
              <w14:schemeClr w14:val="tx1"/>
            </w14:solidFill>
          </w14:textFill>
        </w:rPr>
        <w:t xml:space="preserve"> </w:t>
      </w:r>
      <w:r>
        <w:rPr>
          <w:rFonts w:hint="eastAsia" w:ascii="黑体" w:eastAsia="黑体"/>
          <w:b/>
          <w:color w:val="000000" w:themeColor="text1"/>
          <w:sz w:val="32"/>
          <w:szCs w:val="32"/>
          <w14:textFill>
            <w14:solidFill>
              <w14:schemeClr w14:val="tx1"/>
            </w14:solidFill>
          </w14:textFill>
        </w:rPr>
        <w:br w:type="page"/>
      </w:r>
    </w:p>
    <w:p>
      <w:pPr>
        <w:spacing w:before="60" w:after="60"/>
        <w:jc w:val="center"/>
        <w:rPr>
          <w:rFonts w:ascii="黑体" w:eastAsia="黑体"/>
          <w:b/>
          <w:color w:val="000000" w:themeColor="text1"/>
          <w:spacing w:val="14"/>
          <w:w w:val="92"/>
          <w:kern w:val="0"/>
          <w:sz w:val="32"/>
          <w:szCs w:val="32"/>
          <w14:textFill>
            <w14:solidFill>
              <w14:schemeClr w14:val="tx1"/>
            </w14:solidFill>
          </w14:textFill>
        </w:rPr>
      </w:pPr>
    </w:p>
    <w:p>
      <w:pPr>
        <w:spacing w:before="60" w:after="60"/>
        <w:jc w:val="center"/>
        <w:rPr>
          <w:rFonts w:ascii="黑体" w:eastAsia="黑体"/>
          <w:b/>
          <w:color w:val="000000" w:themeColor="text1"/>
          <w:sz w:val="32"/>
          <w:szCs w:val="32"/>
          <w14:textFill>
            <w14:solidFill>
              <w14:schemeClr w14:val="tx1"/>
            </w14:solidFill>
          </w14:textFill>
        </w:rPr>
      </w:pPr>
      <w:r>
        <w:rPr>
          <w:rFonts w:hint="eastAsia" w:ascii="黑体" w:eastAsia="黑体"/>
          <w:b/>
          <w:color w:val="000000" w:themeColor="text1"/>
          <w:spacing w:val="14"/>
          <w:w w:val="92"/>
          <w:kern w:val="0"/>
          <w:sz w:val="32"/>
          <w:szCs w:val="32"/>
          <w14:textFill>
            <w14:solidFill>
              <w14:schemeClr w14:val="tx1"/>
            </w14:solidFill>
          </w14:textFill>
        </w:rPr>
        <w:t>北京市地方标</w:t>
      </w:r>
      <w:r>
        <w:rPr>
          <w:rFonts w:hint="eastAsia" w:ascii="黑体" w:eastAsia="黑体"/>
          <w:b/>
          <w:color w:val="000000" w:themeColor="text1"/>
          <w:spacing w:val="4"/>
          <w:w w:val="92"/>
          <w:kern w:val="0"/>
          <w:sz w:val="32"/>
          <w:szCs w:val="32"/>
          <w14:textFill>
            <w14:solidFill>
              <w14:schemeClr w14:val="tx1"/>
            </w14:solidFill>
          </w14:textFill>
        </w:rPr>
        <w:t>准</w:t>
      </w:r>
    </w:p>
    <w:p>
      <w:pPr>
        <w:spacing w:before="60" w:after="60"/>
        <w:jc w:val="center"/>
        <w:rPr>
          <w:rFonts w:ascii="黑体" w:eastAsia="黑体"/>
          <w:b/>
          <w:color w:val="000000" w:themeColor="text1"/>
          <w:sz w:val="32"/>
          <w:szCs w:val="32"/>
          <w14:textFill>
            <w14:solidFill>
              <w14:schemeClr w14:val="tx1"/>
            </w14:solidFill>
          </w14:textFill>
        </w:rPr>
      </w:pPr>
    </w:p>
    <w:p>
      <w:pPr>
        <w:spacing w:before="60" w:after="60"/>
        <w:jc w:val="center"/>
        <w:rPr>
          <w:rFonts w:ascii="黑体" w:eastAsia="黑体"/>
          <w:b/>
          <w:color w:val="000000" w:themeColor="text1"/>
          <w:sz w:val="32"/>
          <w:szCs w:val="32"/>
          <w14:textFill>
            <w14:solidFill>
              <w14:schemeClr w14:val="tx1"/>
            </w14:solidFill>
          </w14:textFill>
        </w:rPr>
      </w:pPr>
    </w:p>
    <w:p>
      <w:pPr>
        <w:spacing w:before="60" w:after="60" w:line="480" w:lineRule="exact"/>
        <w:jc w:val="center"/>
        <w:rPr>
          <w:rFonts w:eastAsia="黑体"/>
          <w:color w:val="000000" w:themeColor="text1"/>
          <w:w w:val="98"/>
          <w:kern w:val="0"/>
          <w:sz w:val="28"/>
          <w:szCs w:val="28"/>
          <w14:textFill>
            <w14:solidFill>
              <w14:schemeClr w14:val="tx1"/>
            </w14:solidFill>
          </w14:textFill>
        </w:rPr>
      </w:pPr>
      <w:r>
        <w:rPr>
          <w:rFonts w:hint="eastAsia" w:ascii="黑体" w:eastAsia="黑体"/>
          <w:color w:val="000000" w:themeColor="text1"/>
          <w:spacing w:val="1"/>
          <w:w w:val="96"/>
          <w:kern w:val="0"/>
          <w:sz w:val="44"/>
          <w:szCs w:val="44"/>
          <w14:textFill>
            <w14:solidFill>
              <w14:schemeClr w14:val="tx1"/>
            </w14:solidFill>
          </w14:textFill>
        </w:rPr>
        <w:t>城市轨道交通工程浅埋暗挖法施工技术规程</w:t>
      </w:r>
      <w:r>
        <w:rPr>
          <w:rFonts w:hint="eastAsia" w:eastAsia="黑体"/>
          <w:color w:val="000000" w:themeColor="text1"/>
          <w:w w:val="83"/>
          <w:kern w:val="0"/>
          <w:sz w:val="28"/>
          <w:szCs w:val="28"/>
          <w14:textFill>
            <w14:solidFill>
              <w14:schemeClr w14:val="tx1"/>
            </w14:solidFill>
          </w14:textFill>
        </w:rPr>
        <w:t>The technical specification for shallow tunneling method in urban rail</w:t>
      </w:r>
      <w:r>
        <w:rPr>
          <w:rFonts w:hint="eastAsia" w:eastAsia="黑体"/>
          <w:color w:val="000000" w:themeColor="text1"/>
          <w:spacing w:val="67"/>
          <w:w w:val="68"/>
          <w:kern w:val="0"/>
          <w:sz w:val="28"/>
          <w:szCs w:val="28"/>
          <w14:textFill>
            <w14:solidFill>
              <w14:schemeClr w14:val="tx1"/>
            </w14:solidFill>
          </w14:textFill>
        </w:rPr>
        <w:t xml:space="preserve"> </w:t>
      </w:r>
    </w:p>
    <w:p>
      <w:pPr>
        <w:spacing w:line="240" w:lineRule="exact"/>
        <w:jc w:val="center"/>
        <w:rPr>
          <w:rFonts w:eastAsia="黑体"/>
          <w:color w:val="000000" w:themeColor="text1"/>
          <w:w w:val="83"/>
          <w:kern w:val="0"/>
          <w:sz w:val="28"/>
          <w:szCs w:val="28"/>
          <w14:textFill>
            <w14:solidFill>
              <w14:schemeClr w14:val="tx1"/>
            </w14:solidFill>
          </w14:textFill>
        </w:rPr>
      </w:pPr>
      <w:r>
        <w:rPr>
          <w:rFonts w:hint="eastAsia" w:eastAsia="黑体"/>
          <w:color w:val="000000" w:themeColor="text1"/>
          <w:w w:val="83"/>
          <w:kern w:val="0"/>
          <w:sz w:val="28"/>
          <w:szCs w:val="28"/>
          <w14:textFill>
            <w14:solidFill>
              <w14:schemeClr w14:val="tx1"/>
            </w14:solidFill>
          </w14:textFill>
        </w:rPr>
        <w:t>transit engineering</w:t>
      </w:r>
    </w:p>
    <w:p>
      <w:pPr>
        <w:spacing w:before="60" w:after="60"/>
        <w:ind w:firstLine="3759" w:firstLineChars="1800"/>
        <w:rPr>
          <w:rFonts w:ascii="黑体" w:eastAsia="黑体"/>
          <w:b/>
          <w:color w:val="000000" w:themeColor="text1"/>
          <w:spacing w:val="11"/>
          <w:w w:val="89"/>
          <w:kern w:val="0"/>
          <w14:textFill>
            <w14:solidFill>
              <w14:schemeClr w14:val="tx1"/>
            </w14:solidFill>
          </w14:textFill>
        </w:rPr>
      </w:pPr>
    </w:p>
    <w:p>
      <w:pPr>
        <w:spacing w:before="60" w:after="60"/>
        <w:ind w:firstLine="3759" w:firstLineChars="1800"/>
        <w:rPr>
          <w:rFonts w:ascii="黑体" w:eastAsia="黑体"/>
          <w:b/>
          <w:color w:val="000000" w:themeColor="text1"/>
          <w:spacing w:val="11"/>
          <w:w w:val="89"/>
          <w:kern w:val="0"/>
          <w14:textFill>
            <w14:solidFill>
              <w14:schemeClr w14:val="tx1"/>
            </w14:solidFill>
          </w14:textFill>
        </w:rPr>
      </w:pPr>
    </w:p>
    <w:p>
      <w:pPr>
        <w:spacing w:before="60" w:after="60"/>
        <w:ind w:firstLine="3759" w:firstLineChars="1800"/>
        <w:rPr>
          <w:rFonts w:ascii="黑体" w:eastAsia="黑体"/>
          <w:b/>
          <w:color w:val="000000" w:themeColor="text1"/>
          <w:spacing w:val="11"/>
          <w:w w:val="89"/>
          <w:kern w:val="0"/>
          <w14:textFill>
            <w14:solidFill>
              <w14:schemeClr w14:val="tx1"/>
            </w14:solidFill>
          </w14:textFill>
        </w:rPr>
      </w:pPr>
    </w:p>
    <w:p>
      <w:pPr>
        <w:spacing w:before="60" w:after="60"/>
        <w:ind w:firstLine="3759" w:firstLineChars="1800"/>
        <w:rPr>
          <w:rFonts w:ascii="黑体" w:eastAsia="黑体"/>
          <w:b/>
          <w:color w:val="000000" w:themeColor="text1"/>
          <w:spacing w:val="11"/>
          <w:w w:val="89"/>
          <w:kern w:val="0"/>
          <w14:textFill>
            <w14:solidFill>
              <w14:schemeClr w14:val="tx1"/>
            </w14:solidFill>
          </w14:textFill>
        </w:rPr>
      </w:pPr>
    </w:p>
    <w:p>
      <w:pPr>
        <w:spacing w:before="60" w:after="60"/>
        <w:ind w:firstLine="2951" w:firstLineChars="1413"/>
        <w:rPr>
          <w:rFonts w:ascii="黑体" w:eastAsia="黑体"/>
          <w:b/>
          <w:color w:val="000000" w:themeColor="text1"/>
          <w14:textFill>
            <w14:solidFill>
              <w14:schemeClr w14:val="tx1"/>
            </w14:solidFill>
          </w14:textFill>
        </w:rPr>
      </w:pPr>
      <w:r>
        <w:rPr>
          <w:rFonts w:hint="eastAsia" w:ascii="黑体" w:eastAsia="黑体"/>
          <w:b/>
          <w:color w:val="000000" w:themeColor="text1"/>
          <w:spacing w:val="11"/>
          <w:w w:val="89"/>
          <w:kern w:val="0"/>
          <w14:textFill>
            <w14:solidFill>
              <w14:schemeClr w14:val="tx1"/>
            </w14:solidFill>
          </w14:textFill>
        </w:rPr>
        <w:t>编  号：DB</w:t>
      </w:r>
      <w:r>
        <w:rPr>
          <w:rFonts w:ascii="黑体" w:eastAsia="黑体"/>
          <w:b/>
          <w:color w:val="000000" w:themeColor="text1"/>
          <w:spacing w:val="11"/>
          <w:w w:val="89"/>
          <w:kern w:val="0"/>
          <w14:textFill>
            <w14:solidFill>
              <w14:schemeClr w14:val="tx1"/>
            </w14:solidFill>
          </w14:textFill>
        </w:rPr>
        <w:t>11</w:t>
      </w:r>
      <w:r>
        <w:rPr>
          <w:rFonts w:hint="eastAsia" w:ascii="黑体" w:eastAsia="黑体"/>
          <w:b/>
          <w:color w:val="000000" w:themeColor="text1"/>
          <w:spacing w:val="11"/>
          <w:w w:val="89"/>
          <w:kern w:val="0"/>
          <w14:textFill>
            <w14:solidFill>
              <w14:schemeClr w14:val="tx1"/>
            </w14:solidFill>
          </w14:textFill>
        </w:rPr>
        <w:t>/XXXX-201</w:t>
      </w:r>
      <w:r>
        <w:rPr>
          <w:rFonts w:hint="eastAsia" w:ascii="黑体" w:eastAsia="黑体"/>
          <w:b/>
          <w:color w:val="000000" w:themeColor="text1"/>
          <w:spacing w:val="1"/>
          <w:w w:val="89"/>
          <w:kern w:val="0"/>
          <w14:textFill>
            <w14:solidFill>
              <w14:schemeClr w14:val="tx1"/>
            </w14:solidFill>
          </w14:textFill>
        </w:rPr>
        <w:t>X</w:t>
      </w:r>
    </w:p>
    <w:p>
      <w:pPr>
        <w:spacing w:before="60" w:after="60"/>
        <w:ind w:firstLine="2965" w:firstLineChars="1413"/>
        <w:rPr>
          <w:color w:val="000000" w:themeColor="text1"/>
          <w:spacing w:val="9"/>
          <w:w w:val="93"/>
          <w:kern w:val="0"/>
          <w14:textFill>
            <w14:solidFill>
              <w14:schemeClr w14:val="tx1"/>
            </w14:solidFill>
          </w14:textFill>
        </w:rPr>
      </w:pPr>
      <w:r>
        <w:rPr>
          <w:rFonts w:ascii="黑体" w:eastAsia="黑体"/>
          <w:b/>
          <w:color w:val="000000" w:themeColor="text1"/>
          <w:spacing w:val="7"/>
          <w:w w:val="93"/>
          <w:kern w:val="0"/>
          <w14:textFill>
            <w14:solidFill>
              <w14:schemeClr w14:val="tx1"/>
            </w14:solidFill>
          </w14:textFill>
        </w:rPr>
        <w:t>备案号：</w:t>
      </w:r>
      <w:r>
        <w:rPr>
          <w:rFonts w:hint="eastAsia" w:ascii="黑体" w:eastAsia="黑体"/>
          <w:b/>
          <w:color w:val="000000" w:themeColor="text1"/>
          <w:spacing w:val="7"/>
          <w:w w:val="93"/>
          <w:kern w:val="0"/>
          <w14:textFill>
            <w14:solidFill>
              <w14:schemeClr w14:val="tx1"/>
            </w14:solidFill>
          </w14:textFill>
        </w:rPr>
        <w:t>J</w:t>
      </w:r>
      <w:r>
        <w:rPr>
          <w:rFonts w:hint="eastAsia"/>
          <w:color w:val="000000" w:themeColor="text1"/>
          <w:spacing w:val="7"/>
          <w:w w:val="93"/>
          <w:kern w:val="0"/>
          <w14:textFill>
            <w14:solidFill>
              <w14:schemeClr w14:val="tx1"/>
            </w14:solidFill>
          </w14:textFill>
        </w:rPr>
        <w:t>×</w:t>
      </w:r>
      <w:r>
        <w:rPr>
          <w:rFonts w:hint="eastAsia" w:ascii="黑体" w:eastAsia="黑体"/>
          <w:b/>
          <w:color w:val="000000" w:themeColor="text1"/>
          <w:spacing w:val="7"/>
          <w:w w:val="93"/>
          <w:kern w:val="0"/>
          <w14:textFill>
            <w14:solidFill>
              <w14:schemeClr w14:val="tx1"/>
            </w14:solidFill>
          </w14:textFill>
        </w:rPr>
        <w:t xml:space="preserve">   -202</w:t>
      </w:r>
      <w:r>
        <w:rPr>
          <w:rFonts w:hint="eastAsia"/>
          <w:color w:val="000000" w:themeColor="text1"/>
          <w:spacing w:val="9"/>
          <w:w w:val="93"/>
          <w:kern w:val="0"/>
          <w14:textFill>
            <w14:solidFill>
              <w14:schemeClr w14:val="tx1"/>
            </w14:solidFill>
          </w14:textFill>
        </w:rPr>
        <w:t>×</w:t>
      </w:r>
    </w:p>
    <w:p>
      <w:pPr>
        <w:spacing w:before="60" w:after="60"/>
        <w:ind w:firstLine="3009" w:firstLineChars="1413"/>
        <w:rPr>
          <w:color w:val="000000" w:themeColor="text1"/>
          <w:spacing w:val="9"/>
          <w:w w:val="93"/>
          <w:kern w:val="0"/>
          <w14:textFill>
            <w14:solidFill>
              <w14:schemeClr w14:val="tx1"/>
            </w14:solidFill>
          </w14:textFill>
        </w:rPr>
      </w:pPr>
    </w:p>
    <w:p>
      <w:pPr>
        <w:spacing w:before="60" w:after="60"/>
        <w:ind w:firstLine="3009" w:firstLineChars="1413"/>
        <w:rPr>
          <w:color w:val="000000" w:themeColor="text1"/>
          <w:spacing w:val="9"/>
          <w:w w:val="93"/>
          <w:kern w:val="0"/>
          <w14:textFill>
            <w14:solidFill>
              <w14:schemeClr w14:val="tx1"/>
            </w14:solidFill>
          </w14:textFill>
        </w:rPr>
      </w:pPr>
    </w:p>
    <w:p>
      <w:pPr>
        <w:spacing w:before="60" w:after="60"/>
        <w:ind w:firstLine="3009" w:firstLineChars="1413"/>
        <w:rPr>
          <w:color w:val="000000" w:themeColor="text1"/>
          <w:spacing w:val="9"/>
          <w:w w:val="93"/>
          <w:kern w:val="0"/>
          <w14:textFill>
            <w14:solidFill>
              <w14:schemeClr w14:val="tx1"/>
            </w14:solidFill>
          </w14:textFill>
        </w:rPr>
      </w:pPr>
    </w:p>
    <w:p>
      <w:pPr>
        <w:spacing w:before="60" w:after="60"/>
        <w:ind w:firstLine="3009" w:firstLineChars="1413"/>
        <w:rPr>
          <w:color w:val="000000" w:themeColor="text1"/>
          <w:spacing w:val="9"/>
          <w:w w:val="93"/>
          <w:kern w:val="0"/>
          <w14:textFill>
            <w14:solidFill>
              <w14:schemeClr w14:val="tx1"/>
            </w14:solidFill>
          </w14:textFill>
        </w:rPr>
      </w:pPr>
    </w:p>
    <w:p>
      <w:pPr>
        <w:spacing w:before="60" w:after="60"/>
        <w:ind w:firstLine="2100" w:firstLineChars="1000"/>
        <w:rPr>
          <w:color w:val="000000" w:themeColor="text1"/>
          <w:kern w:val="0"/>
          <w14:textFill>
            <w14:solidFill>
              <w14:schemeClr w14:val="tx1"/>
            </w14:solidFill>
          </w14:textFill>
        </w:rPr>
      </w:pPr>
      <w:r>
        <w:rPr>
          <w:rFonts w:hint="eastAsia"/>
          <w:color w:val="000000" w:themeColor="text1"/>
          <w:kern w:val="0"/>
          <w14:textFill>
            <w14:solidFill>
              <w14:schemeClr w14:val="tx1"/>
            </w14:solidFill>
          </w14:textFill>
        </w:rPr>
        <w:t>主</w:t>
      </w:r>
      <w:r>
        <w:rPr>
          <w:color w:val="000000" w:themeColor="text1"/>
          <w:kern w:val="0"/>
          <w14:textFill>
            <w14:solidFill>
              <w14:schemeClr w14:val="tx1"/>
            </w14:solidFill>
          </w14:textFill>
        </w:rPr>
        <w:t>编部门：</w:t>
      </w:r>
      <w:r>
        <w:rPr>
          <w:rFonts w:hint="eastAsia"/>
          <w:color w:val="000000" w:themeColor="text1"/>
          <w:kern w:val="0"/>
          <w14:textFill>
            <w14:solidFill>
              <w14:schemeClr w14:val="tx1"/>
            </w14:solidFill>
          </w14:textFill>
        </w:rPr>
        <w:t>北京易成市政工程有限责任公司</w:t>
      </w:r>
    </w:p>
    <w:p>
      <w:pPr>
        <w:spacing w:before="60" w:after="60"/>
        <w:ind w:firstLine="2100" w:firstLineChars="1000"/>
        <w:rPr>
          <w:color w:val="000000" w:themeColor="text1"/>
          <w14:textFill>
            <w14:solidFill>
              <w14:schemeClr w14:val="tx1"/>
            </w14:solidFill>
          </w14:textFill>
        </w:rPr>
      </w:pPr>
      <w:r>
        <w:rPr>
          <w:rFonts w:hint="eastAsia"/>
          <w:color w:val="000000" w:themeColor="text1"/>
          <w:kern w:val="0"/>
          <w14:textFill>
            <w14:solidFill>
              <w14:schemeClr w14:val="tx1"/>
            </w14:solidFill>
          </w14:textFill>
        </w:rPr>
        <w:t>批准部门：北京市市场监督管理局</w:t>
      </w:r>
    </w:p>
    <w:p>
      <w:pPr>
        <w:spacing w:before="60" w:after="60"/>
        <w:ind w:firstLine="2100" w:firstLineChars="1000"/>
        <w:rPr>
          <w:color w:val="000000" w:themeColor="text1"/>
          <w14:textFill>
            <w14:solidFill>
              <w14:schemeClr w14:val="tx1"/>
            </w14:solidFill>
          </w14:textFill>
        </w:rPr>
      </w:pPr>
      <w:r>
        <w:rPr>
          <w:rFonts w:hint="eastAsia"/>
          <w:color w:val="000000" w:themeColor="text1"/>
          <w:kern w:val="0"/>
          <w14:textFill>
            <w14:solidFill>
              <w14:schemeClr w14:val="tx1"/>
            </w14:solidFill>
          </w14:textFill>
        </w:rPr>
        <w:t>施行日期：20××年×月×日</w:t>
      </w:r>
    </w:p>
    <w:p>
      <w:pPr>
        <w:spacing w:before="60" w:after="60"/>
        <w:rPr>
          <w:rFonts w:ascii="黑体" w:eastAsia="黑体"/>
          <w:b/>
          <w:color w:val="000000" w:themeColor="text1"/>
          <w:sz w:val="32"/>
          <w:szCs w:val="32"/>
          <w14:textFill>
            <w14:solidFill>
              <w14:schemeClr w14:val="tx1"/>
            </w14:solidFill>
          </w14:textFill>
        </w:rPr>
      </w:pPr>
    </w:p>
    <w:p>
      <w:pPr>
        <w:spacing w:before="60" w:after="60"/>
        <w:rPr>
          <w:rFonts w:ascii="黑体" w:eastAsia="黑体"/>
          <w:b/>
          <w:color w:val="000000" w:themeColor="text1"/>
          <w:sz w:val="32"/>
          <w:szCs w:val="32"/>
          <w14:textFill>
            <w14:solidFill>
              <w14:schemeClr w14:val="tx1"/>
            </w14:solidFill>
          </w14:textFill>
        </w:rPr>
      </w:pPr>
    </w:p>
    <w:p>
      <w:pPr>
        <w:spacing w:before="60" w:after="60"/>
        <w:rPr>
          <w:rFonts w:ascii="黑体" w:eastAsia="黑体"/>
          <w:b/>
          <w:color w:val="000000" w:themeColor="text1"/>
          <w:sz w:val="32"/>
          <w:szCs w:val="32"/>
          <w14:textFill>
            <w14:solidFill>
              <w14:schemeClr w14:val="tx1"/>
            </w14:solidFill>
          </w14:textFill>
        </w:rPr>
      </w:pPr>
    </w:p>
    <w:p>
      <w:pPr>
        <w:spacing w:before="60" w:after="60"/>
        <w:rPr>
          <w:rFonts w:ascii="黑体" w:eastAsia="黑体"/>
          <w:b/>
          <w:color w:val="000000" w:themeColor="text1"/>
          <w:sz w:val="32"/>
          <w:szCs w:val="32"/>
          <w14:textFill>
            <w14:solidFill>
              <w14:schemeClr w14:val="tx1"/>
            </w14:solidFill>
          </w14:textFill>
        </w:rPr>
      </w:pPr>
    </w:p>
    <w:p>
      <w:pPr>
        <w:spacing w:before="60" w:after="60"/>
        <w:rPr>
          <w:rFonts w:ascii="黑体" w:eastAsia="黑体"/>
          <w:b/>
          <w:color w:val="000000" w:themeColor="text1"/>
          <w:sz w:val="32"/>
          <w:szCs w:val="32"/>
          <w14:textFill>
            <w14:solidFill>
              <w14:schemeClr w14:val="tx1"/>
            </w14:solidFill>
          </w14:textFill>
        </w:rPr>
      </w:pPr>
    </w:p>
    <w:p>
      <w:pPr>
        <w:pStyle w:val="10"/>
        <w:tabs>
          <w:tab w:val="left" w:pos="360"/>
          <w:tab w:val="right" w:leader="dot" w:pos="8296"/>
        </w:tabs>
        <w:adjustRightInd w:val="0"/>
        <w:snapToGrid w:val="0"/>
        <w:jc w:val="center"/>
        <w:rPr>
          <w:color w:val="000000" w:themeColor="text1"/>
          <w:spacing w:val="136"/>
          <w:kern w:val="0"/>
          <w:sz w:val="22"/>
          <w14:textFill>
            <w14:solidFill>
              <w14:schemeClr w14:val="tx1"/>
            </w14:solidFill>
          </w14:textFill>
        </w:rPr>
      </w:pPr>
      <w:r>
        <w:rPr>
          <w:rFonts w:eastAsia="黑体"/>
          <w:color w:val="000000" w:themeColor="text1"/>
          <w:spacing w:val="3"/>
          <w:w w:val="94"/>
          <w:kern w:val="0"/>
          <w14:textFill>
            <w14:solidFill>
              <w14:schemeClr w14:val="tx1"/>
            </w14:solidFill>
          </w14:textFill>
        </w:rPr>
        <w:t>20</w:t>
      </w:r>
      <w:r>
        <w:rPr>
          <w:rFonts w:hint="eastAsia" w:eastAsia="黑体"/>
          <w:color w:val="000000" w:themeColor="text1"/>
          <w:spacing w:val="3"/>
          <w:w w:val="94"/>
          <w:kern w:val="0"/>
          <w14:textFill>
            <w14:solidFill>
              <w14:schemeClr w14:val="tx1"/>
            </w14:solidFill>
          </w14:textFill>
        </w:rPr>
        <w:t>2</w:t>
      </w:r>
      <w:r>
        <w:rPr>
          <w:rFonts w:eastAsia="黑体"/>
          <w:color w:val="000000" w:themeColor="text1"/>
          <w:spacing w:val="3"/>
          <w:w w:val="94"/>
          <w:kern w:val="0"/>
          <w:sz w:val="28"/>
          <w:szCs w:val="28"/>
          <w14:textFill>
            <w14:solidFill>
              <w14:schemeClr w14:val="tx1"/>
            </w14:solidFill>
          </w14:textFill>
        </w:rPr>
        <w:t>×</w:t>
      </w:r>
      <w:r>
        <w:rPr>
          <w:rFonts w:eastAsia="黑体"/>
          <w:color w:val="000000" w:themeColor="text1"/>
          <w:spacing w:val="3"/>
          <w:w w:val="94"/>
          <w:kern w:val="0"/>
          <w14:textFill>
            <w14:solidFill>
              <w14:schemeClr w14:val="tx1"/>
            </w14:solidFill>
          </w14:textFill>
        </w:rPr>
        <w:t xml:space="preserve"> 北</w:t>
      </w:r>
      <w:r>
        <w:rPr>
          <w:rFonts w:eastAsia="黑体"/>
          <w:color w:val="000000" w:themeColor="text1"/>
          <w:w w:val="94"/>
          <w:kern w:val="0"/>
          <w14:textFill>
            <w14:solidFill>
              <w14:schemeClr w14:val="tx1"/>
            </w14:solidFill>
          </w14:textFill>
        </w:rPr>
        <w:t>京</w:t>
      </w: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sz w:val="24"/>
          <w:szCs w:val="32"/>
          <w14:textFill>
            <w14:solidFill>
              <w14:schemeClr w14:val="tx1"/>
            </w14:solidFill>
          </w14:textFill>
        </w:rPr>
      </w:pPr>
    </w:p>
    <w:bookmarkEnd w:id="0"/>
    <w:bookmarkEnd w:id="1"/>
    <w:bookmarkEnd w:id="2"/>
    <w:p>
      <w:pPr>
        <w:pStyle w:val="2"/>
        <w:adjustRightInd w:val="0"/>
        <w:snapToGrid w:val="0"/>
        <w:spacing w:before="78" w:beforeLines="25" w:after="312" w:afterLines="100" w:line="360" w:lineRule="auto"/>
        <w:jc w:val="center"/>
        <w:rPr>
          <w:rFonts w:ascii="宋体" w:hAnsi="宋体" w:cs="宋体"/>
          <w:color w:val="000000" w:themeColor="text1"/>
          <w:sz w:val="24"/>
          <w14:textFill>
            <w14:solidFill>
              <w14:schemeClr w14:val="tx1"/>
            </w14:solidFill>
          </w14:textFill>
        </w:rPr>
      </w:pPr>
      <w:bookmarkStart w:id="4" w:name="_Toc15061996"/>
      <w:bookmarkStart w:id="5" w:name="_Toc23540"/>
      <w:bookmarkStart w:id="6" w:name="_Toc15056483"/>
      <w:bookmarkStart w:id="7" w:name="_Toc15038543"/>
      <w:bookmarkStart w:id="8" w:name="_Toc5788"/>
      <w:bookmarkStart w:id="9" w:name="_Toc16377"/>
      <w:bookmarkStart w:id="10" w:name="_Toc18731"/>
      <w:bookmarkStart w:id="11" w:name="_Toc15069272"/>
      <w:bookmarkStart w:id="12" w:name="_Toc20404"/>
      <w:bookmarkStart w:id="13" w:name="_Toc15056243"/>
      <w:bookmarkStart w:id="14" w:name="_Toc31347"/>
      <w:bookmarkStart w:id="15" w:name="_Toc10000"/>
      <w:bookmarkStart w:id="16" w:name="_Toc21506031"/>
      <w:bookmarkStart w:id="17" w:name="_Toc15040184"/>
      <w:r>
        <w:rPr>
          <w:rFonts w:hint="eastAsia" w:ascii="宋体" w:hAnsi="宋体" w:cs="宋体"/>
          <w:color w:val="000000" w:themeColor="text1"/>
          <w:sz w:val="32"/>
          <w:szCs w:val="32"/>
          <w14:textFill>
            <w14:solidFill>
              <w14:schemeClr w14:val="tx1"/>
            </w14:solidFill>
          </w14:textFill>
        </w:rPr>
        <w:t>前    言</w:t>
      </w:r>
      <w:bookmarkEnd w:id="4"/>
      <w:bookmarkEnd w:id="5"/>
      <w:bookmarkEnd w:id="6"/>
      <w:bookmarkEnd w:id="7"/>
      <w:bookmarkEnd w:id="8"/>
      <w:bookmarkEnd w:id="9"/>
      <w:bookmarkEnd w:id="10"/>
      <w:bookmarkEnd w:id="11"/>
      <w:bookmarkEnd w:id="12"/>
      <w:bookmarkEnd w:id="13"/>
      <w:bookmarkEnd w:id="14"/>
      <w:bookmarkEnd w:id="15"/>
      <w:bookmarkEnd w:id="16"/>
      <w:bookmarkEnd w:id="17"/>
    </w:p>
    <w:p>
      <w:pPr>
        <w:adjustRightInd w:val="0"/>
        <w:snapToGrid w:val="0"/>
        <w:spacing w:line="360" w:lineRule="auto"/>
        <w:ind w:firstLine="420"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根据北京市市场监督管理局《2020年北京市地方标准制修订项目计划》（京市监发[2020]19号）的要求，规程编制组经广泛调查研究，认真总结实践经验，参考国内相关标准，并在广泛征求意见的基础上，制定本规程。</w:t>
      </w:r>
    </w:p>
    <w:p>
      <w:pPr>
        <w:adjustRightInd w:val="0"/>
        <w:snapToGrid w:val="0"/>
        <w:spacing w:line="360" w:lineRule="auto"/>
        <w:ind w:firstLine="420" w:firstLineChars="20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本规程主要技术内容是：1总则；2术语；3基本规定；4施工准备；5施工测量；6地下水控制；7超前预支护和地层加固；8</w:t>
      </w:r>
      <w:r>
        <w:rPr>
          <w:rFonts w:hint="eastAsia"/>
          <w:color w:val="000000" w:themeColor="text1"/>
          <w:szCs w:val="28"/>
          <w14:textFill>
            <w14:solidFill>
              <w14:schemeClr w14:val="tx1"/>
            </w14:solidFill>
          </w14:textFill>
        </w:rPr>
        <w:t>原材料和构配件</w:t>
      </w:r>
      <w:r>
        <w:rPr>
          <w:rFonts w:hint="eastAsia" w:ascii="宋体" w:hAnsi="宋体" w:cs="宋体"/>
          <w:color w:val="000000" w:themeColor="text1"/>
          <w:szCs w:val="21"/>
          <w14:textFill>
            <w14:solidFill>
              <w14:schemeClr w14:val="tx1"/>
            </w14:solidFill>
          </w14:textFill>
        </w:rPr>
        <w:t>；9</w:t>
      </w:r>
      <w:r>
        <w:rPr>
          <w:rFonts w:hint="eastAsia"/>
          <w:color w:val="000000" w:themeColor="text1"/>
          <w:szCs w:val="28"/>
          <w14:textFill>
            <w14:solidFill>
              <w14:schemeClr w14:val="tx1"/>
            </w14:solidFill>
          </w14:textFill>
        </w:rPr>
        <w:t xml:space="preserve"> 施工竖井</w:t>
      </w:r>
      <w:r>
        <w:rPr>
          <w:rFonts w:hint="eastAsia" w:ascii="宋体" w:hAnsi="宋体" w:cs="宋体"/>
          <w:color w:val="000000" w:themeColor="text1"/>
          <w:szCs w:val="21"/>
          <w14:textFill>
            <w14:solidFill>
              <w14:schemeClr w14:val="tx1"/>
            </w14:solidFill>
          </w14:textFill>
        </w:rPr>
        <w:t>；10</w:t>
      </w:r>
      <w:r>
        <w:rPr>
          <w:rFonts w:hint="eastAsia"/>
          <w:color w:val="000000" w:themeColor="text1"/>
          <w:szCs w:val="28"/>
          <w14:textFill>
            <w14:solidFill>
              <w14:schemeClr w14:val="tx1"/>
            </w14:solidFill>
          </w14:textFill>
        </w:rPr>
        <w:t>马头门</w:t>
      </w:r>
      <w:r>
        <w:rPr>
          <w:rFonts w:hint="eastAsia" w:ascii="宋体" w:hAnsi="宋体" w:cs="宋体"/>
          <w:color w:val="000000" w:themeColor="text1"/>
          <w:szCs w:val="21"/>
          <w14:textFill>
            <w14:solidFill>
              <w14:schemeClr w14:val="tx1"/>
            </w14:solidFill>
          </w14:textFill>
        </w:rPr>
        <w:t>；11</w:t>
      </w:r>
      <w:r>
        <w:rPr>
          <w:rFonts w:hint="eastAsia"/>
          <w:color w:val="000000" w:themeColor="text1"/>
          <w:szCs w:val="28"/>
          <w14:textFill>
            <w14:solidFill>
              <w14:schemeClr w14:val="tx1"/>
            </w14:solidFill>
          </w14:textFill>
        </w:rPr>
        <w:t>隧道土方开挖</w:t>
      </w:r>
      <w:r>
        <w:rPr>
          <w:rFonts w:hint="eastAsia" w:ascii="宋体" w:hAnsi="宋体" w:cs="宋体"/>
          <w:color w:val="000000" w:themeColor="text1"/>
          <w:szCs w:val="21"/>
          <w14:textFill>
            <w14:solidFill>
              <w14:schemeClr w14:val="tx1"/>
            </w14:solidFill>
          </w14:textFill>
        </w:rPr>
        <w:t>；12 隧道初期支护；13二次衬砌；14防水；15　监控量测；16水平和垂直运输；17风、水、电、通风和扬尘控制；18工程验收。</w:t>
      </w:r>
    </w:p>
    <w:p>
      <w:pPr>
        <w:adjustRightInd w:val="0"/>
        <w:snapToGrid w:val="0"/>
        <w:spacing w:line="360" w:lineRule="auto"/>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　　本规程由北京市住房和城乡建设委员会和北京市市场监督管理局共同管理，北京市住房和城乡建设委员会归口并负责组织实施，由北京易成市政工程有限责任公司负责具体技术内容的解释。执行过程中如有意见或建议，请寄送北京易成市政工程有限责任公司（地址：北京市朝阳区三台山路甲3号；邮政编码：100</w:t>
      </w:r>
      <w:r>
        <w:rPr>
          <w:rFonts w:ascii="宋体" w:hAnsi="宋体" w:cs="宋体"/>
          <w:color w:val="000000" w:themeColor="text1"/>
          <w14:textFill>
            <w14:solidFill>
              <w14:schemeClr w14:val="tx1"/>
            </w14:solidFill>
          </w14:textFill>
        </w:rPr>
        <w:t>176</w:t>
      </w:r>
      <w:r>
        <w:rPr>
          <w:rFonts w:hint="eastAsia" w:ascii="宋体" w:hAnsi="宋体" w:cs="宋体"/>
          <w:color w:val="000000" w:themeColor="text1"/>
          <w14:textFill>
            <w14:solidFill>
              <w14:schemeClr w14:val="tx1"/>
            </w14:solidFill>
          </w14:textFill>
        </w:rPr>
        <w:t>）</w:t>
      </w:r>
    </w:p>
    <w:p>
      <w:pPr>
        <w:adjustRightInd w:val="0"/>
        <w:snapToGrid w:val="0"/>
        <w:spacing w:line="360" w:lineRule="auto"/>
        <w:ind w:firstLine="42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本规程主编单位：北京市政建设集团有限责任公司</w:t>
      </w:r>
    </w:p>
    <w:p>
      <w:pPr>
        <w:adjustRightInd w:val="0"/>
        <w:snapToGrid w:val="0"/>
        <w:spacing w:line="360" w:lineRule="auto"/>
        <w:ind w:firstLine="2100" w:firstLineChars="10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北京易成市政工程有限责任公司</w:t>
      </w:r>
    </w:p>
    <w:p>
      <w:pPr>
        <w:adjustRightInd w:val="0"/>
        <w:snapToGrid w:val="0"/>
        <w:spacing w:line="360" w:lineRule="auto"/>
        <w:ind w:firstLine="405"/>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本规程参编单位：北京市建设工程安全质量监督总站</w:t>
      </w:r>
    </w:p>
    <w:p>
      <w:pPr>
        <w:adjustRightInd w:val="0"/>
        <w:snapToGrid w:val="0"/>
        <w:spacing w:line="360" w:lineRule="auto"/>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　　本规程主要起草人员：</w:t>
      </w:r>
    </w:p>
    <w:p>
      <w:pPr>
        <w:adjustRightInd w:val="0"/>
        <w:snapToGrid w:val="0"/>
        <w:spacing w:line="360" w:lineRule="auto"/>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 xml:space="preserve">　　本规程主要审查人员： </w:t>
      </w:r>
    </w:p>
    <w:p>
      <w:pPr>
        <w:pStyle w:val="10"/>
        <w:tabs>
          <w:tab w:val="right" w:leader="dot" w:pos="8676"/>
        </w:tabs>
        <w:adjustRightInd w:val="0"/>
        <w:snapToGrid w:val="0"/>
        <w:spacing w:before="78" w:beforeLines="25" w:after="78" w:afterLines="25" w:line="360" w:lineRule="auto"/>
        <w:rPr>
          <w:rFonts w:ascii="黑体" w:hAnsi="黑体" w:eastAsia="黑体"/>
          <w:color w:val="000000" w:themeColor="text1"/>
          <w:sz w:val="24"/>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br w:type="page"/>
      </w:r>
    </w:p>
    <w:p>
      <w:pPr>
        <w:rPr>
          <w:color w:val="000000" w:themeColor="text1"/>
          <w14:textFill>
            <w14:solidFill>
              <w14:schemeClr w14:val="tx1"/>
            </w14:solidFill>
          </w14:textFill>
        </w:rPr>
      </w:pPr>
    </w:p>
    <w:p>
      <w:pPr>
        <w:pStyle w:val="10"/>
        <w:tabs>
          <w:tab w:val="right" w:leader="dot" w:pos="8306"/>
        </w:tabs>
        <w:spacing w:after="312" w:afterLines="100"/>
        <w:jc w:val="center"/>
        <w:rPr>
          <w:rFonts w:ascii="宋体" w:hAnsi="宋体" w:cs="宋体"/>
          <w:b/>
          <w:color w:val="000000" w:themeColor="text1"/>
          <w:kern w:val="44"/>
          <w:sz w:val="32"/>
          <w:szCs w:val="32"/>
          <w14:textFill>
            <w14:solidFill>
              <w14:schemeClr w14:val="tx1"/>
            </w14:solidFill>
          </w14:textFill>
        </w:rPr>
      </w:pPr>
      <w:r>
        <w:rPr>
          <w:rFonts w:hint="eastAsia" w:ascii="宋体" w:hAnsi="宋体" w:cs="宋体"/>
          <w:b/>
          <w:color w:val="000000" w:themeColor="text1"/>
          <w:kern w:val="44"/>
          <w:sz w:val="32"/>
          <w:szCs w:val="32"/>
          <w14:textFill>
            <w14:solidFill>
              <w14:schemeClr w14:val="tx1"/>
            </w14:solidFill>
          </w14:textFill>
        </w:rPr>
        <w:t>目    次</w:t>
      </w:r>
    </w:p>
    <w:p>
      <w:pPr>
        <w:pStyle w:val="10"/>
        <w:tabs>
          <w:tab w:val="right" w:leader="dot" w:pos="8306"/>
        </w:tabs>
        <w:rPr>
          <w:color w:val="000000" w:themeColor="text1"/>
          <w14:textFill>
            <w14:solidFill>
              <w14:schemeClr w14:val="tx1"/>
            </w14:solidFill>
          </w14:textFill>
        </w:rPr>
      </w:pPr>
      <w:r>
        <w:rPr>
          <w:b/>
          <w:color w:val="000000" w:themeColor="text1"/>
          <w:sz w:val="28"/>
          <w:szCs w:val="28"/>
          <w14:textFill>
            <w14:solidFill>
              <w14:schemeClr w14:val="tx1"/>
            </w14:solidFill>
          </w14:textFill>
        </w:rPr>
        <w:fldChar w:fldCharType="begin"/>
      </w:r>
      <w:r>
        <w:rPr>
          <w:b/>
          <w:color w:val="000000" w:themeColor="text1"/>
          <w:sz w:val="28"/>
          <w:szCs w:val="28"/>
          <w14:textFill>
            <w14:solidFill>
              <w14:schemeClr w14:val="tx1"/>
            </w14:solidFill>
          </w14:textFill>
        </w:rPr>
        <w:instrText xml:space="preserve">TOC \o "1-2" \h \u </w:instrText>
      </w:r>
      <w:r>
        <w:rPr>
          <w:b/>
          <w:color w:val="000000" w:themeColor="text1"/>
          <w:sz w:val="28"/>
          <w:szCs w:val="28"/>
          <w14:textFill>
            <w14:solidFill>
              <w14:schemeClr w14:val="tx1"/>
            </w14:solidFill>
          </w14:textFill>
        </w:rPr>
        <w:fldChar w:fldCharType="separate"/>
      </w:r>
      <w:bookmarkStart w:id="18" w:name="_Toc17285"/>
      <w:bookmarkStart w:id="19" w:name="_Toc8437"/>
      <w:r>
        <w:rPr>
          <w:color w:val="000000" w:themeColor="text1"/>
          <w:szCs w:val="28"/>
          <w14:textFill>
            <w14:solidFill>
              <w14:schemeClr w14:val="tx1"/>
            </w14:solidFill>
          </w14:textFill>
        </w:rPr>
        <w:fldChar w:fldCharType="begin"/>
      </w:r>
      <w:r>
        <w:rPr>
          <w:color w:val="000000" w:themeColor="text1"/>
          <w:szCs w:val="28"/>
          <w14:textFill>
            <w14:solidFill>
              <w14:schemeClr w14:val="tx1"/>
            </w14:solidFill>
          </w14:textFill>
        </w:rPr>
        <w:instrText xml:space="preserve"> HYPERLINK \l _Toc1799 </w:instrText>
      </w:r>
      <w:r>
        <w:rPr>
          <w:color w:val="000000" w:themeColor="text1"/>
          <w:szCs w:val="28"/>
          <w14:textFill>
            <w14:solidFill>
              <w14:schemeClr w14:val="tx1"/>
            </w14:solidFill>
          </w14:textFill>
        </w:rPr>
        <w:fldChar w:fldCharType="separate"/>
      </w:r>
      <w:r>
        <w:rPr>
          <w:color w:val="000000" w:themeColor="text1"/>
          <w:szCs w:val="28"/>
          <w14:textFill>
            <w14:solidFill>
              <w14:schemeClr w14:val="tx1"/>
            </w14:solidFill>
          </w14:textFill>
        </w:rPr>
        <w:t>1 总</w:t>
      </w:r>
      <w:r>
        <w:rPr>
          <w:rFonts w:hint="eastAsia"/>
          <w:color w:val="000000" w:themeColor="text1"/>
          <w:szCs w:val="28"/>
          <w14:textFill>
            <w14:solidFill>
              <w14:schemeClr w14:val="tx1"/>
            </w14:solidFill>
          </w14:textFill>
        </w:rPr>
        <w:t xml:space="preserve">    </w:t>
      </w:r>
      <w:r>
        <w:rPr>
          <w:color w:val="000000" w:themeColor="text1"/>
          <w:szCs w:val="28"/>
          <w14:textFill>
            <w14:solidFill>
              <w14:schemeClr w14:val="tx1"/>
            </w14:solidFill>
          </w14:textFill>
        </w:rPr>
        <w:t>则</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_Toc1799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w:t>
      </w:r>
      <w:r>
        <w:rPr>
          <w:color w:val="000000" w:themeColor="text1"/>
          <w14:textFill>
            <w14:solidFill>
              <w14:schemeClr w14:val="tx1"/>
            </w14:solidFill>
          </w14:textFill>
        </w:rPr>
        <w:fldChar w:fldCharType="end"/>
      </w:r>
      <w:r>
        <w:rPr>
          <w:color w:val="000000" w:themeColor="text1"/>
          <w:szCs w:val="28"/>
          <w14:textFill>
            <w14:solidFill>
              <w14:schemeClr w14:val="tx1"/>
            </w14:solidFill>
          </w14:textFill>
        </w:rPr>
        <w:fldChar w:fldCharType="end"/>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"_Toc19862" </w:instrText>
      </w:r>
      <w:r>
        <w:fldChar w:fldCharType="separate"/>
      </w:r>
      <w:r>
        <w:rPr>
          <w:color w:val="000000" w:themeColor="text1"/>
          <w:szCs w:val="28"/>
          <w14:textFill>
            <w14:solidFill>
              <w14:schemeClr w14:val="tx1"/>
            </w14:solidFill>
          </w14:textFill>
        </w:rPr>
        <w:t xml:space="preserve">2 </w:t>
      </w:r>
      <w:r>
        <w:rPr>
          <w:rFonts w:hint="eastAsia"/>
          <w:color w:val="000000" w:themeColor="text1"/>
          <w:szCs w:val="28"/>
          <w14:textFill>
            <w14:solidFill>
              <w14:schemeClr w14:val="tx1"/>
            </w14:solidFill>
          </w14:textFill>
        </w:rPr>
        <w:t>术    语</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_Toc19862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"_Toc1082" </w:instrText>
      </w:r>
      <w:r>
        <w:fldChar w:fldCharType="separate"/>
      </w:r>
      <w:r>
        <w:rPr>
          <w:bCs/>
          <w:color w:val="000000" w:themeColor="text1"/>
          <w:szCs w:val="28"/>
          <w14:textFill>
            <w14:solidFill>
              <w14:schemeClr w14:val="tx1"/>
            </w14:solidFill>
          </w14:textFill>
        </w:rPr>
        <w:t xml:space="preserve">3 </w:t>
      </w:r>
      <w:r>
        <w:rPr>
          <w:rFonts w:hint="eastAsia"/>
          <w:color w:val="000000" w:themeColor="text1"/>
          <w:szCs w:val="28"/>
          <w14:textFill>
            <w14:solidFill>
              <w14:schemeClr w14:val="tx1"/>
            </w14:solidFill>
          </w14:textFill>
        </w:rPr>
        <w:t>基本规定</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_Toc1082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"_Toc5064" </w:instrText>
      </w:r>
      <w:r>
        <w:fldChar w:fldCharType="separate"/>
      </w:r>
      <w:r>
        <w:rPr>
          <w:color w:val="000000" w:themeColor="text1"/>
          <w:szCs w:val="28"/>
          <w14:textFill>
            <w14:solidFill>
              <w14:schemeClr w14:val="tx1"/>
            </w14:solidFill>
          </w14:textFill>
        </w:rPr>
        <w:t xml:space="preserve">4 </w:t>
      </w:r>
      <w:r>
        <w:rPr>
          <w:rFonts w:hint="eastAsia"/>
          <w:color w:val="000000" w:themeColor="text1"/>
          <w:szCs w:val="28"/>
          <w14:textFill>
            <w14:solidFill>
              <w14:schemeClr w14:val="tx1"/>
            </w14:solidFill>
          </w14:textFill>
        </w:rPr>
        <w:t>施工准备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_Toc5064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"_Toc4957" </w:instrText>
      </w:r>
      <w:r>
        <w:fldChar w:fldCharType="separate"/>
      </w:r>
      <w:r>
        <w:rPr>
          <w:color w:val="000000" w:themeColor="text1"/>
          <w:szCs w:val="28"/>
          <w14:textFill>
            <w14:solidFill>
              <w14:schemeClr w14:val="tx1"/>
            </w14:solidFill>
          </w14:textFill>
        </w:rPr>
        <w:t xml:space="preserve">5 </w:t>
      </w:r>
      <w:r>
        <w:rPr>
          <w:rFonts w:hint="eastAsia"/>
          <w:color w:val="000000" w:themeColor="text1"/>
          <w:szCs w:val="28"/>
          <w14:textFill>
            <w14:solidFill>
              <w14:schemeClr w14:val="tx1"/>
            </w14:solidFill>
          </w14:textFill>
        </w:rPr>
        <w:t>施工测量</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_Toc4957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"_Toc28621" </w:instrText>
      </w:r>
      <w:r>
        <w:fldChar w:fldCharType="separate"/>
      </w:r>
      <w:r>
        <w:rPr>
          <w:rFonts w:eastAsia="仿宋_GB2312"/>
          <w:color w:val="000000" w:themeColor="text1"/>
          <w14:textFill>
            <w14:solidFill>
              <w14:schemeClr w14:val="tx1"/>
            </w14:solidFill>
          </w14:textFill>
        </w:rPr>
        <w:t xml:space="preserve">5.1 </w:t>
      </w:r>
      <w:r>
        <w:rPr>
          <w:rFonts w:hint="eastAsia" w:hAnsi="宋体"/>
          <w:color w:val="000000" w:themeColor="text1"/>
          <w14:textFill>
            <w14:solidFill>
              <w14:schemeClr w14:val="tx1"/>
            </w14:solidFill>
          </w14:textFill>
        </w:rPr>
        <w:t>一般规定</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_Toc28621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"_Toc22307" </w:instrText>
      </w:r>
      <w:r>
        <w:fldChar w:fldCharType="separate"/>
      </w:r>
      <w:r>
        <w:rPr>
          <w:rFonts w:hint="eastAsia" w:hAnsi="宋体"/>
          <w:color w:val="000000" w:themeColor="text1"/>
          <w14:textFill>
            <w14:solidFill>
              <w14:schemeClr w14:val="tx1"/>
            </w14:solidFill>
          </w14:textFill>
        </w:rPr>
        <w:t>5.2  联系测量</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_Toc22307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"_Toc16543" </w:instrText>
      </w:r>
      <w:r>
        <w:fldChar w:fldCharType="separate"/>
      </w:r>
      <w:r>
        <w:rPr>
          <w:rFonts w:hint="eastAsia" w:hAnsi="宋体"/>
          <w:color w:val="000000" w:themeColor="text1"/>
          <w14:textFill>
            <w14:solidFill>
              <w14:schemeClr w14:val="tx1"/>
            </w14:solidFill>
          </w14:textFill>
        </w:rPr>
        <w:t>5.3  地下控制测量</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_Toc16543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"_Toc9575" </w:instrText>
      </w:r>
      <w:r>
        <w:fldChar w:fldCharType="separate"/>
      </w:r>
      <w:r>
        <w:rPr>
          <w:rFonts w:hint="eastAsia" w:hAnsi="宋体"/>
          <w:color w:val="000000" w:themeColor="text1"/>
          <w14:textFill>
            <w14:solidFill>
              <w14:schemeClr w14:val="tx1"/>
            </w14:solidFill>
          </w14:textFill>
        </w:rPr>
        <w:t>5.4  施工测量</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_Toc9575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"_Toc21580" </w:instrText>
      </w:r>
      <w:r>
        <w:fldChar w:fldCharType="separate"/>
      </w:r>
      <w:r>
        <w:rPr>
          <w:rFonts w:hint="eastAsia" w:hAnsi="宋体"/>
          <w:color w:val="000000" w:themeColor="text1"/>
          <w14:textFill>
            <w14:solidFill>
              <w14:schemeClr w14:val="tx1"/>
            </w14:solidFill>
          </w14:textFill>
        </w:rPr>
        <w:t>5.5  贯通测量</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_Toc21580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9</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"_Toc11540" </w:instrText>
      </w:r>
      <w:r>
        <w:fldChar w:fldCharType="separate"/>
      </w:r>
      <w:r>
        <w:rPr>
          <w:color w:val="000000" w:themeColor="text1"/>
          <w:szCs w:val="28"/>
          <w14:textFill>
            <w14:solidFill>
              <w14:schemeClr w14:val="tx1"/>
            </w14:solidFill>
          </w14:textFill>
        </w:rPr>
        <w:t xml:space="preserve">6 </w:t>
      </w:r>
      <w:r>
        <w:rPr>
          <w:rFonts w:hint="eastAsia"/>
          <w:color w:val="000000" w:themeColor="text1"/>
          <w:szCs w:val="28"/>
          <w14:textFill>
            <w14:solidFill>
              <w14:schemeClr w14:val="tx1"/>
            </w14:solidFill>
          </w14:textFill>
        </w:rPr>
        <w:t>地下水控制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_Toc11540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"_Toc15044" </w:instrText>
      </w:r>
      <w:r>
        <w:fldChar w:fldCharType="separate"/>
      </w:r>
      <w:r>
        <w:rPr>
          <w:rFonts w:hint="eastAsia" w:hAnsi="宋体"/>
          <w:color w:val="000000" w:themeColor="text1"/>
          <w14:textFill>
            <w14:solidFill>
              <w14:schemeClr w14:val="tx1"/>
            </w14:solidFill>
          </w14:textFill>
        </w:rPr>
        <w:t>6.1  一般规定</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_Toc15044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"_Toc12359" </w:instrText>
      </w:r>
      <w:r>
        <w:fldChar w:fldCharType="separate"/>
      </w:r>
      <w:r>
        <w:rPr>
          <w:rFonts w:hint="eastAsia" w:hAnsi="宋体"/>
          <w:color w:val="000000" w:themeColor="text1"/>
          <w14:textFill>
            <w14:solidFill>
              <w14:schemeClr w14:val="tx1"/>
            </w14:solidFill>
          </w14:textFill>
        </w:rPr>
        <w:t>6.2  降、排水</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_Toc12359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11</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"_Toc32759" </w:instrText>
      </w:r>
      <w:r>
        <w:fldChar w:fldCharType="separate"/>
      </w:r>
      <w:r>
        <w:rPr>
          <w:rFonts w:hint="eastAsia"/>
          <w:bCs/>
          <w:color w:val="000000" w:themeColor="text1"/>
          <w14:textFill>
            <w14:solidFill>
              <w14:schemeClr w14:val="tx1"/>
            </w14:solidFill>
          </w14:textFill>
        </w:rPr>
        <w:t>6.3  全断面超前深孔注浆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_Toc32759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"_Toc7276" </w:instrText>
      </w:r>
      <w:r>
        <w:fldChar w:fldCharType="separate"/>
      </w:r>
      <w:r>
        <w:rPr>
          <w:rFonts w:hint="eastAsia"/>
          <w:bCs/>
          <w:color w:val="000000" w:themeColor="text1"/>
          <w14:textFill>
            <w14:solidFill>
              <w14:schemeClr w14:val="tx1"/>
            </w14:solidFill>
          </w14:textFill>
        </w:rPr>
        <w:t>6.4  水平旋喷注浆止水</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_Toc7276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14</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"_Toc22636" </w:instrText>
      </w:r>
      <w:r>
        <w:fldChar w:fldCharType="separate"/>
      </w:r>
      <w:r>
        <w:rPr>
          <w:rFonts w:hint="eastAsia"/>
          <w:color w:val="000000" w:themeColor="text1"/>
          <w:szCs w:val="28"/>
          <w14:textFill>
            <w14:solidFill>
              <w14:schemeClr w14:val="tx1"/>
            </w14:solidFill>
          </w14:textFill>
        </w:rPr>
        <w:t>7  超前预支护和地层加固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_Toc22636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16</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"_Toc23766" </w:instrText>
      </w:r>
      <w:r>
        <w:fldChar w:fldCharType="separate"/>
      </w:r>
      <w:r>
        <w:rPr>
          <w:rFonts w:hint="eastAsia" w:hAnsi="宋体"/>
          <w:color w:val="000000" w:themeColor="text1"/>
          <w14:textFill>
            <w14:solidFill>
              <w14:schemeClr w14:val="tx1"/>
            </w14:solidFill>
          </w14:textFill>
        </w:rPr>
        <w:t>7.1  一般规定</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_Toc23766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16</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"_Toc8485" </w:instrText>
      </w:r>
      <w:r>
        <w:fldChar w:fldCharType="separate"/>
      </w:r>
      <w:r>
        <w:rPr>
          <w:rFonts w:hint="eastAsia" w:hAnsi="宋体"/>
          <w:color w:val="000000" w:themeColor="text1"/>
          <w14:textFill>
            <w14:solidFill>
              <w14:schemeClr w14:val="tx1"/>
            </w14:solidFill>
          </w14:textFill>
        </w:rPr>
        <w:t>7.2  超前小导管支护</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_Toc8485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16</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"_Toc24065" </w:instrText>
      </w:r>
      <w:r>
        <w:fldChar w:fldCharType="separate"/>
      </w:r>
      <w:r>
        <w:rPr>
          <w:rFonts w:hint="eastAsia" w:hAnsi="宋体"/>
          <w:color w:val="000000" w:themeColor="text1"/>
          <w14:textFill>
            <w14:solidFill>
              <w14:schemeClr w14:val="tx1"/>
            </w14:solidFill>
          </w14:textFill>
        </w:rPr>
        <w:t>7.3  管棚支护</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_Toc24065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18</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"_Toc20161" </w:instrText>
      </w:r>
      <w:r>
        <w:fldChar w:fldCharType="separate"/>
      </w:r>
      <w:r>
        <w:rPr>
          <w:rFonts w:hint="eastAsia" w:hAnsi="宋体"/>
          <w:color w:val="000000" w:themeColor="text1"/>
          <w14:textFill>
            <w14:solidFill>
              <w14:schemeClr w14:val="tx1"/>
            </w14:solidFill>
          </w14:textFill>
        </w:rPr>
        <w:t>7.4  管幕支护</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_Toc20161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19</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"_Toc30838" </w:instrText>
      </w:r>
      <w:r>
        <w:fldChar w:fldCharType="separate"/>
      </w:r>
      <w:r>
        <w:rPr>
          <w:rFonts w:hint="eastAsia" w:hAnsi="宋体"/>
          <w:color w:val="000000" w:themeColor="text1"/>
          <w14:textFill>
            <w14:solidFill>
              <w14:schemeClr w14:val="tx1"/>
            </w14:solidFill>
          </w14:textFill>
        </w:rPr>
        <w:t>7.5  深孔注浆加固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_Toc30838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19</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"_Toc9355" </w:instrText>
      </w:r>
      <w:r>
        <w:fldChar w:fldCharType="separate"/>
      </w:r>
      <w:r>
        <w:rPr>
          <w:rFonts w:hint="eastAsia" w:hAnsi="宋体"/>
          <w:color w:val="000000" w:themeColor="text1"/>
          <w14:textFill>
            <w14:solidFill>
              <w14:schemeClr w14:val="tx1"/>
            </w14:solidFill>
          </w14:textFill>
        </w:rPr>
        <w:t>7.6  水平旋喷注浆加固</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_Toc9355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21</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"_Toc27684" </w:instrText>
      </w:r>
      <w:r>
        <w:fldChar w:fldCharType="separate"/>
      </w:r>
      <w:r>
        <w:rPr>
          <w:rFonts w:hint="eastAsia"/>
          <w:color w:val="000000" w:themeColor="text1"/>
          <w:szCs w:val="28"/>
          <w14:textFill>
            <w14:solidFill>
              <w14:schemeClr w14:val="tx1"/>
            </w14:solidFill>
          </w14:textFill>
        </w:rPr>
        <w:t>8  原材料和构配件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_Toc27684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"_Toc396" </w:instrText>
      </w:r>
      <w:r>
        <w:fldChar w:fldCharType="separate"/>
      </w:r>
      <w:r>
        <w:rPr>
          <w:rFonts w:hint="eastAsia" w:hAnsi="宋体"/>
          <w:color w:val="000000" w:themeColor="text1"/>
          <w14:textFill>
            <w14:solidFill>
              <w14:schemeClr w14:val="tx1"/>
            </w14:solidFill>
          </w14:textFill>
        </w:rPr>
        <w:t>8.1  一般规定</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_Toc396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"_Toc5607" </w:instrText>
      </w:r>
      <w:r>
        <w:fldChar w:fldCharType="separate"/>
      </w:r>
      <w:r>
        <w:rPr>
          <w:rFonts w:hint="eastAsia" w:hAnsi="宋体"/>
          <w:color w:val="000000" w:themeColor="text1"/>
          <w14:textFill>
            <w14:solidFill>
              <w14:schemeClr w14:val="tx1"/>
            </w14:solidFill>
          </w14:textFill>
        </w:rPr>
        <w:t>8.2  格栅钢架、钢筋网制作</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_Toc5607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"_Toc20368" </w:instrText>
      </w:r>
      <w:r>
        <w:fldChar w:fldCharType="separate"/>
      </w:r>
      <w:r>
        <w:rPr>
          <w:rFonts w:hint="eastAsia" w:hAnsi="宋体"/>
          <w:color w:val="000000" w:themeColor="text1"/>
          <w14:textFill>
            <w14:solidFill>
              <w14:schemeClr w14:val="tx1"/>
            </w14:solidFill>
          </w14:textFill>
        </w:rPr>
        <w:t>8.3  钢筋加工</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_Toc20368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23</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"_Toc8474" </w:instrText>
      </w:r>
      <w:r>
        <w:fldChar w:fldCharType="separate"/>
      </w:r>
      <w:r>
        <w:rPr>
          <w:color w:val="000000" w:themeColor="text1"/>
          <w14:textFill>
            <w14:solidFill>
              <w14:schemeClr w14:val="tx1"/>
            </w14:solidFill>
          </w14:textFill>
        </w:rPr>
        <w:t>8.4</w:t>
      </w:r>
      <w:r>
        <w:rPr>
          <w:rFonts w:hint="eastAsia" w:hAnsi="宋体"/>
          <w:color w:val="000000" w:themeColor="text1"/>
          <w14:textFill>
            <w14:solidFill>
              <w14:schemeClr w14:val="tx1"/>
            </w14:solidFill>
          </w14:textFill>
        </w:rPr>
        <w:t xml:space="preserve">  喷射混凝土</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_Toc8474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24</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"_Toc18652" </w:instrText>
      </w:r>
      <w:r>
        <w:fldChar w:fldCharType="separate"/>
      </w:r>
      <w:r>
        <w:rPr>
          <w:rFonts w:hint="eastAsia" w:hAnsi="宋体"/>
          <w:color w:val="000000" w:themeColor="text1"/>
          <w14:textFill>
            <w14:solidFill>
              <w14:schemeClr w14:val="tx1"/>
            </w14:solidFill>
          </w14:textFill>
        </w:rPr>
        <w:t>8.5  防水混凝土</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_Toc18652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"_Toc29861" </w:instrText>
      </w:r>
      <w:r>
        <w:fldChar w:fldCharType="separate"/>
      </w:r>
      <w:r>
        <w:rPr>
          <w:rFonts w:hint="eastAsia"/>
          <w:color w:val="000000" w:themeColor="text1"/>
          <w:szCs w:val="28"/>
          <w14:textFill>
            <w14:solidFill>
              <w14:schemeClr w14:val="tx1"/>
            </w14:solidFill>
          </w14:textFill>
        </w:rPr>
        <w:t>9  施工竖井</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_Toc29861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"_Toc24460" </w:instrText>
      </w:r>
      <w:r>
        <w:fldChar w:fldCharType="separate"/>
      </w:r>
      <w:r>
        <w:rPr>
          <w:rFonts w:hint="eastAsia" w:hAnsi="宋体"/>
          <w:color w:val="000000" w:themeColor="text1"/>
          <w14:textFill>
            <w14:solidFill>
              <w14:schemeClr w14:val="tx1"/>
            </w14:solidFill>
          </w14:textFill>
        </w:rPr>
        <w:t>9.1  一般规定</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_Toc24460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"_Toc3521" </w:instrText>
      </w:r>
      <w:r>
        <w:fldChar w:fldCharType="separate"/>
      </w:r>
      <w:r>
        <w:rPr>
          <w:rFonts w:hint="eastAsia" w:hAnsi="宋体"/>
          <w:color w:val="000000" w:themeColor="text1"/>
          <w14:textFill>
            <w14:solidFill>
              <w14:schemeClr w14:val="tx1"/>
            </w14:solidFill>
          </w14:textFill>
        </w:rPr>
        <w:t>9.2  土方开挖</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_Toc3521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27</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"_Toc18777" </w:instrText>
      </w:r>
      <w:r>
        <w:fldChar w:fldCharType="separate"/>
      </w:r>
      <w:r>
        <w:rPr>
          <w:rFonts w:hint="eastAsia" w:hAnsi="宋体"/>
          <w:color w:val="000000" w:themeColor="text1"/>
          <w14:textFill>
            <w14:solidFill>
              <w14:schemeClr w14:val="tx1"/>
            </w14:solidFill>
          </w14:textFill>
        </w:rPr>
        <w:t>9.3  初期支护</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_Toc18777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28</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"_Toc19224" </w:instrText>
      </w:r>
      <w:r>
        <w:fldChar w:fldCharType="separate"/>
      </w:r>
      <w:r>
        <w:rPr>
          <w:rFonts w:hint="eastAsia"/>
          <w:color w:val="000000" w:themeColor="text1"/>
          <w:szCs w:val="28"/>
          <w14:textFill>
            <w14:solidFill>
              <w14:schemeClr w14:val="tx1"/>
            </w14:solidFill>
          </w14:textFill>
        </w:rPr>
        <w:t>10  马头门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_Toc19224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29</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"_Toc21172" </w:instrText>
      </w:r>
      <w:r>
        <w:fldChar w:fldCharType="separate"/>
      </w:r>
      <w:r>
        <w:rPr>
          <w:rFonts w:hint="eastAsia" w:hAnsi="宋体"/>
          <w:color w:val="000000" w:themeColor="text1"/>
          <w14:textFill>
            <w14:solidFill>
              <w14:schemeClr w14:val="tx1"/>
            </w14:solidFill>
          </w14:textFill>
        </w:rPr>
        <w:t>10.1  一般规定</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_Toc21172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29</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"_Toc22022" </w:instrText>
      </w:r>
      <w:r>
        <w:fldChar w:fldCharType="separate"/>
      </w:r>
      <w:r>
        <w:rPr>
          <w:rFonts w:hint="eastAsia" w:hAnsi="宋体"/>
          <w:color w:val="000000" w:themeColor="text1"/>
          <w14:textFill>
            <w14:solidFill>
              <w14:schemeClr w14:val="tx1"/>
            </w14:solidFill>
          </w14:textFill>
        </w:rPr>
        <w:t>10.2  竖井马头门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_Toc22022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29</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"_Toc31630" </w:instrText>
      </w:r>
      <w:r>
        <w:fldChar w:fldCharType="separate"/>
      </w:r>
      <w:r>
        <w:rPr>
          <w:rFonts w:hint="eastAsia" w:hAnsi="宋体"/>
          <w:color w:val="000000" w:themeColor="text1"/>
          <w14:textFill>
            <w14:solidFill>
              <w14:schemeClr w14:val="tx1"/>
            </w14:solidFill>
          </w14:textFill>
        </w:rPr>
        <w:t>10.3  横通道马头门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_Toc31630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"_Toc17074" </w:instrText>
      </w:r>
      <w:r>
        <w:fldChar w:fldCharType="separate"/>
      </w:r>
      <w:r>
        <w:rPr>
          <w:rFonts w:hint="eastAsia" w:hAnsi="宋体"/>
          <w:color w:val="000000" w:themeColor="text1"/>
          <w14:textFill>
            <w14:solidFill>
              <w14:schemeClr w14:val="tx1"/>
            </w14:solidFill>
          </w14:textFill>
        </w:rPr>
        <w:t>10.4  盾构联络通道马头门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_Toc17074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"_Toc13184" </w:instrText>
      </w:r>
      <w:r>
        <w:fldChar w:fldCharType="separate"/>
      </w:r>
      <w:r>
        <w:rPr>
          <w:rFonts w:hint="eastAsia"/>
          <w:color w:val="000000" w:themeColor="text1"/>
          <w:szCs w:val="28"/>
          <w14:textFill>
            <w14:solidFill>
              <w14:schemeClr w14:val="tx1"/>
            </w14:solidFill>
          </w14:textFill>
        </w:rPr>
        <w:t>11  隧道土方开挖</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_Toc13184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"_Toc1559" </w:instrText>
      </w:r>
      <w:r>
        <w:fldChar w:fldCharType="separate"/>
      </w:r>
      <w:r>
        <w:rPr>
          <w:rFonts w:hint="eastAsia" w:hAnsi="宋体"/>
          <w:color w:val="000000" w:themeColor="text1"/>
          <w14:textFill>
            <w14:solidFill>
              <w14:schemeClr w14:val="tx1"/>
            </w14:solidFill>
          </w14:textFill>
        </w:rPr>
        <w:t>11.1  一般规定</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_Toc1559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"_Toc30780" </w:instrText>
      </w:r>
      <w:r>
        <w:fldChar w:fldCharType="separate"/>
      </w:r>
      <w:r>
        <w:rPr>
          <w:rFonts w:hint="eastAsia" w:hAnsi="宋体"/>
          <w:color w:val="000000" w:themeColor="text1"/>
          <w14:textFill>
            <w14:solidFill>
              <w14:schemeClr w14:val="tx1"/>
            </w14:solidFill>
          </w14:textFill>
        </w:rPr>
        <w:t>11.2  区间隧道开挖</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_Toc30780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34</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"_Toc6459" </w:instrText>
      </w:r>
      <w:r>
        <w:fldChar w:fldCharType="separate"/>
      </w:r>
      <w:r>
        <w:rPr>
          <w:rFonts w:hint="eastAsia" w:hAnsi="宋体"/>
          <w:color w:val="000000" w:themeColor="text1"/>
          <w14:textFill>
            <w14:solidFill>
              <w14:schemeClr w14:val="tx1"/>
            </w14:solidFill>
          </w14:textFill>
        </w:rPr>
        <w:t>11.3  暗挖车站开挖</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_Toc6459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38</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"_Toc28775" </w:instrText>
      </w:r>
      <w:r>
        <w:fldChar w:fldCharType="separate"/>
      </w:r>
      <w:r>
        <w:rPr>
          <w:rFonts w:hint="eastAsia" w:hAnsi="宋体"/>
          <w:color w:val="000000" w:themeColor="text1"/>
          <w14:textFill>
            <w14:solidFill>
              <w14:schemeClr w14:val="tx1"/>
            </w14:solidFill>
          </w14:textFill>
        </w:rPr>
        <w:t>11.4  附属结构开挖</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_Toc28775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"_Toc6940" </w:instrText>
      </w:r>
      <w:r>
        <w:fldChar w:fldCharType="separate"/>
      </w:r>
      <w:r>
        <w:rPr>
          <w:rFonts w:hint="eastAsia"/>
          <w:color w:val="000000" w:themeColor="text1"/>
          <w:szCs w:val="28"/>
          <w14:textFill>
            <w14:solidFill>
              <w14:schemeClr w14:val="tx1"/>
            </w14:solidFill>
          </w14:textFill>
        </w:rPr>
        <w:t>12  隧道初期支护</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_Toc6940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"_Toc11845" </w:instrText>
      </w:r>
      <w:r>
        <w:fldChar w:fldCharType="separate"/>
      </w:r>
      <w:r>
        <w:rPr>
          <w:rFonts w:hint="eastAsia" w:hAnsi="宋体"/>
          <w:color w:val="000000" w:themeColor="text1"/>
          <w14:textFill>
            <w14:solidFill>
              <w14:schemeClr w14:val="tx1"/>
            </w14:solidFill>
          </w14:textFill>
        </w:rPr>
        <w:t>12.1  一般规定</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_Toc11845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"_Toc3875" </w:instrText>
      </w:r>
      <w:r>
        <w:fldChar w:fldCharType="separate"/>
      </w:r>
      <w:r>
        <w:rPr>
          <w:rFonts w:hint="eastAsia" w:hAnsi="宋体"/>
          <w:color w:val="000000" w:themeColor="text1"/>
          <w14:textFill>
            <w14:solidFill>
              <w14:schemeClr w14:val="tx1"/>
            </w14:solidFill>
          </w14:textFill>
        </w:rPr>
        <w:t>12.2  格栅钢架、连接筋和钢筋网安装</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_Toc3875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"_Toc24809" </w:instrText>
      </w:r>
      <w:r>
        <w:fldChar w:fldCharType="separate"/>
      </w:r>
      <w:r>
        <w:rPr>
          <w:rFonts w:hint="eastAsia" w:hAnsi="宋体"/>
          <w:color w:val="000000" w:themeColor="text1"/>
          <w14:textFill>
            <w14:solidFill>
              <w14:schemeClr w14:val="tx1"/>
            </w14:solidFill>
          </w14:textFill>
        </w:rPr>
        <w:t>12.3  锁脚锚管（杆）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_Toc24809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43</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"_Toc1058" </w:instrText>
      </w:r>
      <w:r>
        <w:fldChar w:fldCharType="separate"/>
      </w:r>
      <w:r>
        <w:rPr>
          <w:rFonts w:hint="eastAsia" w:hAnsi="宋体"/>
          <w:color w:val="000000" w:themeColor="text1"/>
          <w14:textFill>
            <w14:solidFill>
              <w14:schemeClr w14:val="tx1"/>
            </w14:solidFill>
          </w14:textFill>
        </w:rPr>
        <w:t>12.4  喷射混凝土施工</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_Toc1058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43</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"_Toc12232" </w:instrText>
      </w:r>
      <w:r>
        <w:fldChar w:fldCharType="separate"/>
      </w:r>
      <w:r>
        <w:rPr>
          <w:rFonts w:hint="eastAsia" w:hAnsi="宋体"/>
          <w:color w:val="000000" w:themeColor="text1"/>
          <w14:textFill>
            <w14:solidFill>
              <w14:schemeClr w14:val="tx1"/>
            </w14:solidFill>
          </w14:textFill>
        </w:rPr>
        <w:t>12.5  区间隧道初期支护</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_Toc12232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44</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"_Toc4119" </w:instrText>
      </w:r>
      <w:r>
        <w:fldChar w:fldCharType="separate"/>
      </w:r>
      <w:r>
        <w:rPr>
          <w:rFonts w:hint="eastAsia" w:hAnsi="宋体"/>
          <w:color w:val="000000" w:themeColor="text1"/>
          <w14:textFill>
            <w14:solidFill>
              <w14:schemeClr w14:val="tx1"/>
            </w14:solidFill>
          </w14:textFill>
        </w:rPr>
        <w:t>12.6  暗挖车站初期支护</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_Toc4119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"_Toc7123" </w:instrText>
      </w:r>
      <w:r>
        <w:fldChar w:fldCharType="separate"/>
      </w:r>
      <w:r>
        <w:rPr>
          <w:rFonts w:hint="eastAsia" w:hAnsi="宋体"/>
          <w:color w:val="000000" w:themeColor="text1"/>
          <w14:textFill>
            <w14:solidFill>
              <w14:schemeClr w14:val="tx1"/>
            </w14:solidFill>
          </w14:textFill>
        </w:rPr>
        <w:t>12.7  附属结构初期支护</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_Toc7123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48</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"_Toc12119" </w:instrText>
      </w:r>
      <w:r>
        <w:fldChar w:fldCharType="separate"/>
      </w:r>
      <w:r>
        <w:rPr>
          <w:rFonts w:hint="eastAsia" w:hAnsi="宋体"/>
          <w:color w:val="000000" w:themeColor="text1"/>
          <w14:textFill>
            <w14:solidFill>
              <w14:schemeClr w14:val="tx1"/>
            </w14:solidFill>
          </w14:textFill>
        </w:rPr>
        <w:t>12.8  初衬背后填充注浆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_Toc12119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48</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"_Toc23182" </w:instrText>
      </w:r>
      <w:r>
        <w:fldChar w:fldCharType="separate"/>
      </w:r>
      <w:r>
        <w:rPr>
          <w:rFonts w:hint="eastAsia"/>
          <w:color w:val="000000" w:themeColor="text1"/>
          <w:szCs w:val="28"/>
          <w14:textFill>
            <w14:solidFill>
              <w14:schemeClr w14:val="tx1"/>
            </w14:solidFill>
          </w14:textFill>
        </w:rPr>
        <w:t>13  二次衬砌</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_Toc23182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"_Toc18898" </w:instrText>
      </w:r>
      <w:r>
        <w:fldChar w:fldCharType="separate"/>
      </w:r>
      <w:r>
        <w:rPr>
          <w:rFonts w:hint="eastAsia" w:hAnsi="宋体"/>
          <w:color w:val="000000" w:themeColor="text1"/>
          <w14:textFill>
            <w14:solidFill>
              <w14:schemeClr w14:val="tx1"/>
            </w14:solidFill>
          </w14:textFill>
        </w:rPr>
        <w:t>13.1  一般规定</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_Toc18898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"_Toc703" </w:instrText>
      </w:r>
      <w:r>
        <w:fldChar w:fldCharType="separate"/>
      </w:r>
      <w:r>
        <w:rPr>
          <w:rFonts w:hint="eastAsia" w:hAnsi="宋体"/>
          <w:color w:val="000000" w:themeColor="text1"/>
          <w14:textFill>
            <w14:solidFill>
              <w14:schemeClr w14:val="tx1"/>
            </w14:solidFill>
          </w14:textFill>
        </w:rPr>
        <w:t>13.2  模板及支架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_Toc703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"_Toc24485" </w:instrText>
      </w:r>
      <w:r>
        <w:fldChar w:fldCharType="separate"/>
      </w:r>
      <w:r>
        <w:rPr>
          <w:rFonts w:hint="eastAsia" w:hAnsi="宋体"/>
          <w:color w:val="000000" w:themeColor="text1"/>
          <w14:textFill>
            <w14:solidFill>
              <w14:schemeClr w14:val="tx1"/>
            </w14:solidFill>
          </w14:textFill>
        </w:rPr>
        <w:t>13.3  隧道模板支护</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_Toc24485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51</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0"/>
        <w:tabs>
          <w:tab w:val="right" w:leader="dot" w:pos="8306"/>
        </w:tabs>
        <w:ind w:firstLine="420" w:firstLineChars="200"/>
        <w:rPr>
          <w:color w:val="000000" w:themeColor="text1"/>
          <w14:textFill>
            <w14:solidFill>
              <w14:schemeClr w14:val="tx1"/>
            </w14:solidFill>
          </w14:textFill>
        </w:rPr>
      </w:pPr>
      <w:r>
        <w:fldChar w:fldCharType="begin"/>
      </w:r>
      <w:r>
        <w:instrText xml:space="preserve"> HYPERLINK \l "_Toc9526" </w:instrText>
      </w:r>
      <w:r>
        <w:fldChar w:fldCharType="separate"/>
      </w:r>
      <w:r>
        <w:rPr>
          <w:rFonts w:hint="eastAsia" w:hAnsi="宋体"/>
          <w:color w:val="000000" w:themeColor="text1"/>
          <w14:textFill>
            <w14:solidFill>
              <w14:schemeClr w14:val="tx1"/>
            </w14:solidFill>
          </w14:textFill>
        </w:rPr>
        <w:t>13.4  钢筋安装</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_Toc9526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0"/>
        <w:tabs>
          <w:tab w:val="right" w:leader="dot" w:pos="8306"/>
        </w:tabs>
        <w:ind w:firstLine="420" w:firstLineChars="200"/>
        <w:rPr>
          <w:color w:val="000000" w:themeColor="text1"/>
          <w14:textFill>
            <w14:solidFill>
              <w14:schemeClr w14:val="tx1"/>
            </w14:solidFill>
          </w14:textFill>
        </w:rPr>
      </w:pPr>
      <w:r>
        <w:fldChar w:fldCharType="begin"/>
      </w:r>
      <w:r>
        <w:instrText xml:space="preserve"> HYPERLINK \l "_Toc9946" </w:instrText>
      </w:r>
      <w:r>
        <w:fldChar w:fldCharType="separate"/>
      </w:r>
      <w:r>
        <w:rPr>
          <w:rFonts w:hint="eastAsia" w:hAnsi="宋体"/>
          <w:color w:val="000000" w:themeColor="text1"/>
          <w14:textFill>
            <w14:solidFill>
              <w14:schemeClr w14:val="tx1"/>
            </w14:solidFill>
          </w14:textFill>
        </w:rPr>
        <w:t>13.5  混凝土浇筑</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_Toc9946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53</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"_Toc1433" </w:instrText>
      </w:r>
      <w:r>
        <w:fldChar w:fldCharType="separate"/>
      </w:r>
      <w:r>
        <w:rPr>
          <w:rFonts w:hint="eastAsia" w:hAnsi="宋体"/>
          <w:color w:val="000000" w:themeColor="text1"/>
          <w14:textFill>
            <w14:solidFill>
              <w14:schemeClr w14:val="tx1"/>
            </w14:solidFill>
          </w14:textFill>
        </w:rPr>
        <w:t>13.6  二衬背后回填注浆</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_Toc1433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54</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"_Toc28234" </w:instrText>
      </w:r>
      <w:r>
        <w:fldChar w:fldCharType="separate"/>
      </w:r>
      <w:r>
        <w:rPr>
          <w:rFonts w:hint="eastAsia" w:hAnsi="宋体"/>
          <w:color w:val="000000" w:themeColor="text1"/>
          <w14:textFill>
            <w14:solidFill>
              <w14:schemeClr w14:val="tx1"/>
            </w14:solidFill>
          </w14:textFill>
        </w:rPr>
        <w:t>13.7  临时中隔壁（支撑）拆除和体系转换</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_Toc28234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"_Toc21915" </w:instrText>
      </w:r>
      <w:r>
        <w:fldChar w:fldCharType="separate"/>
      </w:r>
      <w:r>
        <w:rPr>
          <w:rFonts w:hint="eastAsia"/>
          <w:color w:val="000000" w:themeColor="text1"/>
          <w:szCs w:val="28"/>
          <w14:textFill>
            <w14:solidFill>
              <w14:schemeClr w14:val="tx1"/>
            </w14:solidFill>
          </w14:textFill>
        </w:rPr>
        <w:t>14  防水</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_Toc21915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58</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"_Toc27370" </w:instrText>
      </w:r>
      <w:r>
        <w:fldChar w:fldCharType="separate"/>
      </w:r>
      <w:r>
        <w:rPr>
          <w:rFonts w:hint="eastAsia" w:hAnsi="宋体"/>
          <w:color w:val="000000" w:themeColor="text1"/>
          <w14:textFill>
            <w14:solidFill>
              <w14:schemeClr w14:val="tx1"/>
            </w14:solidFill>
          </w14:textFill>
        </w:rPr>
        <w:t>14.1  一般规定</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_Toc27370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58</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"_Toc31467" </w:instrText>
      </w:r>
      <w:r>
        <w:fldChar w:fldCharType="separate"/>
      </w:r>
      <w:r>
        <w:rPr>
          <w:rFonts w:hint="eastAsia" w:hAnsi="宋体"/>
          <w:color w:val="000000" w:themeColor="text1"/>
          <w14:textFill>
            <w14:solidFill>
              <w14:schemeClr w14:val="tx1"/>
            </w14:solidFill>
          </w14:textFill>
        </w:rPr>
        <w:t>14.2  卷材防水层</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_Toc31467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58</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"_Toc1549" </w:instrText>
      </w:r>
      <w:r>
        <w:fldChar w:fldCharType="separate"/>
      </w:r>
      <w:r>
        <w:rPr>
          <w:rFonts w:hint="eastAsia" w:hAnsi="宋体"/>
          <w:color w:val="000000" w:themeColor="text1"/>
          <w14:textFill>
            <w14:solidFill>
              <w14:schemeClr w14:val="tx1"/>
            </w14:solidFill>
          </w14:textFill>
        </w:rPr>
        <w:t>14.3  塑料板防水层</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_Toc1549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"_Toc29287" </w:instrText>
      </w:r>
      <w:r>
        <w:fldChar w:fldCharType="separate"/>
      </w:r>
      <w:r>
        <w:rPr>
          <w:rFonts w:hint="eastAsia" w:hAnsi="宋体"/>
          <w:color w:val="000000" w:themeColor="text1"/>
          <w14:textFill>
            <w14:solidFill>
              <w14:schemeClr w14:val="tx1"/>
            </w14:solidFill>
          </w14:textFill>
        </w:rPr>
        <w:t>14.4  水泥砂浆防水层</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_Toc29287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"_Toc1679" </w:instrText>
      </w:r>
      <w:r>
        <w:fldChar w:fldCharType="separate"/>
      </w:r>
      <w:r>
        <w:rPr>
          <w:rFonts w:hint="eastAsia" w:hAnsi="宋体"/>
          <w:color w:val="000000" w:themeColor="text1"/>
          <w14:textFill>
            <w14:solidFill>
              <w14:schemeClr w14:val="tx1"/>
            </w14:solidFill>
          </w14:textFill>
        </w:rPr>
        <w:t>14.5  涂膜防水层</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_Toc1679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61</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"_Toc30499" </w:instrText>
      </w:r>
      <w:r>
        <w:fldChar w:fldCharType="separate"/>
      </w:r>
      <w:r>
        <w:rPr>
          <w:rFonts w:hint="eastAsia" w:hAnsi="宋体"/>
          <w:color w:val="000000" w:themeColor="text1"/>
          <w14:textFill>
            <w14:solidFill>
              <w14:schemeClr w14:val="tx1"/>
            </w14:solidFill>
          </w14:textFill>
        </w:rPr>
        <w:t>14.6  细部构造防水</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_Toc30499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"_Toc13359" </w:instrText>
      </w:r>
      <w:r>
        <w:fldChar w:fldCharType="separate"/>
      </w:r>
      <w:r>
        <w:rPr>
          <w:rFonts w:hint="eastAsia"/>
          <w:color w:val="000000" w:themeColor="text1"/>
          <w:szCs w:val="28"/>
          <w14:textFill>
            <w14:solidFill>
              <w14:schemeClr w14:val="tx1"/>
            </w14:solidFill>
          </w14:textFill>
        </w:rPr>
        <w:t>15  监控量测</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_Toc13359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"_Toc20190" </w:instrText>
      </w:r>
      <w:r>
        <w:fldChar w:fldCharType="separate"/>
      </w:r>
      <w:r>
        <w:rPr>
          <w:rFonts w:hint="eastAsia" w:hAnsi="宋体"/>
          <w:color w:val="000000" w:themeColor="text1"/>
          <w14:textFill>
            <w14:solidFill>
              <w14:schemeClr w14:val="tx1"/>
            </w14:solidFill>
          </w14:textFill>
        </w:rPr>
        <w:t>15.1  一般规定</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_Toc20190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"_Toc20168" </w:instrText>
      </w:r>
      <w:r>
        <w:fldChar w:fldCharType="separate"/>
      </w:r>
      <w:r>
        <w:rPr>
          <w:rFonts w:hint="eastAsia" w:hAnsi="宋体"/>
          <w:color w:val="000000" w:themeColor="text1"/>
          <w14:textFill>
            <w14:solidFill>
              <w14:schemeClr w14:val="tx1"/>
            </w14:solidFill>
          </w14:textFill>
        </w:rPr>
        <w:t>15.2  监测项目</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_Toc20168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65</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"_Toc20178" </w:instrText>
      </w:r>
      <w:r>
        <w:fldChar w:fldCharType="separate"/>
      </w:r>
      <w:r>
        <w:rPr>
          <w:rFonts w:hint="eastAsia" w:hAnsi="宋体"/>
          <w:color w:val="000000" w:themeColor="text1"/>
          <w14:textFill>
            <w14:solidFill>
              <w14:schemeClr w14:val="tx1"/>
            </w14:solidFill>
          </w14:textFill>
        </w:rPr>
        <w:t>15.3  监测仪器</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_Toc20178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66</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"_Toc16463" </w:instrText>
      </w:r>
      <w:r>
        <w:fldChar w:fldCharType="separate"/>
      </w:r>
      <w:r>
        <w:rPr>
          <w:rFonts w:hint="eastAsia" w:hAnsi="宋体"/>
          <w:color w:val="000000" w:themeColor="text1"/>
          <w14:textFill>
            <w14:solidFill>
              <w14:schemeClr w14:val="tx1"/>
            </w14:solidFill>
          </w14:textFill>
        </w:rPr>
        <w:t>15.4  监测方法</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_Toc16463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66</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"_Toc1084" </w:instrText>
      </w:r>
      <w:r>
        <w:fldChar w:fldCharType="separate"/>
      </w:r>
      <w:r>
        <w:rPr>
          <w:rFonts w:hint="eastAsia" w:hAnsi="宋体"/>
          <w:color w:val="000000" w:themeColor="text1"/>
          <w14:textFill>
            <w14:solidFill>
              <w14:schemeClr w14:val="tx1"/>
            </w14:solidFill>
          </w14:textFill>
        </w:rPr>
        <w:t>15.5  监控量测控制指标</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_Toc1084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68</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"_Toc26554" </w:instrText>
      </w:r>
      <w:r>
        <w:fldChar w:fldCharType="separate"/>
      </w:r>
      <w:r>
        <w:rPr>
          <w:rFonts w:hint="eastAsia" w:hAnsi="宋体"/>
          <w:color w:val="000000" w:themeColor="text1"/>
          <w14:textFill>
            <w14:solidFill>
              <w14:schemeClr w14:val="tx1"/>
            </w14:solidFill>
          </w14:textFill>
        </w:rPr>
        <w:t>15.6  监测成果及信息反馈</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_Toc26554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69</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"_Toc1567" </w:instrText>
      </w:r>
      <w:r>
        <w:fldChar w:fldCharType="separate"/>
      </w:r>
      <w:r>
        <w:rPr>
          <w:rFonts w:hint="eastAsia"/>
          <w:color w:val="000000" w:themeColor="text1"/>
          <w:szCs w:val="28"/>
          <w14:textFill>
            <w14:solidFill>
              <w14:schemeClr w14:val="tx1"/>
            </w14:solidFill>
          </w14:textFill>
        </w:rPr>
        <w:t>16  水平和垂直运输</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_Toc1567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"_Toc3141" </w:instrText>
      </w:r>
      <w:r>
        <w:fldChar w:fldCharType="separate"/>
      </w:r>
      <w:r>
        <w:rPr>
          <w:rFonts w:hint="eastAsia" w:hAnsi="宋体"/>
          <w:color w:val="000000" w:themeColor="text1"/>
          <w14:textFill>
            <w14:solidFill>
              <w14:schemeClr w14:val="tx1"/>
            </w14:solidFill>
          </w14:textFill>
        </w:rPr>
        <w:t>16.1  一般规定</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_Toc3141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"_Toc25089" </w:instrText>
      </w:r>
      <w:r>
        <w:fldChar w:fldCharType="separate"/>
      </w:r>
      <w:r>
        <w:rPr>
          <w:rFonts w:hint="eastAsia" w:hAnsi="宋体"/>
          <w:color w:val="000000" w:themeColor="text1"/>
          <w14:textFill>
            <w14:solidFill>
              <w14:schemeClr w14:val="tx1"/>
            </w14:solidFill>
          </w14:textFill>
        </w:rPr>
        <w:t>16.2  水平运输</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_Toc25089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"_Toc17325" </w:instrText>
      </w:r>
      <w:r>
        <w:fldChar w:fldCharType="separate"/>
      </w:r>
      <w:r>
        <w:rPr>
          <w:rFonts w:hint="eastAsia" w:hAnsi="宋体"/>
          <w:color w:val="000000" w:themeColor="text1"/>
          <w14:textFill>
            <w14:solidFill>
              <w14:schemeClr w14:val="tx1"/>
            </w14:solidFill>
          </w14:textFill>
        </w:rPr>
        <w:t>16.3  垂直运输</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_Toc17325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70</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"_Toc11087" </w:instrText>
      </w:r>
      <w:r>
        <w:fldChar w:fldCharType="separate"/>
      </w:r>
      <w:r>
        <w:rPr>
          <w:rFonts w:hint="eastAsia"/>
          <w:color w:val="000000" w:themeColor="text1"/>
          <w:szCs w:val="28"/>
          <w14:textFill>
            <w14:solidFill>
              <w14:schemeClr w14:val="tx1"/>
            </w14:solidFill>
          </w14:textFill>
        </w:rPr>
        <w:t>17  风、水、电、通风和扬尘控制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_Toc11087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"_Toc14477" </w:instrText>
      </w:r>
      <w:r>
        <w:fldChar w:fldCharType="separate"/>
      </w:r>
      <w:r>
        <w:rPr>
          <w:rFonts w:hint="eastAsia" w:hAnsi="宋体"/>
          <w:color w:val="000000" w:themeColor="text1"/>
          <w14:textFill>
            <w14:solidFill>
              <w14:schemeClr w14:val="tx1"/>
            </w14:solidFill>
          </w14:textFill>
        </w:rPr>
        <w:t>17.1 供风系统</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_Toc14477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"_Toc4952" </w:instrText>
      </w:r>
      <w:r>
        <w:fldChar w:fldCharType="separate"/>
      </w:r>
      <w:r>
        <w:rPr>
          <w:rFonts w:hint="eastAsia" w:hAnsi="宋体"/>
          <w:color w:val="000000" w:themeColor="text1"/>
          <w14:textFill>
            <w14:solidFill>
              <w14:schemeClr w14:val="tx1"/>
            </w14:solidFill>
          </w14:textFill>
        </w:rPr>
        <w:t>17.2 供水系统</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_Toc4952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72</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"_Toc12311" </w:instrText>
      </w:r>
      <w:r>
        <w:fldChar w:fldCharType="separate"/>
      </w:r>
      <w:r>
        <w:rPr>
          <w:rFonts w:hint="eastAsia" w:hAnsi="宋体"/>
          <w:color w:val="000000" w:themeColor="text1"/>
          <w14:textFill>
            <w14:solidFill>
              <w14:schemeClr w14:val="tx1"/>
            </w14:solidFill>
          </w14:textFill>
        </w:rPr>
        <w:t>17.3 供电和照明系统</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_Toc12311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73</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"_Toc29803" </w:instrText>
      </w:r>
      <w:r>
        <w:fldChar w:fldCharType="separate"/>
      </w:r>
      <w:r>
        <w:rPr>
          <w:rFonts w:hint="eastAsia" w:hAnsi="宋体"/>
          <w:color w:val="000000" w:themeColor="text1"/>
          <w14:textFill>
            <w14:solidFill>
              <w14:schemeClr w14:val="tx1"/>
            </w14:solidFill>
          </w14:textFill>
        </w:rPr>
        <w:t>17.4 通风系统和扬尘控制</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_Toc29803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73</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"_Toc12780" </w:instrText>
      </w:r>
      <w:r>
        <w:fldChar w:fldCharType="separate"/>
      </w:r>
      <w:r>
        <w:rPr>
          <w:rFonts w:hint="eastAsia"/>
          <w:color w:val="000000" w:themeColor="text1"/>
          <w:szCs w:val="28"/>
          <w14:textFill>
            <w14:solidFill>
              <w14:schemeClr w14:val="tx1"/>
            </w14:solidFill>
          </w14:textFill>
        </w:rPr>
        <w:t>本规程用词说明</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_Toc12780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76</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"_Toc2910" </w:instrText>
      </w:r>
      <w:r>
        <w:fldChar w:fldCharType="separate"/>
      </w:r>
      <w:r>
        <w:rPr>
          <w:rFonts w:hint="eastAsia"/>
          <w:color w:val="000000" w:themeColor="text1"/>
          <w:szCs w:val="28"/>
          <w14:textFill>
            <w14:solidFill>
              <w14:schemeClr w14:val="tx1"/>
            </w14:solidFill>
          </w14:textFill>
        </w:rPr>
        <w:t>引用标准名录</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_Toc2910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77</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"_Toc2910" </w:instrText>
      </w:r>
      <w:r>
        <w:fldChar w:fldCharType="separate"/>
      </w:r>
      <w:r>
        <w:rPr>
          <w:rFonts w:hint="eastAsia"/>
          <w:color w:val="000000" w:themeColor="text1"/>
          <w:szCs w:val="28"/>
          <w14:textFill>
            <w14:solidFill>
              <w14:schemeClr w14:val="tx1"/>
            </w14:solidFill>
          </w14:textFill>
        </w:rPr>
        <w:t>条文说明</w:t>
      </w:r>
      <w:r>
        <w:rPr>
          <w:color w:val="000000" w:themeColor="text1"/>
          <w14:textFill>
            <w14:solidFill>
              <w14:schemeClr w14:val="tx1"/>
            </w14:solidFill>
          </w14:textFill>
        </w:rPr>
        <w:tab/>
      </w:r>
      <w:r>
        <w:rPr>
          <w:color w:val="000000" w:themeColor="text1"/>
          <w14:textFill>
            <w14:solidFill>
              <w14:schemeClr w14:val="tx1"/>
            </w14:solidFill>
          </w14:textFill>
        </w:rPr>
        <w:fldChar w:fldCharType="begin"/>
      </w:r>
      <w:r>
        <w:rPr>
          <w:color w:val="000000" w:themeColor="text1"/>
          <w14:textFill>
            <w14:solidFill>
              <w14:schemeClr w14:val="tx1"/>
            </w14:solidFill>
          </w14:textFill>
        </w:rPr>
        <w:instrText xml:space="preserve"> PAGEREF _Toc2910 \h </w:instrText>
      </w:r>
      <w:r>
        <w:rPr>
          <w:color w:val="000000" w:themeColor="text1"/>
          <w14:textFill>
            <w14:solidFill>
              <w14:schemeClr w14:val="tx1"/>
            </w14:solidFill>
          </w14:textFill>
        </w:rPr>
        <w:fldChar w:fldCharType="separate"/>
      </w:r>
      <w:r>
        <w:rPr>
          <w:color w:val="000000" w:themeColor="text1"/>
          <w14:textFill>
            <w14:solidFill>
              <w14:schemeClr w14:val="tx1"/>
            </w14:solidFill>
          </w14:textFill>
        </w:rPr>
        <w:t>7</w:t>
      </w:r>
      <w:r>
        <w:rPr>
          <w:color w:val="000000" w:themeColor="text1"/>
          <w14:textFill>
            <w14:solidFill>
              <w14:schemeClr w14:val="tx1"/>
            </w14:solidFill>
          </w14:textFill>
        </w:rPr>
        <w:fldChar w:fldCharType="end"/>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8</w:t>
      </w:r>
    </w:p>
    <w:p>
      <w:pPr>
        <w:rPr>
          <w:color w:val="000000" w:themeColor="text1"/>
          <w14:textFill>
            <w14:solidFill>
              <w14:schemeClr w14:val="tx1"/>
            </w14:solidFill>
          </w14:textFill>
        </w:rPr>
      </w:pPr>
      <w:r>
        <w:rPr>
          <w:color w:val="000000" w:themeColor="text1"/>
          <w14:textFill>
            <w14:solidFill>
              <w14:schemeClr w14:val="tx1"/>
            </w14:solidFill>
          </w14:textFill>
        </w:rPr>
        <w:br w:type="page"/>
      </w:r>
    </w:p>
    <w:p>
      <w:pPr>
        <w:snapToGrid w:val="0"/>
        <w:spacing w:after="312" w:afterLines="100" w:line="300" w:lineRule="auto"/>
        <w:jc w:val="center"/>
        <w:rPr>
          <w:bCs/>
          <w:color w:val="000000" w:themeColor="text1"/>
          <w:sz w:val="28"/>
          <w:szCs w:val="28"/>
          <w14:textFill>
            <w14:solidFill>
              <w14:schemeClr w14:val="tx1"/>
            </w14:solidFill>
          </w14:textFill>
        </w:rPr>
      </w:pPr>
      <w:r>
        <w:rPr>
          <w:bCs/>
          <w:color w:val="000000" w:themeColor="text1"/>
          <w:sz w:val="28"/>
          <w:szCs w:val="28"/>
          <w14:textFill>
            <w14:solidFill>
              <w14:schemeClr w14:val="tx1"/>
            </w14:solidFill>
          </w14:textFill>
        </w:rPr>
        <w:t>Contents</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1  General provisions…………………………………………………………………………1</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2  Terms………………………………………………………………………………………2</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3  Basic</w:t>
      </w:r>
      <w:r>
        <w:rPr>
          <w:rFonts w:hint="eastAsia"/>
          <w:bCs/>
          <w:color w:val="000000" w:themeColor="text1"/>
          <w:szCs w:val="21"/>
          <w14:textFill>
            <w14:solidFill>
              <w14:schemeClr w14:val="tx1"/>
            </w14:solidFill>
          </w14:textFill>
        </w:rPr>
        <w:t xml:space="preserve"> requirements</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4</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4  Construction preparation……………………………………………………………………</w:t>
      </w:r>
      <w:r>
        <w:rPr>
          <w:rFonts w:hint="eastAsia"/>
          <w:bCs/>
          <w:color w:val="000000" w:themeColor="text1"/>
          <w:szCs w:val="21"/>
          <w14:textFill>
            <w14:solidFill>
              <w14:schemeClr w14:val="tx1"/>
            </w14:solidFill>
          </w14:textFill>
        </w:rPr>
        <w:t>5</w:t>
      </w:r>
    </w:p>
    <w:p>
      <w:pPr>
        <w:snapToGrid w:val="0"/>
        <w:spacing w:line="300" w:lineRule="auto"/>
        <w:jc w:val="distribut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5</w:t>
      </w:r>
      <w:r>
        <w:rPr>
          <w:bCs/>
          <w:color w:val="000000" w:themeColor="text1"/>
          <w:szCs w:val="21"/>
          <w14:textFill>
            <w14:solidFill>
              <w14:schemeClr w14:val="tx1"/>
            </w14:solidFill>
          </w14:textFill>
        </w:rPr>
        <w:t xml:space="preserve">  Construction </w:t>
      </w:r>
      <w:r>
        <w:rPr>
          <w:rFonts w:hint="eastAsia"/>
          <w:bCs/>
          <w:color w:val="000000" w:themeColor="text1"/>
          <w:szCs w:val="21"/>
          <w14:textFill>
            <w14:solidFill>
              <w14:schemeClr w14:val="tx1"/>
            </w14:solidFill>
          </w14:textFill>
        </w:rPr>
        <w:t>survey</w:t>
      </w:r>
      <w:r>
        <w:rPr>
          <w:bCs/>
          <w:color w:val="000000" w:themeColor="text1"/>
          <w:szCs w:val="21"/>
          <w14:textFill>
            <w14:solidFill>
              <w14:schemeClr w14:val="tx1"/>
            </w14:solidFill>
          </w14:textFill>
        </w:rPr>
        <w:t>…………………………………………………………………………6</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5</w:t>
      </w:r>
      <w:r>
        <w:rPr>
          <w:bCs/>
          <w:color w:val="000000" w:themeColor="text1"/>
          <w:szCs w:val="21"/>
          <w14:textFill>
            <w14:solidFill>
              <w14:schemeClr w14:val="tx1"/>
            </w14:solidFill>
          </w14:textFill>
        </w:rPr>
        <w:t>.1  Gen</w:t>
      </w:r>
      <w:r>
        <w:rPr>
          <w:rFonts w:hint="eastAsia"/>
          <w:bCs/>
          <w:color w:val="000000" w:themeColor="text1"/>
          <w:szCs w:val="21"/>
          <w14:textFill>
            <w14:solidFill>
              <w14:schemeClr w14:val="tx1"/>
            </w14:solidFill>
          </w14:textFill>
        </w:rPr>
        <w:t>e</w:t>
      </w:r>
      <w:r>
        <w:rPr>
          <w:bCs/>
          <w:color w:val="000000" w:themeColor="text1"/>
          <w:szCs w:val="21"/>
          <w14:textFill>
            <w14:solidFill>
              <w14:schemeClr w14:val="tx1"/>
            </w14:solidFill>
          </w14:textFill>
        </w:rPr>
        <w:t>ral</w:t>
      </w:r>
      <w:r>
        <w:rPr>
          <w:rFonts w:hint="eastAsia"/>
          <w:bCs/>
          <w:color w:val="000000" w:themeColor="text1"/>
          <w:szCs w:val="21"/>
          <w14:textFill>
            <w14:solidFill>
              <w14:schemeClr w14:val="tx1"/>
            </w14:solidFill>
          </w14:textFill>
        </w:rPr>
        <w:t xml:space="preserve"> requirements</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6</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5</w:t>
      </w:r>
      <w:r>
        <w:rPr>
          <w:bCs/>
          <w:color w:val="000000" w:themeColor="text1"/>
          <w:szCs w:val="21"/>
          <w14:textFill>
            <w14:solidFill>
              <w14:schemeClr w14:val="tx1"/>
            </w14:solidFill>
          </w14:textFill>
        </w:rPr>
        <w:t>.2  Conn</w:t>
      </w:r>
      <w:r>
        <w:rPr>
          <w:rFonts w:hint="eastAsia"/>
          <w:bCs/>
          <w:color w:val="000000" w:themeColor="text1"/>
          <w:szCs w:val="21"/>
          <w14:textFill>
            <w14:solidFill>
              <w14:schemeClr w14:val="tx1"/>
            </w14:solidFill>
          </w14:textFill>
        </w:rPr>
        <w:t>ection survey</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6</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5</w:t>
      </w:r>
      <w:r>
        <w:rPr>
          <w:bCs/>
          <w:color w:val="000000" w:themeColor="text1"/>
          <w:szCs w:val="21"/>
          <w14:textFill>
            <w14:solidFill>
              <w14:schemeClr w14:val="tx1"/>
            </w14:solidFill>
          </w14:textFill>
        </w:rPr>
        <w:t xml:space="preserve">.3  </w:t>
      </w:r>
      <w:r>
        <w:rPr>
          <w:rFonts w:hint="eastAsia"/>
          <w:bCs/>
          <w:color w:val="000000" w:themeColor="text1"/>
          <w:szCs w:val="21"/>
          <w14:textFill>
            <w14:solidFill>
              <w14:schemeClr w14:val="tx1"/>
            </w14:solidFill>
          </w14:textFill>
        </w:rPr>
        <w:t>Underground control</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survey</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7</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5</w:t>
      </w:r>
      <w:r>
        <w:rPr>
          <w:bCs/>
          <w:color w:val="000000" w:themeColor="text1"/>
          <w:szCs w:val="21"/>
          <w14:textFill>
            <w14:solidFill>
              <w14:schemeClr w14:val="tx1"/>
            </w14:solidFill>
          </w14:textFill>
        </w:rPr>
        <w:t xml:space="preserve">.4  Construction </w:t>
      </w:r>
      <w:r>
        <w:rPr>
          <w:rFonts w:hint="eastAsia"/>
          <w:bCs/>
          <w:color w:val="000000" w:themeColor="text1"/>
          <w:szCs w:val="21"/>
          <w14:textFill>
            <w14:solidFill>
              <w14:schemeClr w14:val="tx1"/>
            </w14:solidFill>
          </w14:textFill>
        </w:rPr>
        <w:t>survey</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7</w:t>
      </w:r>
    </w:p>
    <w:p>
      <w:pPr>
        <w:snapToGrid w:val="0"/>
        <w:spacing w:line="300" w:lineRule="auto"/>
        <w:jc w:val="distribut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 xml:space="preserve">  </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5</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5</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Break through</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survey</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9</w:t>
      </w:r>
    </w:p>
    <w:p>
      <w:pPr>
        <w:snapToGrid w:val="0"/>
        <w:spacing w:line="300" w:lineRule="auto"/>
        <w:jc w:val="distribut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6</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Groundwater control</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10</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6</w:t>
      </w:r>
      <w:r>
        <w:rPr>
          <w:bCs/>
          <w:color w:val="000000" w:themeColor="text1"/>
          <w:szCs w:val="21"/>
          <w14:textFill>
            <w14:solidFill>
              <w14:schemeClr w14:val="tx1"/>
            </w14:solidFill>
          </w14:textFill>
        </w:rPr>
        <w:t>.1  Gen</w:t>
      </w:r>
      <w:r>
        <w:rPr>
          <w:rFonts w:hint="eastAsia"/>
          <w:bCs/>
          <w:color w:val="000000" w:themeColor="text1"/>
          <w:szCs w:val="21"/>
          <w14:textFill>
            <w14:solidFill>
              <w14:schemeClr w14:val="tx1"/>
            </w14:solidFill>
          </w14:textFill>
        </w:rPr>
        <w:t>e</w:t>
      </w:r>
      <w:r>
        <w:rPr>
          <w:bCs/>
          <w:color w:val="000000" w:themeColor="text1"/>
          <w:szCs w:val="21"/>
          <w14:textFill>
            <w14:solidFill>
              <w14:schemeClr w14:val="tx1"/>
            </w14:solidFill>
          </w14:textFill>
        </w:rPr>
        <w:t>ral</w:t>
      </w:r>
      <w:r>
        <w:rPr>
          <w:rFonts w:hint="eastAsia"/>
          <w:bCs/>
          <w:color w:val="000000" w:themeColor="text1"/>
          <w:szCs w:val="21"/>
          <w14:textFill>
            <w14:solidFill>
              <w14:schemeClr w14:val="tx1"/>
            </w14:solidFill>
          </w14:textFill>
        </w:rPr>
        <w:t xml:space="preserve"> requirements</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10</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6</w:t>
      </w:r>
      <w:r>
        <w:rPr>
          <w:bCs/>
          <w:color w:val="000000" w:themeColor="text1"/>
          <w:szCs w:val="21"/>
          <w14:textFill>
            <w14:solidFill>
              <w14:schemeClr w14:val="tx1"/>
            </w14:solidFill>
          </w14:textFill>
        </w:rPr>
        <w:t xml:space="preserve">.2  </w:t>
      </w:r>
      <w:r>
        <w:rPr>
          <w:rFonts w:hint="eastAsia"/>
          <w:bCs/>
          <w:color w:val="000000" w:themeColor="text1"/>
          <w:szCs w:val="21"/>
          <w14:textFill>
            <w14:solidFill>
              <w14:schemeClr w14:val="tx1"/>
            </w14:solidFill>
          </w14:textFill>
        </w:rPr>
        <w:t>Dewater and drainage</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11</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 xml:space="preserve">  6</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3</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Full-face deep hole grouting</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12</w:t>
      </w:r>
    </w:p>
    <w:p>
      <w:pPr>
        <w:snapToGrid w:val="0"/>
        <w:spacing w:line="300" w:lineRule="auto"/>
        <w:jc w:val="distribut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 xml:space="preserve">  </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6</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4</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Horizontal whirling jet grouting for stopping up water</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14</w:t>
      </w:r>
    </w:p>
    <w:p>
      <w:pPr>
        <w:snapToGrid w:val="0"/>
        <w:spacing w:line="300" w:lineRule="auto"/>
        <w:jc w:val="distribut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7</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Strata supporting and grouting reinforcement in advance</w:t>
      </w:r>
      <w:r>
        <w:rPr>
          <w:bCs/>
          <w:color w:val="000000" w:themeColor="text1"/>
          <w:szCs w:val="21"/>
          <w14:textFill>
            <w14:solidFill>
              <w14:schemeClr w14:val="tx1"/>
            </w14:solidFill>
          </w14:textFill>
        </w:rPr>
        <w:t>…………………………………1</w:t>
      </w:r>
      <w:r>
        <w:rPr>
          <w:rFonts w:hint="eastAsia"/>
          <w:bCs/>
          <w:color w:val="000000" w:themeColor="text1"/>
          <w:szCs w:val="21"/>
          <w14:textFill>
            <w14:solidFill>
              <w14:schemeClr w14:val="tx1"/>
            </w14:solidFill>
          </w14:textFill>
        </w:rPr>
        <w:t>6</w:t>
      </w:r>
    </w:p>
    <w:p>
      <w:pPr>
        <w:snapToGrid w:val="0"/>
        <w:spacing w:line="300" w:lineRule="auto"/>
        <w:jc w:val="distribut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 xml:space="preserve">  </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7</w:t>
      </w:r>
      <w:r>
        <w:rPr>
          <w:bCs/>
          <w:color w:val="000000" w:themeColor="text1"/>
          <w:szCs w:val="21"/>
          <w14:textFill>
            <w14:solidFill>
              <w14:schemeClr w14:val="tx1"/>
            </w14:solidFill>
          </w14:textFill>
        </w:rPr>
        <w:t>.1  Gen</w:t>
      </w:r>
      <w:r>
        <w:rPr>
          <w:rFonts w:hint="eastAsia"/>
          <w:bCs/>
          <w:color w:val="000000" w:themeColor="text1"/>
          <w:szCs w:val="21"/>
          <w14:textFill>
            <w14:solidFill>
              <w14:schemeClr w14:val="tx1"/>
            </w14:solidFill>
          </w14:textFill>
        </w:rPr>
        <w:t>e</w:t>
      </w:r>
      <w:r>
        <w:rPr>
          <w:bCs/>
          <w:color w:val="000000" w:themeColor="text1"/>
          <w:szCs w:val="21"/>
          <w14:textFill>
            <w14:solidFill>
              <w14:schemeClr w14:val="tx1"/>
            </w14:solidFill>
          </w14:textFill>
        </w:rPr>
        <w:t>ral</w:t>
      </w:r>
      <w:r>
        <w:rPr>
          <w:rFonts w:hint="eastAsia"/>
          <w:bCs/>
          <w:color w:val="000000" w:themeColor="text1"/>
          <w:szCs w:val="21"/>
          <w14:textFill>
            <w14:solidFill>
              <w14:schemeClr w14:val="tx1"/>
            </w14:solidFill>
          </w14:textFill>
        </w:rPr>
        <w:t xml:space="preserve"> requirements</w:t>
      </w:r>
      <w:r>
        <w:rPr>
          <w:bCs/>
          <w:color w:val="000000" w:themeColor="text1"/>
          <w:szCs w:val="21"/>
          <w14:textFill>
            <w14:solidFill>
              <w14:schemeClr w14:val="tx1"/>
            </w14:solidFill>
          </w14:textFill>
        </w:rPr>
        <w:t>…………………………………………………………………1</w:t>
      </w:r>
      <w:r>
        <w:rPr>
          <w:rFonts w:hint="eastAsia"/>
          <w:bCs/>
          <w:color w:val="000000" w:themeColor="text1"/>
          <w:szCs w:val="21"/>
          <w14:textFill>
            <w14:solidFill>
              <w14:schemeClr w14:val="tx1"/>
            </w14:solidFill>
          </w14:textFill>
        </w:rPr>
        <w:t>6</w:t>
      </w:r>
    </w:p>
    <w:p>
      <w:pPr>
        <w:snapToGrid w:val="0"/>
        <w:spacing w:line="300" w:lineRule="auto"/>
        <w:jc w:val="distribut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 xml:space="preserve"> </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7</w:t>
      </w:r>
      <w:r>
        <w:rPr>
          <w:bCs/>
          <w:color w:val="000000" w:themeColor="text1"/>
          <w:szCs w:val="21"/>
          <w14:textFill>
            <w14:solidFill>
              <w14:schemeClr w14:val="tx1"/>
            </w14:solidFill>
          </w14:textFill>
        </w:rPr>
        <w:t xml:space="preserve">.2  </w:t>
      </w:r>
      <w:r>
        <w:rPr>
          <w:rFonts w:hint="eastAsia"/>
          <w:bCs/>
          <w:color w:val="000000" w:themeColor="text1"/>
          <w:szCs w:val="21"/>
          <w14:textFill>
            <w14:solidFill>
              <w14:schemeClr w14:val="tx1"/>
            </w14:solidFill>
          </w14:textFill>
        </w:rPr>
        <w:t>Leading conduit support</w:t>
      </w:r>
      <w:r>
        <w:rPr>
          <w:bCs/>
          <w:color w:val="000000" w:themeColor="text1"/>
          <w:szCs w:val="21"/>
          <w14:textFill>
            <w14:solidFill>
              <w14:schemeClr w14:val="tx1"/>
            </w14:solidFill>
          </w14:textFill>
        </w:rPr>
        <w:t>………………………………………………………………1</w:t>
      </w:r>
      <w:r>
        <w:rPr>
          <w:rFonts w:hint="eastAsia"/>
          <w:bCs/>
          <w:color w:val="000000" w:themeColor="text1"/>
          <w:szCs w:val="21"/>
          <w14:textFill>
            <w14:solidFill>
              <w14:schemeClr w14:val="tx1"/>
            </w14:solidFill>
          </w14:textFill>
        </w:rPr>
        <w:t>6</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7</w:t>
      </w:r>
      <w:r>
        <w:rPr>
          <w:bCs/>
          <w:color w:val="000000" w:themeColor="text1"/>
          <w:szCs w:val="21"/>
          <w14:textFill>
            <w14:solidFill>
              <w14:schemeClr w14:val="tx1"/>
            </w14:solidFill>
          </w14:textFill>
        </w:rPr>
        <w:t xml:space="preserve">.3  </w:t>
      </w:r>
      <w:r>
        <w:rPr>
          <w:rFonts w:hint="eastAsia"/>
          <w:bCs/>
          <w:color w:val="000000" w:themeColor="text1"/>
          <w:szCs w:val="21"/>
          <w14:textFill>
            <w14:solidFill>
              <w14:schemeClr w14:val="tx1"/>
            </w14:solidFill>
          </w14:textFill>
        </w:rPr>
        <w:t>Pipe shed support</w:t>
      </w:r>
      <w:r>
        <w:rPr>
          <w:bCs/>
          <w:color w:val="000000" w:themeColor="text1"/>
          <w:szCs w:val="21"/>
          <w14:textFill>
            <w14:solidFill>
              <w14:schemeClr w14:val="tx1"/>
            </w14:solidFill>
          </w14:textFill>
        </w:rPr>
        <w:t>………………………………………………………………… …1</w:t>
      </w:r>
      <w:r>
        <w:rPr>
          <w:rFonts w:hint="eastAsia"/>
          <w:bCs/>
          <w:color w:val="000000" w:themeColor="text1"/>
          <w:szCs w:val="21"/>
          <w14:textFill>
            <w14:solidFill>
              <w14:schemeClr w14:val="tx1"/>
            </w14:solidFill>
          </w14:textFill>
        </w:rPr>
        <w:t>8</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7</w:t>
      </w:r>
      <w:r>
        <w:rPr>
          <w:bCs/>
          <w:color w:val="000000" w:themeColor="text1"/>
          <w:szCs w:val="21"/>
          <w14:textFill>
            <w14:solidFill>
              <w14:schemeClr w14:val="tx1"/>
            </w14:solidFill>
          </w14:textFill>
        </w:rPr>
        <w:t xml:space="preserve">.4 </w:t>
      </w:r>
      <w:r>
        <w:rPr>
          <w:rFonts w:hint="eastAsia"/>
          <w:bCs/>
          <w:color w:val="000000" w:themeColor="text1"/>
          <w:szCs w:val="21"/>
          <w14:textFill>
            <w14:solidFill>
              <w14:schemeClr w14:val="tx1"/>
            </w14:solidFill>
          </w14:textFill>
        </w:rPr>
        <w:t xml:space="preserve"> Pipe proof support</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19</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7</w:t>
      </w:r>
      <w:r>
        <w:rPr>
          <w:bCs/>
          <w:color w:val="000000" w:themeColor="text1"/>
          <w:szCs w:val="21"/>
          <w14:textFill>
            <w14:solidFill>
              <w14:schemeClr w14:val="tx1"/>
            </w14:solidFill>
          </w14:textFill>
        </w:rPr>
        <w:t xml:space="preserve">.5  </w:t>
      </w:r>
      <w:r>
        <w:rPr>
          <w:rFonts w:hint="eastAsia"/>
          <w:bCs/>
          <w:color w:val="000000" w:themeColor="text1"/>
          <w:szCs w:val="21"/>
          <w14:textFill>
            <w14:solidFill>
              <w14:schemeClr w14:val="tx1"/>
            </w14:solidFill>
          </w14:textFill>
        </w:rPr>
        <w:t>Deep-hole grouting reinforcement</w:t>
      </w:r>
      <w:r>
        <w:rPr>
          <w:bCs/>
          <w:color w:val="000000" w:themeColor="text1"/>
          <w:szCs w:val="21"/>
          <w14:textFill>
            <w14:solidFill>
              <w14:schemeClr w14:val="tx1"/>
            </w14:solidFill>
          </w14:textFill>
        </w:rPr>
        <w:t>……………………………………………………1</w:t>
      </w:r>
      <w:r>
        <w:rPr>
          <w:rFonts w:hint="eastAsia"/>
          <w:bCs/>
          <w:color w:val="000000" w:themeColor="text1"/>
          <w:szCs w:val="21"/>
          <w14:textFill>
            <w14:solidFill>
              <w14:schemeClr w14:val="tx1"/>
            </w14:solidFill>
          </w14:textFill>
        </w:rPr>
        <w:t>9</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7</w:t>
      </w:r>
      <w:r>
        <w:rPr>
          <w:bCs/>
          <w:color w:val="000000" w:themeColor="text1"/>
          <w:szCs w:val="21"/>
          <w14:textFill>
            <w14:solidFill>
              <w14:schemeClr w14:val="tx1"/>
            </w14:solidFill>
          </w14:textFill>
        </w:rPr>
        <w:t xml:space="preserve">.6  </w:t>
      </w:r>
      <w:r>
        <w:rPr>
          <w:rFonts w:hint="eastAsia"/>
          <w:bCs/>
          <w:color w:val="000000" w:themeColor="text1"/>
          <w:szCs w:val="21"/>
          <w14:textFill>
            <w14:solidFill>
              <w14:schemeClr w14:val="tx1"/>
            </w14:solidFill>
          </w14:textFill>
        </w:rPr>
        <w:t>Horizontal whirling jet grouting reinforcement</w:t>
      </w:r>
      <w:r>
        <w:rPr>
          <w:bCs/>
          <w:color w:val="000000" w:themeColor="text1"/>
          <w:szCs w:val="21"/>
          <w14:textFill>
            <w14:solidFill>
              <w14:schemeClr w14:val="tx1"/>
            </w14:solidFill>
          </w14:textFill>
        </w:rPr>
        <w:t>………………………………………2</w:t>
      </w:r>
      <w:r>
        <w:rPr>
          <w:rFonts w:hint="eastAsia"/>
          <w:bCs/>
          <w:color w:val="000000" w:themeColor="text1"/>
          <w:szCs w:val="21"/>
          <w14:textFill>
            <w14:solidFill>
              <w14:schemeClr w14:val="tx1"/>
            </w14:solidFill>
          </w14:textFill>
        </w:rPr>
        <w:t>1</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8</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 xml:space="preserve"> Raw materials、component and fittings</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22</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8</w:t>
      </w:r>
      <w:r>
        <w:rPr>
          <w:bCs/>
          <w:color w:val="000000" w:themeColor="text1"/>
          <w:szCs w:val="21"/>
          <w14:textFill>
            <w14:solidFill>
              <w14:schemeClr w14:val="tx1"/>
            </w14:solidFill>
          </w14:textFill>
        </w:rPr>
        <w:t>.1  Gen</w:t>
      </w:r>
      <w:r>
        <w:rPr>
          <w:rFonts w:hint="eastAsia"/>
          <w:bCs/>
          <w:color w:val="000000" w:themeColor="text1"/>
          <w:szCs w:val="21"/>
          <w14:textFill>
            <w14:solidFill>
              <w14:schemeClr w14:val="tx1"/>
            </w14:solidFill>
          </w14:textFill>
        </w:rPr>
        <w:t>e</w:t>
      </w:r>
      <w:r>
        <w:rPr>
          <w:bCs/>
          <w:color w:val="000000" w:themeColor="text1"/>
          <w:szCs w:val="21"/>
          <w14:textFill>
            <w14:solidFill>
              <w14:schemeClr w14:val="tx1"/>
            </w14:solidFill>
          </w14:textFill>
        </w:rPr>
        <w:t>ral</w:t>
      </w:r>
      <w:r>
        <w:rPr>
          <w:rFonts w:hint="eastAsia"/>
          <w:bCs/>
          <w:color w:val="000000" w:themeColor="text1"/>
          <w:szCs w:val="21"/>
          <w14:textFill>
            <w14:solidFill>
              <w14:schemeClr w14:val="tx1"/>
            </w14:solidFill>
          </w14:textFill>
        </w:rPr>
        <w:t xml:space="preserve"> requirements</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22</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8</w:t>
      </w:r>
      <w:r>
        <w:rPr>
          <w:bCs/>
          <w:color w:val="000000" w:themeColor="text1"/>
          <w:szCs w:val="21"/>
          <w14:textFill>
            <w14:solidFill>
              <w14:schemeClr w14:val="tx1"/>
            </w14:solidFill>
          </w14:textFill>
        </w:rPr>
        <w:t xml:space="preserve">.2  </w:t>
      </w:r>
      <w:r>
        <w:rPr>
          <w:rFonts w:hint="eastAsia"/>
          <w:bCs/>
          <w:color w:val="000000" w:themeColor="text1"/>
          <w:szCs w:val="21"/>
          <w14:textFill>
            <w14:solidFill>
              <w14:schemeClr w14:val="tx1"/>
            </w14:solidFill>
          </w14:textFill>
        </w:rPr>
        <w:t>Lattice girder arch、s</w:t>
      </w:r>
      <w:r>
        <w:rPr>
          <w:bCs/>
          <w:color w:val="000000" w:themeColor="text1"/>
          <w:szCs w:val="21"/>
          <w14:textFill>
            <w14:solidFill>
              <w14:schemeClr w14:val="tx1"/>
            </w14:solidFill>
          </w14:textFill>
        </w:rPr>
        <w:t xml:space="preserve">teel </w:t>
      </w:r>
      <w:r>
        <w:rPr>
          <w:rFonts w:hint="eastAsia"/>
          <w:bCs/>
          <w:color w:val="000000" w:themeColor="text1"/>
          <w:szCs w:val="21"/>
          <w14:textFill>
            <w14:solidFill>
              <w14:schemeClr w14:val="tx1"/>
            </w14:solidFill>
          </w14:textFill>
        </w:rPr>
        <w:t xml:space="preserve">bar mesh processing </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22</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8</w:t>
      </w:r>
      <w:r>
        <w:rPr>
          <w:bCs/>
          <w:color w:val="000000" w:themeColor="text1"/>
          <w:szCs w:val="21"/>
          <w14:textFill>
            <w14:solidFill>
              <w14:schemeClr w14:val="tx1"/>
            </w14:solidFill>
          </w14:textFill>
        </w:rPr>
        <w:t xml:space="preserve">.3  Steel </w:t>
      </w:r>
      <w:r>
        <w:rPr>
          <w:rFonts w:hint="eastAsia"/>
          <w:bCs/>
          <w:color w:val="000000" w:themeColor="text1"/>
          <w:szCs w:val="21"/>
          <w14:textFill>
            <w14:solidFill>
              <w14:schemeClr w14:val="tx1"/>
            </w14:solidFill>
          </w14:textFill>
        </w:rPr>
        <w:t xml:space="preserve">bar processing </w:t>
      </w:r>
      <w:r>
        <w:rPr>
          <w:bCs/>
          <w:color w:val="000000" w:themeColor="text1"/>
          <w:szCs w:val="21"/>
          <w14:textFill>
            <w14:solidFill>
              <w14:schemeClr w14:val="tx1"/>
            </w14:solidFill>
          </w14:textFill>
        </w:rPr>
        <w:t>……………………………………………………………… …</w:t>
      </w:r>
      <w:r>
        <w:rPr>
          <w:rFonts w:hint="eastAsia"/>
          <w:bCs/>
          <w:color w:val="000000" w:themeColor="text1"/>
          <w:szCs w:val="21"/>
          <w14:textFill>
            <w14:solidFill>
              <w14:schemeClr w14:val="tx1"/>
            </w14:solidFill>
          </w14:textFill>
        </w:rPr>
        <w:t>23</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8</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4  Shotcrete</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24</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8</w:t>
      </w:r>
      <w:r>
        <w:rPr>
          <w:bCs/>
          <w:color w:val="000000" w:themeColor="text1"/>
          <w:szCs w:val="21"/>
          <w14:textFill>
            <w14:solidFill>
              <w14:schemeClr w14:val="tx1"/>
            </w14:solidFill>
          </w14:textFill>
        </w:rPr>
        <w:t xml:space="preserve">.5  </w:t>
      </w:r>
      <w:r>
        <w:rPr>
          <w:rFonts w:hint="eastAsia"/>
          <w:bCs/>
          <w:color w:val="000000" w:themeColor="text1"/>
          <w:szCs w:val="21"/>
          <w14:textFill>
            <w14:solidFill>
              <w14:schemeClr w14:val="tx1"/>
            </w14:solidFill>
          </w14:textFill>
        </w:rPr>
        <w:t>Waterproof concrete</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25</w:t>
      </w:r>
    </w:p>
    <w:p>
      <w:pPr>
        <w:snapToGrid w:val="0"/>
        <w:spacing w:line="300" w:lineRule="auto"/>
        <w:jc w:val="distribut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9</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Shaft and transport channel</w:t>
      </w:r>
      <w:r>
        <w:rPr>
          <w:bCs/>
          <w:color w:val="000000" w:themeColor="text1"/>
          <w:szCs w:val="21"/>
          <w14:textFill>
            <w14:solidFill>
              <w14:schemeClr w14:val="tx1"/>
            </w14:solidFill>
          </w14:textFill>
        </w:rPr>
        <w:t>…………………………………………………………………2</w:t>
      </w:r>
      <w:r>
        <w:rPr>
          <w:rFonts w:hint="eastAsia"/>
          <w:bCs/>
          <w:color w:val="000000" w:themeColor="text1"/>
          <w:szCs w:val="21"/>
          <w14:textFill>
            <w14:solidFill>
              <w14:schemeClr w14:val="tx1"/>
            </w14:solidFill>
          </w14:textFill>
        </w:rPr>
        <w:t>7</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9</w:t>
      </w:r>
      <w:r>
        <w:rPr>
          <w:bCs/>
          <w:color w:val="000000" w:themeColor="text1"/>
          <w:szCs w:val="21"/>
          <w14:textFill>
            <w14:solidFill>
              <w14:schemeClr w14:val="tx1"/>
            </w14:solidFill>
          </w14:textFill>
        </w:rPr>
        <w:t>.1  Gen</w:t>
      </w:r>
      <w:r>
        <w:rPr>
          <w:rFonts w:hint="eastAsia"/>
          <w:bCs/>
          <w:color w:val="000000" w:themeColor="text1"/>
          <w:szCs w:val="21"/>
          <w14:textFill>
            <w14:solidFill>
              <w14:schemeClr w14:val="tx1"/>
            </w14:solidFill>
          </w14:textFill>
        </w:rPr>
        <w:t>e</w:t>
      </w:r>
      <w:r>
        <w:rPr>
          <w:bCs/>
          <w:color w:val="000000" w:themeColor="text1"/>
          <w:szCs w:val="21"/>
          <w14:textFill>
            <w14:solidFill>
              <w14:schemeClr w14:val="tx1"/>
            </w14:solidFill>
          </w14:textFill>
        </w:rPr>
        <w:t>ral</w:t>
      </w:r>
      <w:r>
        <w:rPr>
          <w:rFonts w:hint="eastAsia"/>
          <w:bCs/>
          <w:color w:val="000000" w:themeColor="text1"/>
          <w:szCs w:val="21"/>
          <w14:textFill>
            <w14:solidFill>
              <w14:schemeClr w14:val="tx1"/>
            </w14:solidFill>
          </w14:textFill>
        </w:rPr>
        <w:t xml:space="preserve"> requirements</w:t>
      </w:r>
      <w:r>
        <w:rPr>
          <w:bCs/>
          <w:color w:val="000000" w:themeColor="text1"/>
          <w:szCs w:val="21"/>
          <w14:textFill>
            <w14:solidFill>
              <w14:schemeClr w14:val="tx1"/>
            </w14:solidFill>
          </w14:textFill>
        </w:rPr>
        <w:t>…………………………………………………………………2</w:t>
      </w:r>
      <w:r>
        <w:rPr>
          <w:rFonts w:hint="eastAsia"/>
          <w:bCs/>
          <w:color w:val="000000" w:themeColor="text1"/>
          <w:szCs w:val="21"/>
          <w14:textFill>
            <w14:solidFill>
              <w14:schemeClr w14:val="tx1"/>
            </w14:solidFill>
          </w14:textFill>
        </w:rPr>
        <w:t>7</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9</w:t>
      </w:r>
      <w:r>
        <w:rPr>
          <w:bCs/>
          <w:color w:val="000000" w:themeColor="text1"/>
          <w:szCs w:val="21"/>
          <w14:textFill>
            <w14:solidFill>
              <w14:schemeClr w14:val="tx1"/>
            </w14:solidFill>
          </w14:textFill>
        </w:rPr>
        <w:t xml:space="preserve">.2  </w:t>
      </w:r>
      <w:r>
        <w:rPr>
          <w:rFonts w:hint="eastAsia"/>
          <w:bCs/>
          <w:color w:val="000000" w:themeColor="text1"/>
          <w:szCs w:val="21"/>
          <w14:textFill>
            <w14:solidFill>
              <w14:schemeClr w14:val="tx1"/>
            </w14:solidFill>
          </w14:textFill>
        </w:rPr>
        <w:t>Earthwork excavation</w:t>
      </w:r>
      <w:r>
        <w:rPr>
          <w:bCs/>
          <w:color w:val="000000" w:themeColor="text1"/>
          <w:szCs w:val="21"/>
          <w14:textFill>
            <w14:solidFill>
              <w14:schemeClr w14:val="tx1"/>
            </w14:solidFill>
          </w14:textFill>
        </w:rPr>
        <w:t>…………………………………………………………………2</w:t>
      </w:r>
      <w:r>
        <w:rPr>
          <w:rFonts w:hint="eastAsia"/>
          <w:bCs/>
          <w:color w:val="000000" w:themeColor="text1"/>
          <w:szCs w:val="21"/>
          <w14:textFill>
            <w14:solidFill>
              <w14:schemeClr w14:val="tx1"/>
            </w14:solidFill>
          </w14:textFill>
        </w:rPr>
        <w:t>7</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9</w:t>
      </w:r>
      <w:r>
        <w:rPr>
          <w:bCs/>
          <w:color w:val="000000" w:themeColor="text1"/>
          <w:szCs w:val="21"/>
          <w14:textFill>
            <w14:solidFill>
              <w14:schemeClr w14:val="tx1"/>
            </w14:solidFill>
          </w14:textFill>
        </w:rPr>
        <w:t xml:space="preserve">.3  </w:t>
      </w:r>
      <w:r>
        <w:rPr>
          <w:rFonts w:hint="eastAsia"/>
          <w:bCs/>
          <w:color w:val="000000" w:themeColor="text1"/>
          <w:szCs w:val="21"/>
          <w14:textFill>
            <w14:solidFill>
              <w14:schemeClr w14:val="tx1"/>
            </w14:solidFill>
          </w14:textFill>
        </w:rPr>
        <w:t>Primary reinforcement</w:t>
      </w:r>
      <w:r>
        <w:rPr>
          <w:bCs/>
          <w:color w:val="000000" w:themeColor="text1"/>
          <w:szCs w:val="21"/>
          <w14:textFill>
            <w14:solidFill>
              <w14:schemeClr w14:val="tx1"/>
            </w14:solidFill>
          </w14:textFill>
        </w:rPr>
        <w:t>…………………………………………………………………2</w:t>
      </w:r>
      <w:r>
        <w:rPr>
          <w:rFonts w:hint="eastAsia"/>
          <w:bCs/>
          <w:color w:val="000000" w:themeColor="text1"/>
          <w:szCs w:val="21"/>
          <w14:textFill>
            <w14:solidFill>
              <w14:schemeClr w14:val="tx1"/>
            </w14:solidFill>
          </w14:textFill>
        </w:rPr>
        <w:t>8</w:t>
      </w:r>
    </w:p>
    <w:p>
      <w:pPr>
        <w:snapToGrid w:val="0"/>
        <w:spacing w:line="300" w:lineRule="auto"/>
        <w:jc w:val="distribut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10</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 xml:space="preserve"> Ingate （Horsehead）</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29</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10</w:t>
      </w:r>
      <w:r>
        <w:rPr>
          <w:bCs/>
          <w:color w:val="000000" w:themeColor="text1"/>
          <w:szCs w:val="21"/>
          <w14:textFill>
            <w14:solidFill>
              <w14:schemeClr w14:val="tx1"/>
            </w14:solidFill>
          </w14:textFill>
        </w:rPr>
        <w:t>.1  Gen</w:t>
      </w:r>
      <w:r>
        <w:rPr>
          <w:rFonts w:hint="eastAsia"/>
          <w:bCs/>
          <w:color w:val="000000" w:themeColor="text1"/>
          <w:szCs w:val="21"/>
          <w14:textFill>
            <w14:solidFill>
              <w14:schemeClr w14:val="tx1"/>
            </w14:solidFill>
          </w14:textFill>
        </w:rPr>
        <w:t>e</w:t>
      </w:r>
      <w:r>
        <w:rPr>
          <w:bCs/>
          <w:color w:val="000000" w:themeColor="text1"/>
          <w:szCs w:val="21"/>
          <w14:textFill>
            <w14:solidFill>
              <w14:schemeClr w14:val="tx1"/>
            </w14:solidFill>
          </w14:textFill>
        </w:rPr>
        <w:t>ral</w:t>
      </w:r>
      <w:r>
        <w:rPr>
          <w:rFonts w:hint="eastAsia"/>
          <w:bCs/>
          <w:color w:val="000000" w:themeColor="text1"/>
          <w:szCs w:val="21"/>
          <w14:textFill>
            <w14:solidFill>
              <w14:schemeClr w14:val="tx1"/>
            </w14:solidFill>
          </w14:textFill>
        </w:rPr>
        <w:t xml:space="preserve"> requirements</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29</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10</w:t>
      </w:r>
      <w:r>
        <w:rPr>
          <w:bCs/>
          <w:color w:val="000000" w:themeColor="text1"/>
          <w:szCs w:val="21"/>
          <w14:textFill>
            <w14:solidFill>
              <w14:schemeClr w14:val="tx1"/>
            </w14:solidFill>
          </w14:textFill>
        </w:rPr>
        <w:t xml:space="preserve">.2  </w:t>
      </w:r>
      <w:r>
        <w:rPr>
          <w:rFonts w:hint="eastAsia"/>
          <w:bCs/>
          <w:color w:val="000000" w:themeColor="text1"/>
          <w:szCs w:val="21"/>
          <w14:textFill>
            <w14:solidFill>
              <w14:schemeClr w14:val="tx1"/>
            </w14:solidFill>
          </w14:textFill>
        </w:rPr>
        <w:t>Shaft</w:t>
      </w:r>
      <w:r>
        <w:rPr>
          <w:bCs/>
          <w:color w:val="000000" w:themeColor="text1"/>
          <w:szCs w:val="21"/>
          <w14:textFill>
            <w14:solidFill>
              <w14:schemeClr w14:val="tx1"/>
            </w14:solidFill>
          </w14:textFill>
        </w:rPr>
        <w:t xml:space="preserve"> in</w:t>
      </w:r>
      <w:r>
        <w:rPr>
          <w:rFonts w:hint="eastAsia"/>
          <w:bCs/>
          <w:color w:val="000000" w:themeColor="text1"/>
          <w:szCs w:val="21"/>
          <w14:textFill>
            <w14:solidFill>
              <w14:schemeClr w14:val="tx1"/>
            </w14:solidFill>
          </w14:textFill>
        </w:rPr>
        <w:t>g</w:t>
      </w:r>
      <w:r>
        <w:rPr>
          <w:bCs/>
          <w:color w:val="000000" w:themeColor="text1"/>
          <w:szCs w:val="21"/>
          <w14:textFill>
            <w14:solidFill>
              <w14:schemeClr w14:val="tx1"/>
            </w14:solidFill>
          </w14:textFill>
        </w:rPr>
        <w:t>a</w:t>
      </w:r>
      <w:r>
        <w:rPr>
          <w:rFonts w:hint="eastAsia"/>
          <w:bCs/>
          <w:color w:val="000000" w:themeColor="text1"/>
          <w:szCs w:val="21"/>
          <w14:textFill>
            <w14:solidFill>
              <w14:schemeClr w14:val="tx1"/>
            </w14:solidFill>
          </w14:textFill>
        </w:rPr>
        <w:t>te</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29</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10</w:t>
      </w:r>
      <w:r>
        <w:rPr>
          <w:bCs/>
          <w:color w:val="000000" w:themeColor="text1"/>
          <w:szCs w:val="21"/>
          <w14:textFill>
            <w14:solidFill>
              <w14:schemeClr w14:val="tx1"/>
            </w14:solidFill>
          </w14:textFill>
        </w:rPr>
        <w:t xml:space="preserve">.3  </w:t>
      </w:r>
      <w:r>
        <w:rPr>
          <w:rFonts w:hint="eastAsia"/>
          <w:bCs/>
          <w:color w:val="000000" w:themeColor="text1"/>
          <w:szCs w:val="21"/>
          <w14:textFill>
            <w14:solidFill>
              <w14:schemeClr w14:val="tx1"/>
            </w14:solidFill>
          </w14:textFill>
        </w:rPr>
        <w:t>Igate of cross passage</w:t>
      </w:r>
      <w:r>
        <w:rPr>
          <w:bCs/>
          <w:color w:val="000000" w:themeColor="text1"/>
          <w:szCs w:val="21"/>
          <w14:textFill>
            <w14:solidFill>
              <w14:schemeClr w14:val="tx1"/>
            </w14:solidFill>
          </w14:textFill>
        </w:rPr>
        <w:t>………………………………………………………………3</w:t>
      </w:r>
      <w:r>
        <w:rPr>
          <w:rFonts w:hint="eastAsia"/>
          <w:bCs/>
          <w:color w:val="000000" w:themeColor="text1"/>
          <w:szCs w:val="21"/>
          <w14:textFill>
            <w14:solidFill>
              <w14:schemeClr w14:val="tx1"/>
            </w14:solidFill>
          </w14:textFill>
        </w:rPr>
        <w:t>0</w:t>
      </w:r>
    </w:p>
    <w:p>
      <w:pPr>
        <w:snapToGrid w:val="0"/>
        <w:spacing w:line="300" w:lineRule="auto"/>
        <w:jc w:val="distribut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 xml:space="preserve">   10</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4</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Igate of shield connection tunnel</w:t>
      </w:r>
      <w:r>
        <w:rPr>
          <w:bCs/>
          <w:color w:val="000000" w:themeColor="text1"/>
          <w:szCs w:val="21"/>
          <w14:textFill>
            <w14:solidFill>
              <w14:schemeClr w14:val="tx1"/>
            </w14:solidFill>
          </w14:textFill>
        </w:rPr>
        <w:t>……………………………………………………3</w:t>
      </w:r>
      <w:r>
        <w:rPr>
          <w:rFonts w:hint="eastAsia"/>
          <w:bCs/>
          <w:color w:val="000000" w:themeColor="text1"/>
          <w:szCs w:val="21"/>
          <w14:textFill>
            <w14:solidFill>
              <w14:schemeClr w14:val="tx1"/>
            </w14:solidFill>
          </w14:textFill>
        </w:rPr>
        <w:t>0</w:t>
      </w:r>
    </w:p>
    <w:p>
      <w:pPr>
        <w:snapToGrid w:val="0"/>
        <w:spacing w:line="300" w:lineRule="auto"/>
        <w:jc w:val="distribut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11</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 xml:space="preserve">Earthwork excavation </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32</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11</w:t>
      </w:r>
      <w:r>
        <w:rPr>
          <w:bCs/>
          <w:color w:val="000000" w:themeColor="text1"/>
          <w:szCs w:val="21"/>
          <w14:textFill>
            <w14:solidFill>
              <w14:schemeClr w14:val="tx1"/>
            </w14:solidFill>
          </w14:textFill>
        </w:rPr>
        <w:t>.1  Gen</w:t>
      </w:r>
      <w:r>
        <w:rPr>
          <w:rFonts w:hint="eastAsia"/>
          <w:bCs/>
          <w:color w:val="000000" w:themeColor="text1"/>
          <w:szCs w:val="21"/>
          <w14:textFill>
            <w14:solidFill>
              <w14:schemeClr w14:val="tx1"/>
            </w14:solidFill>
          </w14:textFill>
        </w:rPr>
        <w:t>e</w:t>
      </w:r>
      <w:r>
        <w:rPr>
          <w:bCs/>
          <w:color w:val="000000" w:themeColor="text1"/>
          <w:szCs w:val="21"/>
          <w14:textFill>
            <w14:solidFill>
              <w14:schemeClr w14:val="tx1"/>
            </w14:solidFill>
          </w14:textFill>
        </w:rPr>
        <w:t>ral</w:t>
      </w:r>
      <w:r>
        <w:rPr>
          <w:rFonts w:hint="eastAsia"/>
          <w:bCs/>
          <w:color w:val="000000" w:themeColor="text1"/>
          <w:szCs w:val="21"/>
          <w14:textFill>
            <w14:solidFill>
              <w14:schemeClr w14:val="tx1"/>
            </w14:solidFill>
          </w14:textFill>
        </w:rPr>
        <w:t xml:space="preserve"> requirements</w:t>
      </w:r>
      <w:r>
        <w:rPr>
          <w:bCs/>
          <w:color w:val="000000" w:themeColor="text1"/>
          <w:szCs w:val="21"/>
          <w14:textFill>
            <w14:solidFill>
              <w14:schemeClr w14:val="tx1"/>
            </w14:solidFill>
          </w14:textFill>
        </w:rPr>
        <w:t>…………………………………………………………………3</w:t>
      </w:r>
      <w:r>
        <w:rPr>
          <w:rFonts w:hint="eastAsia"/>
          <w:bCs/>
          <w:color w:val="000000" w:themeColor="text1"/>
          <w:szCs w:val="21"/>
          <w14:textFill>
            <w14:solidFill>
              <w14:schemeClr w14:val="tx1"/>
            </w14:solidFill>
          </w14:textFill>
        </w:rPr>
        <w:t>2</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11</w:t>
      </w:r>
      <w:r>
        <w:rPr>
          <w:bCs/>
          <w:color w:val="000000" w:themeColor="text1"/>
          <w:szCs w:val="21"/>
          <w14:textFill>
            <w14:solidFill>
              <w14:schemeClr w14:val="tx1"/>
            </w14:solidFill>
          </w14:textFill>
        </w:rPr>
        <w:t xml:space="preserve">.2  </w:t>
      </w:r>
      <w:r>
        <w:rPr>
          <w:rFonts w:hint="eastAsia"/>
          <w:bCs/>
          <w:color w:val="000000" w:themeColor="text1"/>
          <w:szCs w:val="21"/>
          <w14:textFill>
            <w14:solidFill>
              <w14:schemeClr w14:val="tx1"/>
            </w14:solidFill>
          </w14:textFill>
        </w:rPr>
        <w:t>Excavation of tunnel</w:t>
      </w:r>
      <w:r>
        <w:rPr>
          <w:bCs/>
          <w:color w:val="000000" w:themeColor="text1"/>
          <w:szCs w:val="21"/>
          <w14:textFill>
            <w14:solidFill>
              <w14:schemeClr w14:val="tx1"/>
            </w14:solidFill>
          </w14:textFill>
        </w:rPr>
        <w:t>…………………………………………………………………3</w:t>
      </w:r>
      <w:r>
        <w:rPr>
          <w:rFonts w:hint="eastAsia"/>
          <w:bCs/>
          <w:color w:val="000000" w:themeColor="text1"/>
          <w:szCs w:val="21"/>
          <w14:textFill>
            <w14:solidFill>
              <w14:schemeClr w14:val="tx1"/>
            </w14:solidFill>
          </w14:textFill>
        </w:rPr>
        <w:t>4</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11</w:t>
      </w:r>
      <w:r>
        <w:rPr>
          <w:bCs/>
          <w:color w:val="000000" w:themeColor="text1"/>
          <w:szCs w:val="21"/>
          <w14:textFill>
            <w14:solidFill>
              <w14:schemeClr w14:val="tx1"/>
            </w14:solidFill>
          </w14:textFill>
        </w:rPr>
        <w:t xml:space="preserve">.3  </w:t>
      </w:r>
      <w:r>
        <w:rPr>
          <w:rFonts w:hint="eastAsia"/>
          <w:bCs/>
          <w:color w:val="000000" w:themeColor="text1"/>
          <w:szCs w:val="21"/>
          <w14:textFill>
            <w14:solidFill>
              <w14:schemeClr w14:val="tx1"/>
            </w14:solidFill>
          </w14:textFill>
        </w:rPr>
        <w:t xml:space="preserve">Excavation of mined metro </w:t>
      </w:r>
      <w:r>
        <w:rPr>
          <w:bCs/>
          <w:color w:val="000000" w:themeColor="text1"/>
          <w:szCs w:val="21"/>
          <w14:textFill>
            <w14:solidFill>
              <w14:schemeClr w14:val="tx1"/>
            </w14:solidFill>
          </w14:textFill>
        </w:rPr>
        <w:t>station…………………………………………………</w:t>
      </w:r>
      <w:r>
        <w:rPr>
          <w:rFonts w:hint="eastAsia"/>
          <w:bCs/>
          <w:color w:val="000000" w:themeColor="text1"/>
          <w:szCs w:val="21"/>
          <w14:textFill>
            <w14:solidFill>
              <w14:schemeClr w14:val="tx1"/>
            </w14:solidFill>
          </w14:textFill>
        </w:rPr>
        <w:t>38</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11</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4</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 xml:space="preserve"> Excavation of subsidiary structure</w:t>
      </w:r>
      <w:r>
        <w:rPr>
          <w:bCs/>
          <w:color w:val="000000" w:themeColor="text1"/>
          <w:szCs w:val="21"/>
          <w14:textFill>
            <w14:solidFill>
              <w14:schemeClr w14:val="tx1"/>
            </w14:solidFill>
          </w14:textFill>
        </w:rPr>
        <w:t>……………………………………………………4</w:t>
      </w:r>
      <w:r>
        <w:rPr>
          <w:rFonts w:hint="eastAsia"/>
          <w:bCs/>
          <w:color w:val="000000" w:themeColor="text1"/>
          <w:szCs w:val="21"/>
          <w14:textFill>
            <w14:solidFill>
              <w14:schemeClr w14:val="tx1"/>
            </w14:solidFill>
          </w14:textFill>
        </w:rPr>
        <w:t>0</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1</w:t>
      </w:r>
      <w:r>
        <w:rPr>
          <w:rFonts w:hint="eastAsia"/>
          <w:bCs/>
          <w:color w:val="000000" w:themeColor="text1"/>
          <w:szCs w:val="21"/>
          <w14:textFill>
            <w14:solidFill>
              <w14:schemeClr w14:val="tx1"/>
            </w14:solidFill>
          </w14:textFill>
        </w:rPr>
        <w:t>2</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P</w:t>
      </w:r>
      <w:r>
        <w:rPr>
          <w:bCs/>
          <w:color w:val="000000" w:themeColor="text1"/>
          <w:szCs w:val="21"/>
          <w14:textFill>
            <w14:solidFill>
              <w14:schemeClr w14:val="tx1"/>
            </w14:solidFill>
          </w14:textFill>
        </w:rPr>
        <w:t>r</w:t>
      </w:r>
      <w:r>
        <w:rPr>
          <w:rFonts w:hint="eastAsia"/>
          <w:bCs/>
          <w:color w:val="000000" w:themeColor="text1"/>
          <w:szCs w:val="21"/>
          <w14:textFill>
            <w14:solidFill>
              <w14:schemeClr w14:val="tx1"/>
            </w14:solidFill>
          </w14:textFill>
        </w:rPr>
        <w:t>imary reinforcement</w:t>
      </w:r>
      <w:r>
        <w:rPr>
          <w:bCs/>
          <w:color w:val="000000" w:themeColor="text1"/>
          <w:szCs w:val="21"/>
          <w14:textFill>
            <w14:solidFill>
              <w14:schemeClr w14:val="tx1"/>
            </w14:solidFill>
          </w14:textFill>
        </w:rPr>
        <w:t>……………………………………………………………………4</w:t>
      </w:r>
      <w:r>
        <w:rPr>
          <w:rFonts w:hint="eastAsia"/>
          <w:bCs/>
          <w:color w:val="000000" w:themeColor="text1"/>
          <w:szCs w:val="21"/>
          <w14:textFill>
            <w14:solidFill>
              <w14:schemeClr w14:val="tx1"/>
            </w14:solidFill>
          </w14:textFill>
        </w:rPr>
        <w:t>2</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2</w:t>
      </w:r>
      <w:r>
        <w:rPr>
          <w:bCs/>
          <w:color w:val="000000" w:themeColor="text1"/>
          <w:szCs w:val="21"/>
          <w14:textFill>
            <w14:solidFill>
              <w14:schemeClr w14:val="tx1"/>
            </w14:solidFill>
          </w14:textFill>
        </w:rPr>
        <w:t>.1  Gen</w:t>
      </w:r>
      <w:r>
        <w:rPr>
          <w:rFonts w:hint="eastAsia"/>
          <w:bCs/>
          <w:color w:val="000000" w:themeColor="text1"/>
          <w:szCs w:val="21"/>
          <w14:textFill>
            <w14:solidFill>
              <w14:schemeClr w14:val="tx1"/>
            </w14:solidFill>
          </w14:textFill>
        </w:rPr>
        <w:t>e</w:t>
      </w:r>
      <w:r>
        <w:rPr>
          <w:bCs/>
          <w:color w:val="000000" w:themeColor="text1"/>
          <w:szCs w:val="21"/>
          <w14:textFill>
            <w14:solidFill>
              <w14:schemeClr w14:val="tx1"/>
            </w14:solidFill>
          </w14:textFill>
        </w:rPr>
        <w:t>ral</w:t>
      </w:r>
      <w:r>
        <w:rPr>
          <w:rFonts w:hint="eastAsia"/>
          <w:bCs/>
          <w:color w:val="000000" w:themeColor="text1"/>
          <w:szCs w:val="21"/>
          <w14:textFill>
            <w14:solidFill>
              <w14:schemeClr w14:val="tx1"/>
            </w14:solidFill>
          </w14:textFill>
        </w:rPr>
        <w:t xml:space="preserve"> requirements</w:t>
      </w:r>
      <w:r>
        <w:rPr>
          <w:bCs/>
          <w:color w:val="000000" w:themeColor="text1"/>
          <w:szCs w:val="21"/>
          <w14:textFill>
            <w14:solidFill>
              <w14:schemeClr w14:val="tx1"/>
            </w14:solidFill>
          </w14:textFill>
        </w:rPr>
        <w:t>…………………………………………………………………4</w:t>
      </w:r>
      <w:r>
        <w:rPr>
          <w:rFonts w:hint="eastAsia"/>
          <w:bCs/>
          <w:color w:val="000000" w:themeColor="text1"/>
          <w:szCs w:val="21"/>
          <w14:textFill>
            <w14:solidFill>
              <w14:schemeClr w14:val="tx1"/>
            </w14:solidFill>
          </w14:textFill>
        </w:rPr>
        <w:t>2</w:t>
      </w:r>
    </w:p>
    <w:p>
      <w:pPr>
        <w:snapToGrid w:val="0"/>
        <w:spacing w:line="300" w:lineRule="auto"/>
        <w:jc w:val="distribut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 xml:space="preserve">   </w:t>
      </w:r>
      <w:r>
        <w:rPr>
          <w:bCs/>
          <w:color w:val="000000" w:themeColor="text1"/>
          <w:szCs w:val="21"/>
          <w14:textFill>
            <w14:solidFill>
              <w14:schemeClr w14:val="tx1"/>
            </w14:solidFill>
          </w14:textFill>
        </w:rPr>
        <w:t>1</w:t>
      </w:r>
      <w:r>
        <w:rPr>
          <w:rFonts w:hint="eastAsia"/>
          <w:bCs/>
          <w:color w:val="000000" w:themeColor="text1"/>
          <w:szCs w:val="21"/>
          <w14:textFill>
            <w14:solidFill>
              <w14:schemeClr w14:val="tx1"/>
            </w14:solidFill>
          </w14:textFill>
        </w:rPr>
        <w:t>2</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2</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Lattice girder arch、s</w:t>
      </w:r>
      <w:r>
        <w:rPr>
          <w:bCs/>
          <w:color w:val="000000" w:themeColor="text1"/>
          <w:szCs w:val="21"/>
          <w14:textFill>
            <w14:solidFill>
              <w14:schemeClr w14:val="tx1"/>
            </w14:solidFill>
          </w14:textFill>
        </w:rPr>
        <w:t xml:space="preserve">teel </w:t>
      </w:r>
      <w:r>
        <w:rPr>
          <w:rFonts w:hint="eastAsia"/>
          <w:bCs/>
          <w:color w:val="000000" w:themeColor="text1"/>
          <w:szCs w:val="21"/>
          <w14:textFill>
            <w14:solidFill>
              <w14:schemeClr w14:val="tx1"/>
            </w14:solidFill>
          </w14:textFill>
        </w:rPr>
        <w:t>bar mesh installation</w:t>
      </w:r>
      <w:r>
        <w:rPr>
          <w:bCs/>
          <w:color w:val="000000" w:themeColor="text1"/>
          <w:szCs w:val="21"/>
          <w14:textFill>
            <w14:solidFill>
              <w14:schemeClr w14:val="tx1"/>
            </w14:solidFill>
          </w14:textFill>
        </w:rPr>
        <w:t>…………………………………………4</w:t>
      </w:r>
      <w:r>
        <w:rPr>
          <w:rFonts w:hint="eastAsia"/>
          <w:bCs/>
          <w:color w:val="000000" w:themeColor="text1"/>
          <w:szCs w:val="21"/>
          <w14:textFill>
            <w14:solidFill>
              <w14:schemeClr w14:val="tx1"/>
            </w14:solidFill>
          </w14:textFill>
        </w:rPr>
        <w:t>2</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2</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3</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Locking anchor pipe（Feet-lock bolt）</w:t>
      </w:r>
      <w:r>
        <w:rPr>
          <w:bCs/>
          <w:color w:val="000000" w:themeColor="text1"/>
          <w:szCs w:val="21"/>
          <w14:textFill>
            <w14:solidFill>
              <w14:schemeClr w14:val="tx1"/>
            </w14:solidFill>
          </w14:textFill>
        </w:rPr>
        <w:t>………………………………………………4</w:t>
      </w:r>
      <w:r>
        <w:rPr>
          <w:rFonts w:hint="eastAsia"/>
          <w:bCs/>
          <w:color w:val="000000" w:themeColor="text1"/>
          <w:szCs w:val="21"/>
          <w14:textFill>
            <w14:solidFill>
              <w14:schemeClr w14:val="tx1"/>
            </w14:solidFill>
          </w14:textFill>
        </w:rPr>
        <w:t>3</w:t>
      </w:r>
    </w:p>
    <w:p>
      <w:pPr>
        <w:snapToGrid w:val="0"/>
        <w:spacing w:line="300" w:lineRule="auto"/>
        <w:jc w:val="distribut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 xml:space="preserve">   </w:t>
      </w:r>
      <w:r>
        <w:rPr>
          <w:bCs/>
          <w:color w:val="000000" w:themeColor="text1"/>
          <w:szCs w:val="21"/>
          <w14:textFill>
            <w14:solidFill>
              <w14:schemeClr w14:val="tx1"/>
            </w14:solidFill>
          </w14:textFill>
        </w:rPr>
        <w:t>1</w:t>
      </w:r>
      <w:r>
        <w:rPr>
          <w:rFonts w:hint="eastAsia"/>
          <w:bCs/>
          <w:color w:val="000000" w:themeColor="text1"/>
          <w:szCs w:val="21"/>
          <w14:textFill>
            <w14:solidFill>
              <w14:schemeClr w14:val="tx1"/>
            </w14:solidFill>
          </w14:textFill>
        </w:rPr>
        <w:t>2</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4</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Shotcrete construction</w:t>
      </w:r>
      <w:r>
        <w:rPr>
          <w:bCs/>
          <w:color w:val="000000" w:themeColor="text1"/>
          <w:szCs w:val="21"/>
          <w14:textFill>
            <w14:solidFill>
              <w14:schemeClr w14:val="tx1"/>
            </w14:solidFill>
          </w14:textFill>
        </w:rPr>
        <w:t>…………………………………………………………………4</w:t>
      </w:r>
      <w:r>
        <w:rPr>
          <w:rFonts w:hint="eastAsia"/>
          <w:bCs/>
          <w:color w:val="000000" w:themeColor="text1"/>
          <w:szCs w:val="21"/>
          <w14:textFill>
            <w14:solidFill>
              <w14:schemeClr w14:val="tx1"/>
            </w14:solidFill>
          </w14:textFill>
        </w:rPr>
        <w:t>3</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2.5</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 xml:space="preserve"> P</w:t>
      </w:r>
      <w:r>
        <w:rPr>
          <w:bCs/>
          <w:color w:val="000000" w:themeColor="text1"/>
          <w:szCs w:val="21"/>
          <w14:textFill>
            <w14:solidFill>
              <w14:schemeClr w14:val="tx1"/>
            </w14:solidFill>
          </w14:textFill>
        </w:rPr>
        <w:t>r</w:t>
      </w:r>
      <w:r>
        <w:rPr>
          <w:rFonts w:hint="eastAsia"/>
          <w:bCs/>
          <w:color w:val="000000" w:themeColor="text1"/>
          <w:szCs w:val="21"/>
          <w14:textFill>
            <w14:solidFill>
              <w14:schemeClr w14:val="tx1"/>
            </w14:solidFill>
          </w14:textFill>
        </w:rPr>
        <w:t>imary reinforcement of tunnel</w:t>
      </w:r>
      <w:r>
        <w:rPr>
          <w:bCs/>
          <w:color w:val="000000" w:themeColor="text1"/>
          <w:szCs w:val="21"/>
          <w14:textFill>
            <w14:solidFill>
              <w14:schemeClr w14:val="tx1"/>
            </w14:solidFill>
          </w14:textFill>
        </w:rPr>
        <w:t>……………………………………………………4</w:t>
      </w:r>
      <w:r>
        <w:rPr>
          <w:rFonts w:hint="eastAsia"/>
          <w:bCs/>
          <w:color w:val="000000" w:themeColor="text1"/>
          <w:szCs w:val="21"/>
          <w14:textFill>
            <w14:solidFill>
              <w14:schemeClr w14:val="tx1"/>
            </w14:solidFill>
          </w14:textFill>
        </w:rPr>
        <w:t>4</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2</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6</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P</w:t>
      </w:r>
      <w:r>
        <w:rPr>
          <w:bCs/>
          <w:color w:val="000000" w:themeColor="text1"/>
          <w:szCs w:val="21"/>
          <w14:textFill>
            <w14:solidFill>
              <w14:schemeClr w14:val="tx1"/>
            </w14:solidFill>
          </w14:textFill>
        </w:rPr>
        <w:t>r</w:t>
      </w:r>
      <w:r>
        <w:rPr>
          <w:rFonts w:hint="eastAsia"/>
          <w:bCs/>
          <w:color w:val="000000" w:themeColor="text1"/>
          <w:szCs w:val="21"/>
          <w14:textFill>
            <w14:solidFill>
              <w14:schemeClr w14:val="tx1"/>
            </w14:solidFill>
          </w14:textFill>
        </w:rPr>
        <w:t xml:space="preserve">imary reinforcement of mined metro </w:t>
      </w:r>
      <w:r>
        <w:rPr>
          <w:bCs/>
          <w:color w:val="000000" w:themeColor="text1"/>
          <w:szCs w:val="21"/>
          <w14:textFill>
            <w14:solidFill>
              <w14:schemeClr w14:val="tx1"/>
            </w14:solidFill>
          </w14:textFill>
        </w:rPr>
        <w:t>station………………………………………4</w:t>
      </w:r>
      <w:r>
        <w:rPr>
          <w:rFonts w:hint="eastAsia"/>
          <w:bCs/>
          <w:color w:val="000000" w:themeColor="text1"/>
          <w:szCs w:val="21"/>
          <w14:textFill>
            <w14:solidFill>
              <w14:schemeClr w14:val="tx1"/>
            </w14:solidFill>
          </w14:textFill>
        </w:rPr>
        <w:t>5</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2</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7  P</w:t>
      </w:r>
      <w:r>
        <w:rPr>
          <w:bCs/>
          <w:color w:val="000000" w:themeColor="text1"/>
          <w:szCs w:val="21"/>
          <w14:textFill>
            <w14:solidFill>
              <w14:schemeClr w14:val="tx1"/>
            </w14:solidFill>
          </w14:textFill>
        </w:rPr>
        <w:t>r</w:t>
      </w:r>
      <w:r>
        <w:rPr>
          <w:rFonts w:hint="eastAsia"/>
          <w:bCs/>
          <w:color w:val="000000" w:themeColor="text1"/>
          <w:szCs w:val="21"/>
          <w14:textFill>
            <w14:solidFill>
              <w14:schemeClr w14:val="tx1"/>
            </w14:solidFill>
          </w14:textFill>
        </w:rPr>
        <w:t>imary reinforcement of subsidiary structure</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48</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2</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8</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Back filling grouting of P</w:t>
      </w:r>
      <w:r>
        <w:rPr>
          <w:bCs/>
          <w:color w:val="000000" w:themeColor="text1"/>
          <w:szCs w:val="21"/>
          <w14:textFill>
            <w14:solidFill>
              <w14:schemeClr w14:val="tx1"/>
            </w14:solidFill>
          </w14:textFill>
        </w:rPr>
        <w:t>r</w:t>
      </w:r>
      <w:r>
        <w:rPr>
          <w:rFonts w:hint="eastAsia"/>
          <w:bCs/>
          <w:color w:val="000000" w:themeColor="text1"/>
          <w:szCs w:val="21"/>
          <w14:textFill>
            <w14:solidFill>
              <w14:schemeClr w14:val="tx1"/>
            </w14:solidFill>
          </w14:textFill>
        </w:rPr>
        <w:t xml:space="preserve">imary reinforcement </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48</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1</w:t>
      </w:r>
      <w:r>
        <w:rPr>
          <w:rFonts w:hint="eastAsia"/>
          <w:bCs/>
          <w:color w:val="000000" w:themeColor="text1"/>
          <w:szCs w:val="21"/>
          <w14:textFill>
            <w14:solidFill>
              <w14:schemeClr w14:val="tx1"/>
            </w14:solidFill>
          </w14:textFill>
        </w:rPr>
        <w:t>3</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 xml:space="preserve">Secondary lining </w:t>
      </w:r>
      <w:r>
        <w:rPr>
          <w:bCs/>
          <w:color w:val="000000" w:themeColor="text1"/>
          <w:szCs w:val="21"/>
          <w14:textFill>
            <w14:solidFill>
              <w14:schemeClr w14:val="tx1"/>
            </w14:solidFill>
          </w14:textFill>
        </w:rPr>
        <w:t>…………………………………………………………………………5</w:t>
      </w:r>
      <w:r>
        <w:rPr>
          <w:rFonts w:hint="eastAsia"/>
          <w:bCs/>
          <w:color w:val="000000" w:themeColor="text1"/>
          <w:szCs w:val="21"/>
          <w14:textFill>
            <w14:solidFill>
              <w14:schemeClr w14:val="tx1"/>
            </w14:solidFill>
          </w14:textFill>
        </w:rPr>
        <w:t>0</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3</w:t>
      </w:r>
      <w:r>
        <w:rPr>
          <w:bCs/>
          <w:color w:val="000000" w:themeColor="text1"/>
          <w:szCs w:val="21"/>
          <w14:textFill>
            <w14:solidFill>
              <w14:schemeClr w14:val="tx1"/>
            </w14:solidFill>
          </w14:textFill>
        </w:rPr>
        <w:t>.1  Gen</w:t>
      </w:r>
      <w:r>
        <w:rPr>
          <w:rFonts w:hint="eastAsia"/>
          <w:bCs/>
          <w:color w:val="000000" w:themeColor="text1"/>
          <w:szCs w:val="21"/>
          <w14:textFill>
            <w14:solidFill>
              <w14:schemeClr w14:val="tx1"/>
            </w14:solidFill>
          </w14:textFill>
        </w:rPr>
        <w:t>e</w:t>
      </w:r>
      <w:r>
        <w:rPr>
          <w:bCs/>
          <w:color w:val="000000" w:themeColor="text1"/>
          <w:szCs w:val="21"/>
          <w14:textFill>
            <w14:solidFill>
              <w14:schemeClr w14:val="tx1"/>
            </w14:solidFill>
          </w14:textFill>
        </w:rPr>
        <w:t>ral</w:t>
      </w:r>
      <w:r>
        <w:rPr>
          <w:rFonts w:hint="eastAsia"/>
          <w:bCs/>
          <w:color w:val="000000" w:themeColor="text1"/>
          <w:szCs w:val="21"/>
          <w14:textFill>
            <w14:solidFill>
              <w14:schemeClr w14:val="tx1"/>
            </w14:solidFill>
          </w14:textFill>
        </w:rPr>
        <w:t xml:space="preserve"> requirements</w:t>
      </w:r>
      <w:r>
        <w:rPr>
          <w:bCs/>
          <w:color w:val="000000" w:themeColor="text1"/>
          <w:szCs w:val="21"/>
          <w14:textFill>
            <w14:solidFill>
              <w14:schemeClr w14:val="tx1"/>
            </w14:solidFill>
          </w14:textFill>
        </w:rPr>
        <w:t>………………………………………………………………5</w:t>
      </w:r>
      <w:r>
        <w:rPr>
          <w:rFonts w:hint="eastAsia"/>
          <w:bCs/>
          <w:color w:val="000000" w:themeColor="text1"/>
          <w:szCs w:val="21"/>
          <w14:textFill>
            <w14:solidFill>
              <w14:schemeClr w14:val="tx1"/>
            </w14:solidFill>
          </w14:textFill>
        </w:rPr>
        <w:t>0</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3</w:t>
      </w:r>
      <w:r>
        <w:rPr>
          <w:bCs/>
          <w:color w:val="000000" w:themeColor="text1"/>
          <w:szCs w:val="21"/>
          <w14:textFill>
            <w14:solidFill>
              <w14:schemeClr w14:val="tx1"/>
            </w14:solidFill>
          </w14:textFill>
        </w:rPr>
        <w:t xml:space="preserve">.2 </w:t>
      </w:r>
      <w:r>
        <w:rPr>
          <w:rFonts w:hint="eastAsia"/>
          <w:bCs/>
          <w:color w:val="000000" w:themeColor="text1"/>
          <w:szCs w:val="21"/>
          <w14:textFill>
            <w14:solidFill>
              <w14:schemeClr w14:val="tx1"/>
            </w14:solidFill>
          </w14:textFill>
        </w:rPr>
        <w:t xml:space="preserve"> Formworks support</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w:t>
      </w:r>
      <w:r>
        <w:rPr>
          <w:bCs/>
          <w:color w:val="000000" w:themeColor="text1"/>
          <w:szCs w:val="21"/>
          <w14:textFill>
            <w14:solidFill>
              <w14:schemeClr w14:val="tx1"/>
            </w14:solidFill>
          </w14:textFill>
        </w:rPr>
        <w:t>……………………5</w:t>
      </w:r>
      <w:r>
        <w:rPr>
          <w:rFonts w:hint="eastAsia"/>
          <w:bCs/>
          <w:color w:val="000000" w:themeColor="text1"/>
          <w:szCs w:val="21"/>
          <w14:textFill>
            <w14:solidFill>
              <w14:schemeClr w14:val="tx1"/>
            </w14:solidFill>
          </w14:textFill>
        </w:rPr>
        <w:t>0</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3</w:t>
      </w:r>
      <w:r>
        <w:rPr>
          <w:bCs/>
          <w:color w:val="000000" w:themeColor="text1"/>
          <w:szCs w:val="21"/>
          <w14:textFill>
            <w14:solidFill>
              <w14:schemeClr w14:val="tx1"/>
            </w14:solidFill>
          </w14:textFill>
        </w:rPr>
        <w:t xml:space="preserve">.3  </w:t>
      </w:r>
      <w:r>
        <w:rPr>
          <w:rFonts w:hint="eastAsia"/>
          <w:bCs/>
          <w:color w:val="000000" w:themeColor="text1"/>
          <w:szCs w:val="21"/>
          <w14:textFill>
            <w14:solidFill>
              <w14:schemeClr w14:val="tx1"/>
            </w14:solidFill>
          </w14:textFill>
        </w:rPr>
        <w:t>Tunnel formworks support</w:t>
      </w:r>
      <w:r>
        <w:rPr>
          <w:bCs/>
          <w:color w:val="000000" w:themeColor="text1"/>
          <w:szCs w:val="21"/>
          <w14:textFill>
            <w14:solidFill>
              <w14:schemeClr w14:val="tx1"/>
            </w14:solidFill>
          </w14:textFill>
        </w:rPr>
        <w:t>……………………………………………………………5</w:t>
      </w:r>
      <w:r>
        <w:rPr>
          <w:rFonts w:hint="eastAsia"/>
          <w:bCs/>
          <w:color w:val="000000" w:themeColor="text1"/>
          <w:szCs w:val="21"/>
          <w14:textFill>
            <w14:solidFill>
              <w14:schemeClr w14:val="tx1"/>
            </w14:solidFill>
          </w14:textFill>
        </w:rPr>
        <w:t>1</w:t>
      </w:r>
    </w:p>
    <w:p>
      <w:pPr>
        <w:snapToGrid w:val="0"/>
        <w:spacing w:line="300" w:lineRule="auto"/>
        <w:jc w:val="distribut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 xml:space="preserve">   </w:t>
      </w:r>
      <w:r>
        <w:rPr>
          <w:bCs/>
          <w:color w:val="000000" w:themeColor="text1"/>
          <w:szCs w:val="21"/>
          <w14:textFill>
            <w14:solidFill>
              <w14:schemeClr w14:val="tx1"/>
            </w14:solidFill>
          </w14:textFill>
        </w:rPr>
        <w:t xml:space="preserve">13.4  Steel </w:t>
      </w:r>
      <w:r>
        <w:rPr>
          <w:rFonts w:hint="eastAsia"/>
          <w:bCs/>
          <w:color w:val="000000" w:themeColor="text1"/>
          <w:szCs w:val="21"/>
          <w14:textFill>
            <w14:solidFill>
              <w14:schemeClr w14:val="tx1"/>
            </w14:solidFill>
          </w14:textFill>
        </w:rPr>
        <w:t>bar installation</w:t>
      </w:r>
      <w:r>
        <w:rPr>
          <w:bCs/>
          <w:color w:val="000000" w:themeColor="text1"/>
          <w:szCs w:val="21"/>
          <w14:textFill>
            <w14:solidFill>
              <w14:schemeClr w14:val="tx1"/>
            </w14:solidFill>
          </w14:textFill>
        </w:rPr>
        <w:t>…………………………………………………………………5</w:t>
      </w:r>
      <w:r>
        <w:rPr>
          <w:rFonts w:hint="eastAsia"/>
          <w:bCs/>
          <w:color w:val="000000" w:themeColor="text1"/>
          <w:szCs w:val="21"/>
          <w14:textFill>
            <w14:solidFill>
              <w14:schemeClr w14:val="tx1"/>
            </w14:solidFill>
          </w14:textFill>
        </w:rPr>
        <w:t>2</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3</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5</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Concrete placement</w:t>
      </w:r>
      <w:r>
        <w:rPr>
          <w:bCs/>
          <w:color w:val="000000" w:themeColor="text1"/>
          <w:szCs w:val="21"/>
          <w14:textFill>
            <w14:solidFill>
              <w14:schemeClr w14:val="tx1"/>
            </w14:solidFill>
          </w14:textFill>
        </w:rPr>
        <w:t>…………………………………………………………………5</w:t>
      </w:r>
      <w:r>
        <w:rPr>
          <w:rFonts w:hint="eastAsia"/>
          <w:bCs/>
          <w:color w:val="000000" w:themeColor="text1"/>
          <w:szCs w:val="21"/>
          <w14:textFill>
            <w14:solidFill>
              <w14:schemeClr w14:val="tx1"/>
            </w14:solidFill>
          </w14:textFill>
        </w:rPr>
        <w:t>3</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 xml:space="preserve"> </w:t>
      </w: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3</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6</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Back filling grouting of secondary lining</w:t>
      </w:r>
      <w:r>
        <w:rPr>
          <w:bCs/>
          <w:color w:val="000000" w:themeColor="text1"/>
          <w:szCs w:val="21"/>
          <w14:textFill>
            <w14:solidFill>
              <w14:schemeClr w14:val="tx1"/>
            </w14:solidFill>
          </w14:textFill>
        </w:rPr>
        <w:t>……………………………………………5</w:t>
      </w:r>
      <w:r>
        <w:rPr>
          <w:rFonts w:hint="eastAsia"/>
          <w:bCs/>
          <w:color w:val="000000" w:themeColor="text1"/>
          <w:szCs w:val="21"/>
          <w14:textFill>
            <w14:solidFill>
              <w14:schemeClr w14:val="tx1"/>
            </w14:solidFill>
          </w14:textFill>
        </w:rPr>
        <w:t>4</w:t>
      </w:r>
    </w:p>
    <w:p>
      <w:pPr>
        <w:snapToGrid w:val="0"/>
        <w:spacing w:line="300" w:lineRule="auto"/>
        <w:jc w:val="distribut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 xml:space="preserve">   </w:t>
      </w:r>
      <w:r>
        <w:rPr>
          <w:bCs/>
          <w:color w:val="000000" w:themeColor="text1"/>
          <w:szCs w:val="21"/>
          <w14:textFill>
            <w14:solidFill>
              <w14:schemeClr w14:val="tx1"/>
            </w14:solidFill>
          </w14:textFill>
        </w:rPr>
        <w:t>1</w:t>
      </w:r>
      <w:r>
        <w:rPr>
          <w:rFonts w:hint="eastAsia"/>
          <w:bCs/>
          <w:color w:val="000000" w:themeColor="text1"/>
          <w:szCs w:val="21"/>
          <w14:textFill>
            <w14:solidFill>
              <w14:schemeClr w14:val="tx1"/>
            </w14:solidFill>
          </w14:textFill>
        </w:rPr>
        <w:t>3</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7</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 xml:space="preserve"> Temporary middel Septa（support） removing and system conversion</w:t>
      </w:r>
      <w:r>
        <w:rPr>
          <w:bCs/>
          <w:color w:val="000000" w:themeColor="text1"/>
          <w:szCs w:val="21"/>
          <w14:textFill>
            <w14:solidFill>
              <w14:schemeClr w14:val="tx1"/>
            </w14:solidFill>
          </w14:textFill>
        </w:rPr>
        <w:t>……………5</w:t>
      </w:r>
      <w:r>
        <w:rPr>
          <w:rFonts w:hint="eastAsia"/>
          <w:bCs/>
          <w:color w:val="000000" w:themeColor="text1"/>
          <w:szCs w:val="21"/>
          <w14:textFill>
            <w14:solidFill>
              <w14:schemeClr w14:val="tx1"/>
            </w14:solidFill>
          </w14:textFill>
        </w:rPr>
        <w:t>5</w:t>
      </w:r>
    </w:p>
    <w:p>
      <w:pPr>
        <w:snapToGrid w:val="0"/>
        <w:spacing w:line="300" w:lineRule="auto"/>
        <w:jc w:val="distribut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14</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Waterproof</w:t>
      </w:r>
      <w:r>
        <w:rPr>
          <w:bCs/>
          <w:color w:val="000000" w:themeColor="text1"/>
          <w:szCs w:val="21"/>
          <w14:textFill>
            <w14:solidFill>
              <w14:schemeClr w14:val="tx1"/>
            </w14:solidFill>
          </w14:textFill>
        </w:rPr>
        <w:t>…………………………………………………………………………………5</w:t>
      </w:r>
      <w:r>
        <w:rPr>
          <w:rFonts w:hint="eastAsia"/>
          <w:bCs/>
          <w:color w:val="000000" w:themeColor="text1"/>
          <w:szCs w:val="21"/>
          <w14:textFill>
            <w14:solidFill>
              <w14:schemeClr w14:val="tx1"/>
            </w14:solidFill>
          </w14:textFill>
        </w:rPr>
        <w:t>8</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 xml:space="preserve">  </w:t>
      </w:r>
      <w:r>
        <w:rPr>
          <w:bCs/>
          <w:color w:val="000000" w:themeColor="text1"/>
          <w:szCs w:val="21"/>
          <w14:textFill>
            <w14:solidFill>
              <w14:schemeClr w14:val="tx1"/>
            </w14:solidFill>
          </w14:textFill>
        </w:rPr>
        <w:t>1</w:t>
      </w:r>
      <w:r>
        <w:rPr>
          <w:rFonts w:hint="eastAsia"/>
          <w:bCs/>
          <w:color w:val="000000" w:themeColor="text1"/>
          <w:szCs w:val="21"/>
          <w14:textFill>
            <w14:solidFill>
              <w14:schemeClr w14:val="tx1"/>
            </w14:solidFill>
          </w14:textFill>
        </w:rPr>
        <w:t>4</w:t>
      </w:r>
      <w:r>
        <w:rPr>
          <w:bCs/>
          <w:color w:val="000000" w:themeColor="text1"/>
          <w:szCs w:val="21"/>
          <w14:textFill>
            <w14:solidFill>
              <w14:schemeClr w14:val="tx1"/>
            </w14:solidFill>
          </w14:textFill>
        </w:rPr>
        <w:t>.1  Gen</w:t>
      </w:r>
      <w:r>
        <w:rPr>
          <w:rFonts w:hint="eastAsia"/>
          <w:bCs/>
          <w:color w:val="000000" w:themeColor="text1"/>
          <w:szCs w:val="21"/>
          <w14:textFill>
            <w14:solidFill>
              <w14:schemeClr w14:val="tx1"/>
            </w14:solidFill>
          </w14:textFill>
        </w:rPr>
        <w:t>e</w:t>
      </w:r>
      <w:r>
        <w:rPr>
          <w:bCs/>
          <w:color w:val="000000" w:themeColor="text1"/>
          <w:szCs w:val="21"/>
          <w14:textFill>
            <w14:solidFill>
              <w14:schemeClr w14:val="tx1"/>
            </w14:solidFill>
          </w14:textFill>
        </w:rPr>
        <w:t>ral</w:t>
      </w:r>
      <w:r>
        <w:rPr>
          <w:rFonts w:hint="eastAsia"/>
          <w:bCs/>
          <w:color w:val="000000" w:themeColor="text1"/>
          <w:szCs w:val="21"/>
          <w14:textFill>
            <w14:solidFill>
              <w14:schemeClr w14:val="tx1"/>
            </w14:solidFill>
          </w14:textFill>
        </w:rPr>
        <w:t xml:space="preserve"> requirements</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58</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4</w:t>
      </w:r>
      <w:r>
        <w:rPr>
          <w:bCs/>
          <w:color w:val="000000" w:themeColor="text1"/>
          <w:szCs w:val="21"/>
          <w14:textFill>
            <w14:solidFill>
              <w14:schemeClr w14:val="tx1"/>
            </w14:solidFill>
          </w14:textFill>
        </w:rPr>
        <w:t xml:space="preserve">.2  </w:t>
      </w:r>
      <w:r>
        <w:rPr>
          <w:rFonts w:hint="eastAsia"/>
          <w:bCs/>
          <w:color w:val="000000" w:themeColor="text1"/>
          <w:szCs w:val="21"/>
          <w14:textFill>
            <w14:solidFill>
              <w14:schemeClr w14:val="tx1"/>
            </w14:solidFill>
          </w14:textFill>
        </w:rPr>
        <w:t>Membrane waterproofing layer</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58</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4.</w:t>
      </w:r>
      <w:r>
        <w:rPr>
          <w:bCs/>
          <w:color w:val="000000" w:themeColor="text1"/>
          <w:szCs w:val="21"/>
          <w14:textFill>
            <w14:solidFill>
              <w14:schemeClr w14:val="tx1"/>
            </w14:solidFill>
          </w14:textFill>
        </w:rPr>
        <w:t xml:space="preserve">3 </w:t>
      </w:r>
      <w:r>
        <w:rPr>
          <w:rFonts w:hint="eastAsia"/>
          <w:bCs/>
          <w:color w:val="000000" w:themeColor="text1"/>
          <w:szCs w:val="21"/>
          <w14:textFill>
            <w14:solidFill>
              <w14:schemeClr w14:val="tx1"/>
            </w14:solidFill>
          </w14:textFill>
        </w:rPr>
        <w:t xml:space="preserve"> Plastic sheet waterproofing layer</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60</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4</w:t>
      </w:r>
      <w:r>
        <w:rPr>
          <w:bCs/>
          <w:color w:val="000000" w:themeColor="text1"/>
          <w:szCs w:val="21"/>
          <w14:textFill>
            <w14:solidFill>
              <w14:schemeClr w14:val="tx1"/>
            </w14:solidFill>
          </w14:textFill>
        </w:rPr>
        <w:t xml:space="preserve">.4  </w:t>
      </w:r>
      <w:r>
        <w:rPr>
          <w:rFonts w:hint="eastAsia"/>
          <w:bCs/>
          <w:color w:val="000000" w:themeColor="text1"/>
          <w:szCs w:val="21"/>
          <w14:textFill>
            <w14:solidFill>
              <w14:schemeClr w14:val="tx1"/>
            </w14:solidFill>
          </w14:textFill>
        </w:rPr>
        <w:t>Cement motar waterproofing layer</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60</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4</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5  Coating waterproofing layer</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61</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4</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6</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Waterproofing projects of detail structure</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62</w:t>
      </w:r>
    </w:p>
    <w:p>
      <w:pPr>
        <w:snapToGrid w:val="0"/>
        <w:spacing w:line="300" w:lineRule="auto"/>
        <w:jc w:val="distribut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15</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Monitoring measurement</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65</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 xml:space="preserve">  </w:t>
      </w:r>
      <w:r>
        <w:rPr>
          <w:bCs/>
          <w:color w:val="000000" w:themeColor="text1"/>
          <w:szCs w:val="21"/>
          <w14:textFill>
            <w14:solidFill>
              <w14:schemeClr w14:val="tx1"/>
            </w14:solidFill>
          </w14:textFill>
        </w:rPr>
        <w:t>1</w:t>
      </w:r>
      <w:r>
        <w:rPr>
          <w:rFonts w:hint="eastAsia"/>
          <w:bCs/>
          <w:color w:val="000000" w:themeColor="text1"/>
          <w:szCs w:val="21"/>
          <w14:textFill>
            <w14:solidFill>
              <w14:schemeClr w14:val="tx1"/>
            </w14:solidFill>
          </w14:textFill>
        </w:rPr>
        <w:t>5</w:t>
      </w:r>
      <w:r>
        <w:rPr>
          <w:bCs/>
          <w:color w:val="000000" w:themeColor="text1"/>
          <w:szCs w:val="21"/>
          <w14:textFill>
            <w14:solidFill>
              <w14:schemeClr w14:val="tx1"/>
            </w14:solidFill>
          </w14:textFill>
        </w:rPr>
        <w:t>.1  Gen</w:t>
      </w:r>
      <w:r>
        <w:rPr>
          <w:rFonts w:hint="eastAsia"/>
          <w:bCs/>
          <w:color w:val="000000" w:themeColor="text1"/>
          <w:szCs w:val="21"/>
          <w14:textFill>
            <w14:solidFill>
              <w14:schemeClr w14:val="tx1"/>
            </w14:solidFill>
          </w14:textFill>
        </w:rPr>
        <w:t>e</w:t>
      </w:r>
      <w:r>
        <w:rPr>
          <w:bCs/>
          <w:color w:val="000000" w:themeColor="text1"/>
          <w:szCs w:val="21"/>
          <w14:textFill>
            <w14:solidFill>
              <w14:schemeClr w14:val="tx1"/>
            </w14:solidFill>
          </w14:textFill>
        </w:rPr>
        <w:t>ral</w:t>
      </w:r>
      <w:r>
        <w:rPr>
          <w:rFonts w:hint="eastAsia"/>
          <w:bCs/>
          <w:color w:val="000000" w:themeColor="text1"/>
          <w:szCs w:val="21"/>
          <w14:textFill>
            <w14:solidFill>
              <w14:schemeClr w14:val="tx1"/>
            </w14:solidFill>
          </w14:textFill>
        </w:rPr>
        <w:t xml:space="preserve"> requirements</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65</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5</w:t>
      </w:r>
      <w:r>
        <w:rPr>
          <w:bCs/>
          <w:color w:val="000000" w:themeColor="text1"/>
          <w:szCs w:val="21"/>
          <w14:textFill>
            <w14:solidFill>
              <w14:schemeClr w14:val="tx1"/>
            </w14:solidFill>
          </w14:textFill>
        </w:rPr>
        <w:t xml:space="preserve">.2  </w:t>
      </w:r>
      <w:r>
        <w:rPr>
          <w:rFonts w:hint="eastAsia"/>
          <w:bCs/>
          <w:color w:val="000000" w:themeColor="text1"/>
          <w:szCs w:val="21"/>
          <w14:textFill>
            <w14:solidFill>
              <w14:schemeClr w14:val="tx1"/>
            </w14:solidFill>
          </w14:textFill>
        </w:rPr>
        <w:t>Monitoring items</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65</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5.</w:t>
      </w:r>
      <w:r>
        <w:rPr>
          <w:bCs/>
          <w:color w:val="000000" w:themeColor="text1"/>
          <w:szCs w:val="21"/>
          <w14:textFill>
            <w14:solidFill>
              <w14:schemeClr w14:val="tx1"/>
            </w14:solidFill>
          </w14:textFill>
        </w:rPr>
        <w:t xml:space="preserve">3 </w:t>
      </w:r>
      <w:r>
        <w:rPr>
          <w:rFonts w:hint="eastAsia"/>
          <w:bCs/>
          <w:color w:val="000000" w:themeColor="text1"/>
          <w:szCs w:val="21"/>
          <w14:textFill>
            <w14:solidFill>
              <w14:schemeClr w14:val="tx1"/>
            </w14:solidFill>
          </w14:textFill>
        </w:rPr>
        <w:t xml:space="preserve"> Monitoring equipments</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6</w:t>
      </w:r>
      <w:r>
        <w:rPr>
          <w:bCs/>
          <w:color w:val="000000" w:themeColor="text1"/>
          <w:szCs w:val="21"/>
          <w14:textFill>
            <w14:solidFill>
              <w14:schemeClr w14:val="tx1"/>
            </w14:solidFill>
          </w14:textFill>
        </w:rPr>
        <w:t>6</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5</w:t>
      </w:r>
      <w:r>
        <w:rPr>
          <w:bCs/>
          <w:color w:val="000000" w:themeColor="text1"/>
          <w:szCs w:val="21"/>
          <w14:textFill>
            <w14:solidFill>
              <w14:schemeClr w14:val="tx1"/>
            </w14:solidFill>
          </w14:textFill>
        </w:rPr>
        <w:t xml:space="preserve">.4  </w:t>
      </w:r>
      <w:r>
        <w:rPr>
          <w:rFonts w:hint="eastAsia"/>
          <w:bCs/>
          <w:color w:val="000000" w:themeColor="text1"/>
          <w:szCs w:val="21"/>
          <w14:textFill>
            <w14:solidFill>
              <w14:schemeClr w14:val="tx1"/>
            </w14:solidFill>
          </w14:textFill>
        </w:rPr>
        <w:t>Monitoring methods</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66</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5</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5  Monitoring control index</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68</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5</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6</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Feedback and treatment of monitoring data</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69</w:t>
      </w:r>
    </w:p>
    <w:p>
      <w:pPr>
        <w:snapToGrid w:val="0"/>
        <w:spacing w:line="300" w:lineRule="auto"/>
        <w:jc w:val="distribut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16</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Transporting in tunnel</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70</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 xml:space="preserve">  </w:t>
      </w:r>
      <w:r>
        <w:rPr>
          <w:bCs/>
          <w:color w:val="000000" w:themeColor="text1"/>
          <w:szCs w:val="21"/>
          <w14:textFill>
            <w14:solidFill>
              <w14:schemeClr w14:val="tx1"/>
            </w14:solidFill>
          </w14:textFill>
        </w:rPr>
        <w:t>1</w:t>
      </w:r>
      <w:r>
        <w:rPr>
          <w:rFonts w:hint="eastAsia"/>
          <w:bCs/>
          <w:color w:val="000000" w:themeColor="text1"/>
          <w:szCs w:val="21"/>
          <w14:textFill>
            <w14:solidFill>
              <w14:schemeClr w14:val="tx1"/>
            </w14:solidFill>
          </w14:textFill>
        </w:rPr>
        <w:t>6</w:t>
      </w:r>
      <w:r>
        <w:rPr>
          <w:bCs/>
          <w:color w:val="000000" w:themeColor="text1"/>
          <w:szCs w:val="21"/>
          <w14:textFill>
            <w14:solidFill>
              <w14:schemeClr w14:val="tx1"/>
            </w14:solidFill>
          </w14:textFill>
        </w:rPr>
        <w:t>.1  Gen</w:t>
      </w:r>
      <w:r>
        <w:rPr>
          <w:rFonts w:hint="eastAsia"/>
          <w:bCs/>
          <w:color w:val="000000" w:themeColor="text1"/>
          <w:szCs w:val="21"/>
          <w14:textFill>
            <w14:solidFill>
              <w14:schemeClr w14:val="tx1"/>
            </w14:solidFill>
          </w14:textFill>
        </w:rPr>
        <w:t>e</w:t>
      </w:r>
      <w:r>
        <w:rPr>
          <w:bCs/>
          <w:color w:val="000000" w:themeColor="text1"/>
          <w:szCs w:val="21"/>
          <w14:textFill>
            <w14:solidFill>
              <w14:schemeClr w14:val="tx1"/>
            </w14:solidFill>
          </w14:textFill>
        </w:rPr>
        <w:t>ral</w:t>
      </w:r>
      <w:r>
        <w:rPr>
          <w:rFonts w:hint="eastAsia"/>
          <w:bCs/>
          <w:color w:val="000000" w:themeColor="text1"/>
          <w:szCs w:val="21"/>
          <w14:textFill>
            <w14:solidFill>
              <w14:schemeClr w14:val="tx1"/>
            </w14:solidFill>
          </w14:textFill>
        </w:rPr>
        <w:t xml:space="preserve"> requirements</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70</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6</w:t>
      </w:r>
      <w:r>
        <w:rPr>
          <w:bCs/>
          <w:color w:val="000000" w:themeColor="text1"/>
          <w:szCs w:val="21"/>
          <w14:textFill>
            <w14:solidFill>
              <w14:schemeClr w14:val="tx1"/>
            </w14:solidFill>
          </w14:textFill>
        </w:rPr>
        <w:t xml:space="preserve">.2  </w:t>
      </w:r>
      <w:r>
        <w:rPr>
          <w:rFonts w:hint="eastAsia"/>
          <w:bCs/>
          <w:color w:val="000000" w:themeColor="text1"/>
          <w:szCs w:val="21"/>
          <w14:textFill>
            <w14:solidFill>
              <w14:schemeClr w14:val="tx1"/>
            </w14:solidFill>
          </w14:textFill>
        </w:rPr>
        <w:t>Horizontal transportation</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70</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6.</w:t>
      </w:r>
      <w:r>
        <w:rPr>
          <w:bCs/>
          <w:color w:val="000000" w:themeColor="text1"/>
          <w:szCs w:val="21"/>
          <w14:textFill>
            <w14:solidFill>
              <w14:schemeClr w14:val="tx1"/>
            </w14:solidFill>
          </w14:textFill>
        </w:rPr>
        <w:t xml:space="preserve">3 </w:t>
      </w:r>
      <w:r>
        <w:rPr>
          <w:rFonts w:hint="eastAsia"/>
          <w:bCs/>
          <w:color w:val="000000" w:themeColor="text1"/>
          <w:szCs w:val="21"/>
          <w14:textFill>
            <w14:solidFill>
              <w14:schemeClr w14:val="tx1"/>
            </w14:solidFill>
          </w14:textFill>
        </w:rPr>
        <w:t xml:space="preserve"> Vertical transportation</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70</w:t>
      </w:r>
    </w:p>
    <w:p>
      <w:pPr>
        <w:snapToGrid w:val="0"/>
        <w:spacing w:line="300" w:lineRule="auto"/>
        <w:jc w:val="distribut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17</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Air supply、water supply、power supply、ventilation and dust control</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72</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 xml:space="preserve">  </w:t>
      </w:r>
      <w:r>
        <w:rPr>
          <w:bCs/>
          <w:color w:val="000000" w:themeColor="text1"/>
          <w:szCs w:val="21"/>
          <w14:textFill>
            <w14:solidFill>
              <w14:schemeClr w14:val="tx1"/>
            </w14:solidFill>
          </w14:textFill>
        </w:rPr>
        <w:t>1</w:t>
      </w:r>
      <w:r>
        <w:rPr>
          <w:rFonts w:hint="eastAsia"/>
          <w:bCs/>
          <w:color w:val="000000" w:themeColor="text1"/>
          <w:szCs w:val="21"/>
          <w14:textFill>
            <w14:solidFill>
              <w14:schemeClr w14:val="tx1"/>
            </w14:solidFill>
          </w14:textFill>
        </w:rPr>
        <w:t>7</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1</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Air supply system</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72</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7.2</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 xml:space="preserve"> Water supply system</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72</w:t>
      </w:r>
    </w:p>
    <w:p>
      <w:pPr>
        <w:snapToGrid w:val="0"/>
        <w:spacing w:line="300" w:lineRule="auto"/>
        <w:jc w:val="distribute"/>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 xml:space="preserve">  </w:t>
      </w:r>
      <w:r>
        <w:rPr>
          <w:bCs/>
          <w:color w:val="000000" w:themeColor="text1"/>
          <w:szCs w:val="21"/>
          <w14:textFill>
            <w14:solidFill>
              <w14:schemeClr w14:val="tx1"/>
            </w14:solidFill>
          </w14:textFill>
        </w:rPr>
        <w:t xml:space="preserve"> 1</w:t>
      </w:r>
      <w:r>
        <w:rPr>
          <w:rFonts w:hint="eastAsia"/>
          <w:bCs/>
          <w:color w:val="000000" w:themeColor="text1"/>
          <w:szCs w:val="21"/>
          <w14:textFill>
            <w14:solidFill>
              <w14:schemeClr w14:val="tx1"/>
            </w14:solidFill>
          </w14:textFill>
        </w:rPr>
        <w:t>7.3</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 xml:space="preserve"> Power supply and lighting system</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73</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 xml:space="preserve">  </w:t>
      </w:r>
      <w:r>
        <w:rPr>
          <w:bCs/>
          <w:color w:val="000000" w:themeColor="text1"/>
          <w:szCs w:val="21"/>
          <w14:textFill>
            <w14:solidFill>
              <w14:schemeClr w14:val="tx1"/>
            </w14:solidFill>
          </w14:textFill>
        </w:rPr>
        <w:t>1</w:t>
      </w:r>
      <w:r>
        <w:rPr>
          <w:rFonts w:hint="eastAsia"/>
          <w:bCs/>
          <w:color w:val="000000" w:themeColor="text1"/>
          <w:szCs w:val="21"/>
          <w14:textFill>
            <w14:solidFill>
              <w14:schemeClr w14:val="tx1"/>
            </w14:solidFill>
          </w14:textFill>
        </w:rPr>
        <w:t>7.4</w:t>
      </w:r>
      <w:r>
        <w:rPr>
          <w:bCs/>
          <w:color w:val="000000" w:themeColor="text1"/>
          <w:szCs w:val="21"/>
          <w14:textFill>
            <w14:solidFill>
              <w14:schemeClr w14:val="tx1"/>
            </w14:solidFill>
          </w14:textFill>
        </w:rPr>
        <w:t xml:space="preserve"> </w:t>
      </w:r>
      <w:r>
        <w:rPr>
          <w:rFonts w:hint="eastAsia"/>
          <w:bCs/>
          <w:color w:val="000000" w:themeColor="text1"/>
          <w:szCs w:val="21"/>
          <w14:textFill>
            <w14:solidFill>
              <w14:schemeClr w14:val="tx1"/>
            </w14:solidFill>
          </w14:textFill>
        </w:rPr>
        <w:t xml:space="preserve"> Ventilation system and dust control</w:t>
      </w:r>
      <w:r>
        <w:rPr>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73</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Explanation of wording in this standard………………………………………………………</w:t>
      </w:r>
      <w:r>
        <w:rPr>
          <w:rFonts w:hint="eastAsia"/>
          <w:bCs/>
          <w:color w:val="000000" w:themeColor="text1"/>
          <w:szCs w:val="21"/>
          <w14:textFill>
            <w14:solidFill>
              <w14:schemeClr w14:val="tx1"/>
            </w14:solidFill>
          </w14:textFill>
        </w:rPr>
        <w:t>76</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List of quoted standards………………………………………………………………………</w:t>
      </w:r>
      <w:r>
        <w:rPr>
          <w:rFonts w:hint="eastAsia"/>
          <w:bCs/>
          <w:color w:val="000000" w:themeColor="text1"/>
          <w:szCs w:val="21"/>
          <w14:textFill>
            <w14:solidFill>
              <w14:schemeClr w14:val="tx1"/>
            </w14:solidFill>
          </w14:textFill>
        </w:rPr>
        <w:t>77</w:t>
      </w:r>
    </w:p>
    <w:p>
      <w:pPr>
        <w:snapToGrid w:val="0"/>
        <w:spacing w:line="300" w:lineRule="auto"/>
        <w:jc w:val="distribute"/>
        <w:rPr>
          <w:bCs/>
          <w:color w:val="000000" w:themeColor="text1"/>
          <w:szCs w:val="21"/>
          <w14:textFill>
            <w14:solidFill>
              <w14:schemeClr w14:val="tx1"/>
            </w14:solidFill>
          </w14:textFill>
        </w:rPr>
      </w:pPr>
      <w:r>
        <w:rPr>
          <w:bCs/>
          <w:color w:val="000000" w:themeColor="text1"/>
          <w:szCs w:val="21"/>
          <w14:textFill>
            <w14:solidFill>
              <w14:schemeClr w14:val="tx1"/>
            </w14:solidFill>
          </w14:textFill>
        </w:rPr>
        <w:t>Addition</w:t>
      </w:r>
      <w:r>
        <w:rPr>
          <w:rFonts w:hint="eastAsia"/>
          <w:bCs/>
          <w:color w:val="000000" w:themeColor="text1"/>
          <w:szCs w:val="21"/>
          <w14:textFill>
            <w14:solidFill>
              <w14:schemeClr w14:val="tx1"/>
            </w14:solidFill>
          </w14:textFill>
        </w:rPr>
        <w:t>：</w:t>
      </w:r>
      <w:r>
        <w:rPr>
          <w:bCs/>
          <w:color w:val="000000" w:themeColor="text1"/>
          <w:szCs w:val="21"/>
          <w14:textFill>
            <w14:solidFill>
              <w14:schemeClr w14:val="tx1"/>
            </w14:solidFill>
          </w14:textFill>
        </w:rPr>
        <w:t>Explanation of provisions…………………………………………………………7</w:t>
      </w:r>
      <w:r>
        <w:rPr>
          <w:rFonts w:hint="eastAsia"/>
          <w:bCs/>
          <w:color w:val="000000" w:themeColor="text1"/>
          <w:szCs w:val="21"/>
          <w14:textFill>
            <w14:solidFill>
              <w14:schemeClr w14:val="tx1"/>
            </w14:solidFill>
          </w14:textFill>
        </w:rPr>
        <w:t>8</w:t>
      </w:r>
    </w:p>
    <w:p>
      <w:pPr>
        <w:rPr>
          <w:color w:val="000000" w:themeColor="text1"/>
          <w14:textFill>
            <w14:solidFill>
              <w14:schemeClr w14:val="tx1"/>
            </w14:solidFill>
          </w14:textFill>
        </w:rPr>
      </w:pPr>
    </w:p>
    <w:p>
      <w:pPr>
        <w:pageBreakBefore/>
        <w:numPr>
          <w:ilvl w:val="0"/>
          <w:numId w:val="2"/>
        </w:numPr>
        <w:tabs>
          <w:tab w:val="left" w:pos="360"/>
          <w:tab w:val="clear" w:pos="5835"/>
        </w:tabs>
        <w:adjustRightInd w:val="0"/>
        <w:snapToGrid w:val="0"/>
        <w:spacing w:before="312" w:beforeLines="100" w:after="312" w:afterLines="100" w:line="360" w:lineRule="auto"/>
        <w:ind w:left="4825" w:hanging="4825"/>
        <w:jc w:val="center"/>
        <w:outlineLvl w:val="0"/>
        <w:rPr>
          <w:b/>
          <w:color w:val="000000" w:themeColor="text1"/>
          <w:sz w:val="28"/>
          <w:szCs w:val="28"/>
          <w14:textFill>
            <w14:solidFill>
              <w14:schemeClr w14:val="tx1"/>
            </w14:solidFill>
          </w14:textFill>
        </w:rPr>
        <w:sectPr>
          <w:footerReference r:id="rId3" w:type="default"/>
          <w:pgSz w:w="11906" w:h="16838"/>
          <w:pgMar w:top="1440" w:right="1800" w:bottom="1440" w:left="1800" w:header="851" w:footer="992" w:gutter="0"/>
          <w:pgNumType w:start="1"/>
          <w:cols w:space="425" w:num="1"/>
          <w:docGrid w:type="lines" w:linePitch="312" w:charSpace="0"/>
        </w:sectPr>
      </w:pPr>
    </w:p>
    <w:p>
      <w:pPr>
        <w:pageBreakBefore/>
        <w:numPr>
          <w:ilvl w:val="0"/>
          <w:numId w:val="2"/>
        </w:numPr>
        <w:tabs>
          <w:tab w:val="left" w:pos="360"/>
          <w:tab w:val="clear" w:pos="5835"/>
        </w:tabs>
        <w:adjustRightInd w:val="0"/>
        <w:snapToGrid w:val="0"/>
        <w:spacing w:before="312" w:beforeLines="100" w:after="312" w:afterLines="100" w:line="360" w:lineRule="auto"/>
        <w:ind w:left="4825" w:hanging="4825"/>
        <w:jc w:val="center"/>
        <w:outlineLvl w:val="0"/>
        <w:rPr>
          <w:b/>
          <w:color w:val="000000" w:themeColor="text1"/>
          <w:sz w:val="28"/>
          <w:szCs w:val="28"/>
          <w14:textFill>
            <w14:solidFill>
              <w14:schemeClr w14:val="tx1"/>
            </w14:solidFill>
          </w14:textFill>
        </w:rPr>
      </w:pPr>
      <w:r>
        <w:rPr>
          <w:color w:val="000000" w:themeColor="text1"/>
          <w:szCs w:val="28"/>
          <w14:textFill>
            <w14:solidFill>
              <w14:schemeClr w14:val="tx1"/>
            </w14:solidFill>
          </w14:textFill>
        </w:rPr>
        <w:fldChar w:fldCharType="end"/>
      </w:r>
      <w:bookmarkStart w:id="20" w:name="_Toc1799"/>
      <w:bookmarkStart w:id="21" w:name="_Toc3373"/>
      <w:bookmarkStart w:id="22" w:name="_Toc27128"/>
      <w:bookmarkStart w:id="23" w:name="_Toc32424"/>
      <w:r>
        <w:rPr>
          <w:b/>
          <w:color w:val="000000" w:themeColor="text1"/>
          <w:sz w:val="28"/>
          <w:szCs w:val="28"/>
          <w14:textFill>
            <w14:solidFill>
              <w14:schemeClr w14:val="tx1"/>
            </w14:solidFill>
          </w14:textFill>
        </w:rPr>
        <w:t>总</w:t>
      </w:r>
      <w:r>
        <w:rPr>
          <w:rFonts w:hint="eastAsia"/>
          <w:b/>
          <w:color w:val="000000" w:themeColor="text1"/>
          <w:sz w:val="28"/>
          <w:szCs w:val="28"/>
          <w14:textFill>
            <w14:solidFill>
              <w14:schemeClr w14:val="tx1"/>
            </w14:solidFill>
          </w14:textFill>
        </w:rPr>
        <w:t xml:space="preserve">    </w:t>
      </w:r>
      <w:r>
        <w:rPr>
          <w:b/>
          <w:color w:val="000000" w:themeColor="text1"/>
          <w:sz w:val="28"/>
          <w:szCs w:val="28"/>
          <w14:textFill>
            <w14:solidFill>
              <w14:schemeClr w14:val="tx1"/>
            </w14:solidFill>
          </w14:textFill>
        </w:rPr>
        <w:t>则</w:t>
      </w:r>
      <w:bookmarkEnd w:id="3"/>
      <w:bookmarkEnd w:id="18"/>
      <w:bookmarkEnd w:id="19"/>
      <w:bookmarkEnd w:id="20"/>
      <w:bookmarkEnd w:id="21"/>
      <w:bookmarkEnd w:id="22"/>
      <w:bookmarkEnd w:id="23"/>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1.0.1 </w:t>
      </w:r>
      <w:r>
        <w:rPr>
          <w:rFonts w:hint="eastAsia" w:hAnsi="宋体"/>
          <w:color w:val="000000" w:themeColor="text1"/>
          <w:szCs w:val="21"/>
          <w14:textFill>
            <w14:solidFill>
              <w14:schemeClr w14:val="tx1"/>
            </w14:solidFill>
          </w14:textFill>
        </w:rPr>
        <w:t>为加强城市轨道交通工程施工技术管理，做到经济合理、安全可靠，制定本规程。</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1.0.2 </w:t>
      </w:r>
      <w:r>
        <w:rPr>
          <w:rFonts w:hint="eastAsia" w:hAnsi="宋体"/>
          <w:color w:val="000000" w:themeColor="text1"/>
          <w:szCs w:val="21"/>
          <w14:textFill>
            <w14:solidFill>
              <w14:schemeClr w14:val="tx1"/>
            </w14:solidFill>
          </w14:textFill>
        </w:rPr>
        <w:t>本规程适用于北京市行政区域内新建、改建和扩建城市轨道交通工程浅埋暗挖施工。</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1.0.3 </w:t>
      </w:r>
      <w:r>
        <w:rPr>
          <w:rFonts w:hint="eastAsia" w:hAnsi="宋体"/>
          <w:color w:val="000000" w:themeColor="text1"/>
          <w:szCs w:val="21"/>
          <w14:textFill>
            <w14:solidFill>
              <w14:schemeClr w14:val="tx1"/>
            </w14:solidFill>
          </w14:textFill>
        </w:rPr>
        <w:t>城市轨道交通工程浅埋暗挖施工除应符合本规程外，尚应符合国家及北京市现行有关标准的规定。</w:t>
      </w:r>
    </w:p>
    <w:p>
      <w:pPr>
        <w:rPr>
          <w:color w:val="000000" w:themeColor="text1"/>
          <w14:textFill>
            <w14:solidFill>
              <w14:schemeClr w14:val="tx1"/>
            </w14:solidFill>
          </w14:textFill>
        </w:rPr>
        <w:sectPr>
          <w:footerReference r:id="rId4" w:type="default"/>
          <w:pgSz w:w="11906" w:h="16838"/>
          <w:pgMar w:top="1440" w:right="1800" w:bottom="1440" w:left="1800" w:header="851" w:footer="992" w:gutter="0"/>
          <w:pgNumType w:start="1"/>
          <w:cols w:space="425" w:num="1"/>
          <w:docGrid w:type="lines" w:linePitch="312" w:charSpace="0"/>
        </w:sectPr>
      </w:pPr>
    </w:p>
    <w:p>
      <w:pPr>
        <w:pageBreakBefore/>
        <w:numPr>
          <w:ilvl w:val="0"/>
          <w:numId w:val="2"/>
        </w:numPr>
        <w:tabs>
          <w:tab w:val="left" w:pos="360"/>
          <w:tab w:val="clear" w:pos="5835"/>
        </w:tabs>
        <w:adjustRightInd w:val="0"/>
        <w:snapToGrid w:val="0"/>
        <w:spacing w:before="312" w:beforeLines="100" w:after="312" w:afterLines="100" w:line="360" w:lineRule="auto"/>
        <w:ind w:left="4825" w:hanging="4825"/>
        <w:jc w:val="center"/>
        <w:outlineLvl w:val="0"/>
        <w:rPr>
          <w:color w:val="000000" w:themeColor="text1"/>
          <w14:textFill>
            <w14:solidFill>
              <w14:schemeClr w14:val="tx1"/>
            </w14:solidFill>
          </w14:textFill>
        </w:rPr>
      </w:pPr>
      <w:bookmarkStart w:id="24" w:name="_Toc18806"/>
      <w:bookmarkStart w:id="25" w:name="_Toc7614"/>
      <w:bookmarkStart w:id="26" w:name="_Toc510"/>
      <w:bookmarkStart w:id="27" w:name="_Toc16346"/>
      <w:bookmarkStart w:id="28" w:name="_Toc19862"/>
      <w:bookmarkStart w:id="29" w:name="_Toc12535"/>
      <w:r>
        <w:rPr>
          <w:rFonts w:hint="eastAsia"/>
          <w:b/>
          <w:color w:val="000000" w:themeColor="text1"/>
          <w:sz w:val="28"/>
          <w:szCs w:val="28"/>
          <w14:textFill>
            <w14:solidFill>
              <w14:schemeClr w14:val="tx1"/>
            </w14:solidFill>
          </w14:textFill>
        </w:rPr>
        <w:t>术    语</w:t>
      </w:r>
      <w:bookmarkEnd w:id="24"/>
      <w:bookmarkEnd w:id="25"/>
      <w:bookmarkEnd w:id="26"/>
      <w:bookmarkEnd w:id="27"/>
      <w:bookmarkEnd w:id="28"/>
      <w:bookmarkEnd w:id="29"/>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2.0.1</w:t>
      </w:r>
      <w:r>
        <w:rPr>
          <w:rFonts w:hint="eastAsia" w:hAnsi="宋体"/>
          <w:b/>
          <w:color w:val="000000" w:themeColor="text1"/>
          <w:szCs w:val="21"/>
          <w14:textFill>
            <w14:solidFill>
              <w14:schemeClr w14:val="tx1"/>
            </w14:solidFill>
          </w14:textFill>
        </w:rPr>
        <w:t xml:space="preserve"> </w:t>
      </w:r>
      <w:r>
        <w:rPr>
          <w:rFonts w:hint="eastAsia"/>
          <w:color w:val="000000" w:themeColor="text1"/>
          <w:kern w:val="0"/>
          <w:szCs w:val="21"/>
          <w14:textFill>
            <w14:solidFill>
              <w14:schemeClr w14:val="tx1"/>
            </w14:solidFill>
          </w14:textFill>
        </w:rPr>
        <w:t>浅埋暗挖法</w:t>
      </w:r>
      <w:r>
        <w:rPr>
          <w:rFonts w:hint="eastAsia" w:hAnsi="宋体"/>
          <w:color w:val="000000" w:themeColor="text1"/>
          <w:szCs w:val="21"/>
          <w14:textFill>
            <w14:solidFill>
              <w14:schemeClr w14:val="tx1"/>
            </w14:solidFill>
          </w14:textFill>
        </w:rPr>
        <w:t xml:space="preserve"> </w:t>
      </w:r>
      <w:r>
        <w:rPr>
          <w:color w:val="000000" w:themeColor="text1"/>
          <w14:textFill>
            <w14:solidFill>
              <w14:schemeClr w14:val="tx1"/>
            </w14:solidFill>
          </w14:textFill>
        </w:rPr>
        <w:t xml:space="preserve">shallow </w:t>
      </w:r>
      <w:r>
        <w:rPr>
          <w:rFonts w:hint="eastAsia"/>
          <w:color w:val="000000" w:themeColor="text1"/>
          <w14:textFill>
            <w14:solidFill>
              <w14:schemeClr w14:val="tx1"/>
            </w14:solidFill>
          </w14:textFill>
        </w:rPr>
        <w:t>excavation</w:t>
      </w:r>
      <w:r>
        <w:rPr>
          <w:color w:val="000000" w:themeColor="text1"/>
          <w14:textFill>
            <w14:solidFill>
              <w14:schemeClr w14:val="tx1"/>
            </w14:solidFill>
          </w14:textFill>
        </w:rPr>
        <w:t xml:space="preserve"> method</w:t>
      </w:r>
      <w:r>
        <w:rPr>
          <w:rFonts w:hint="eastAsia"/>
          <w:color w:val="000000" w:themeColor="text1"/>
          <w14:textFill>
            <w14:solidFill>
              <w14:schemeClr w14:val="tx1"/>
            </w14:solidFill>
          </w14:textFill>
        </w:rPr>
        <w:t xml:space="preserve"> / mining method with shallow coverage</w:t>
      </w:r>
    </w:p>
    <w:p>
      <w:pPr>
        <w:pStyle w:val="22"/>
        <w:tabs>
          <w:tab w:val="left" w:pos="851"/>
          <w:tab w:val="left" w:pos="5835"/>
        </w:tabs>
        <w:snapToGrid w:val="0"/>
        <w:spacing w:line="360" w:lineRule="auto"/>
        <w:jc w:val="left"/>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针对埋深较浅、松散不稳定的地层和软弱破碎岩层，在开挖中以多种辅助措施加固围岩及周围土体，开挖后及时支护、封闭成环，与围岩及周围土体共同作用形成联合支护体系，有效地控制围岩及周围土体过大变形的一种综合施工方法。</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2.0.2</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马头门 horsehead gate</w:t>
      </w:r>
    </w:p>
    <w:p>
      <w:pPr>
        <w:pStyle w:val="22"/>
        <w:tabs>
          <w:tab w:val="left" w:pos="851"/>
          <w:tab w:val="left" w:pos="5835"/>
        </w:tabs>
        <w:snapToGrid w:val="0"/>
        <w:spacing w:line="360" w:lineRule="auto"/>
        <w:jc w:val="left"/>
        <w:rPr>
          <w:b/>
          <w:color w:val="000000" w:themeColor="text1"/>
          <w:kern w:val="0"/>
          <w:szCs w:val="21"/>
          <w14:textFill>
            <w14:solidFill>
              <w14:schemeClr w14:val="tx1"/>
            </w14:solidFill>
          </w14:textFill>
        </w:rPr>
      </w:pPr>
      <w:r>
        <w:rPr>
          <w:rFonts w:hint="eastAsia"/>
          <w:color w:val="000000" w:themeColor="text1"/>
          <w:szCs w:val="21"/>
          <w14:textFill>
            <w14:solidFill>
              <w14:schemeClr w14:val="tx1"/>
            </w14:solidFill>
          </w14:textFill>
        </w:rPr>
        <w:t>井筒与井底车场的联接处。形状似马头，是渣土、设备、材料和人员的转运点。</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b/>
          <w:color w:val="000000" w:themeColor="text1"/>
          <w:kern w:val="0"/>
          <w:szCs w:val="21"/>
          <w14:textFill>
            <w14:solidFill>
              <w14:schemeClr w14:val="tx1"/>
            </w14:solidFill>
          </w14:textFill>
        </w:rPr>
        <w:t xml:space="preserve">2.0.3 </w:t>
      </w:r>
      <w:r>
        <w:rPr>
          <w:rFonts w:hint="eastAsia" w:hAnsi="宋体"/>
          <w:color w:val="000000" w:themeColor="text1"/>
          <w:szCs w:val="21"/>
          <w14:textFill>
            <w14:solidFill>
              <w14:schemeClr w14:val="tx1"/>
            </w14:solidFill>
          </w14:textFill>
        </w:rPr>
        <w:t>喷锚支护 shotcrete and rock bolt support</w:t>
      </w:r>
    </w:p>
    <w:p>
      <w:pPr>
        <w:pStyle w:val="21"/>
        <w:snapToGrid w:val="0"/>
        <w:spacing w:line="360" w:lineRule="auto"/>
        <w:ind w:firstLine="359" w:firstLineChars="171"/>
        <w:jc w:val="both"/>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sz w:val="21"/>
          <w:szCs w:val="21"/>
          <w14:textFill>
            <w14:solidFill>
              <w14:schemeClr w14:val="tx1"/>
            </w14:solidFill>
          </w14:textFill>
        </w:rPr>
        <w:t>由喷射混凝土、锚杆、钢筋网、钢架等组合成的支护结构。</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2.0.4</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超前预支护 advanced support</w:t>
      </w:r>
    </w:p>
    <w:p>
      <w:pPr>
        <w:pStyle w:val="21"/>
        <w:snapToGrid w:val="0"/>
        <w:spacing w:line="360" w:lineRule="auto"/>
        <w:ind w:firstLine="359" w:firstLineChars="171"/>
        <w:jc w:val="both"/>
        <w:rPr>
          <w:rFonts w:ascii="Times New Roman" w:cs="Times New Roman"/>
          <w:color w:val="000000" w:themeColor="text1"/>
          <w:sz w:val="21"/>
          <w:szCs w:val="21"/>
          <w14:textFill>
            <w14:solidFill>
              <w14:schemeClr w14:val="tx1"/>
            </w14:solidFill>
          </w14:textFill>
        </w:rPr>
      </w:pPr>
      <w:r>
        <w:rPr>
          <w:rFonts w:ascii="Times New Roman" w:cs="Times New Roman"/>
          <w:color w:val="000000" w:themeColor="text1"/>
          <w:sz w:val="21"/>
          <w:szCs w:val="21"/>
          <w14:textFill>
            <w14:solidFill>
              <w14:schemeClr w14:val="tx1"/>
            </w14:solidFill>
          </w14:textFill>
        </w:rPr>
        <w:t> </w:t>
      </w:r>
      <w:r>
        <w:rPr>
          <w:rFonts w:hint="eastAsia" w:ascii="Times New Roman" w:cs="Times New Roman"/>
          <w:color w:val="000000" w:themeColor="text1"/>
          <w:sz w:val="21"/>
          <w:szCs w:val="21"/>
          <w14:textFill>
            <w14:solidFill>
              <w14:schemeClr w14:val="tx1"/>
            </w14:solidFill>
          </w14:textFill>
        </w:rPr>
        <w:t>在隧道施工中，对开挖工作面前方围岩进行预加固的支护。</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2.0.5</w:t>
      </w:r>
      <w:r>
        <w:rPr>
          <w:rFonts w:hint="eastAsia" w:hAnsi="宋体"/>
          <w:b/>
          <w:color w:val="000000" w:themeColor="text1"/>
          <w:szCs w:val="21"/>
          <w14:textFill>
            <w14:solidFill>
              <w14:schemeClr w14:val="tx1"/>
            </w14:solidFill>
          </w14:textFill>
        </w:rPr>
        <w:t xml:space="preserve"> </w:t>
      </w:r>
      <w:r>
        <w:rPr>
          <w:rFonts w:hint="eastAsia"/>
          <w:color w:val="000000" w:themeColor="text1"/>
          <w:szCs w:val="21"/>
          <w14:textFill>
            <w14:solidFill>
              <w14:schemeClr w14:val="tx1"/>
            </w14:solidFill>
          </w14:textFill>
        </w:rPr>
        <w:t>管棚</w:t>
      </w:r>
      <w:r>
        <w:rPr>
          <w:rFonts w:hint="eastAsia" w:hAnsi="宋体"/>
          <w:color w:val="000000" w:themeColor="text1"/>
          <w:szCs w:val="21"/>
          <w14:textFill>
            <w14:solidFill>
              <w14:schemeClr w14:val="tx1"/>
            </w14:solidFill>
          </w14:textFill>
        </w:rPr>
        <w:t>支护 pipe-roof protection</w:t>
      </w:r>
    </w:p>
    <w:p>
      <w:pPr>
        <w:pStyle w:val="22"/>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在开挖工作面的轮廓线外，按一定外插角插入直径为70mm</w:t>
      </w:r>
      <w:r>
        <w:rPr>
          <w:rFonts w:hint="eastAsia" w:ascii="宋体" w:hAnsi="宋体" w:cs="宋体"/>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180mm的带孔钢管，压注水泥浆或水泥砂浆，并将钢管尾部与钢架焊接为一体形成的支护体系。</w:t>
      </w:r>
    </w:p>
    <w:p>
      <w:pPr>
        <w:widowControl/>
        <w:wordWrap w:val="0"/>
        <w:snapToGrid w:val="0"/>
        <w:spacing w:line="160" w:lineRule="atLeast"/>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2.0.6 </w:t>
      </w:r>
      <w:r>
        <w:rPr>
          <w:rFonts w:hint="eastAsia"/>
          <w:color w:val="000000" w:themeColor="text1"/>
          <w:szCs w:val="21"/>
          <w14:textFill>
            <w14:solidFill>
              <w14:schemeClr w14:val="tx1"/>
            </w14:solidFill>
          </w14:textFill>
        </w:rPr>
        <w:t xml:space="preserve">管幕支护 </w:t>
      </w:r>
      <w:r>
        <w:rPr>
          <w:rFonts w:hint="eastAsia" w:hAnsi="宋体"/>
          <w:color w:val="000000" w:themeColor="text1"/>
          <w:szCs w:val="21"/>
          <w14:textFill>
            <w14:solidFill>
              <w14:schemeClr w14:val="tx1"/>
            </w14:solidFill>
          </w14:textFill>
        </w:rPr>
        <w:t>pipe-</w:t>
      </w:r>
      <w:r>
        <w:rPr>
          <w:rFonts w:hint="eastAsia" w:hAnsi="宋体"/>
          <w:color w:val="000000" w:themeColor="text1"/>
          <w:szCs w:val="21"/>
          <w:lang w:bidi="ar"/>
          <w14:textFill>
            <w14:solidFill>
              <w14:schemeClr w14:val="tx1"/>
            </w14:solidFill>
          </w14:textFill>
        </w:rPr>
        <w:t>curtain</w:t>
      </w:r>
      <w:r>
        <w:rPr>
          <w:rFonts w:hint="eastAsia" w:hAnsi="宋体"/>
          <w:color w:val="000000" w:themeColor="text1"/>
          <w:szCs w:val="21"/>
          <w14:textFill>
            <w14:solidFill>
              <w14:schemeClr w14:val="tx1"/>
            </w14:solidFill>
          </w14:textFill>
        </w:rPr>
        <w:t xml:space="preserve"> protection</w:t>
      </w:r>
    </w:p>
    <w:p>
      <w:pPr>
        <w:pStyle w:val="21"/>
        <w:snapToGrid w:val="0"/>
        <w:spacing w:line="360" w:lineRule="auto"/>
        <w:ind w:firstLine="420" w:firstLineChars="200"/>
        <w:jc w:val="both"/>
        <w:rPr>
          <w:rFonts w:ascii="Times New Roman" w:hAnsi="宋体" w:cs="Times New Roman"/>
          <w:b/>
          <w:color w:val="000000" w:themeColor="text1"/>
          <w:kern w:val="2"/>
          <w:sz w:val="21"/>
          <w:szCs w:val="21"/>
          <w14:textFill>
            <w14:solidFill>
              <w14:schemeClr w14:val="tx1"/>
            </w14:solidFill>
          </w14:textFill>
        </w:rPr>
      </w:pPr>
      <w:r>
        <w:rPr>
          <w:rFonts w:hint="eastAsia" w:ascii="Times New Roman" w:cs="Times New Roman"/>
          <w:color w:val="000000" w:themeColor="text1"/>
          <w:sz w:val="21"/>
          <w:szCs w:val="21"/>
          <w14:textFill>
            <w14:solidFill>
              <w14:schemeClr w14:val="tx1"/>
            </w14:solidFill>
          </w14:textFill>
        </w:rPr>
        <w:t>在开挖工作面的轮廓线外，</w:t>
      </w:r>
      <w:r>
        <w:rPr>
          <w:rFonts w:hint="eastAsia" w:cs="Times New Roman"/>
          <w:color w:val="000000" w:themeColor="text1"/>
          <w:sz w:val="21"/>
          <w:szCs w:val="21"/>
          <w14:textFill>
            <w14:solidFill>
              <w14:schemeClr w14:val="tx1"/>
            </w14:solidFill>
          </w14:textFill>
        </w:rPr>
        <w:t>利用顶管机顶进钢管，各钢管间通过侧面锁扣连成一体形成的具有一定强度和止水功能的支护体系。</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2.0.7</w:t>
      </w:r>
      <w:r>
        <w:rPr>
          <w:rFonts w:hint="eastAsia" w:hAnsi="宋体"/>
          <w:color w:val="000000" w:themeColor="text1"/>
          <w:szCs w:val="21"/>
          <w14:textFill>
            <w14:solidFill>
              <w14:schemeClr w14:val="tx1"/>
            </w14:solidFill>
          </w14:textFill>
        </w:rPr>
        <w:t xml:space="preserve"> 小导管注浆 small pipe-roof protection</w:t>
      </w:r>
    </w:p>
    <w:p>
      <w:pPr>
        <w:pStyle w:val="21"/>
        <w:snapToGrid w:val="0"/>
        <w:spacing w:line="360" w:lineRule="auto"/>
        <w:ind w:firstLine="359" w:firstLineChars="171"/>
        <w:jc w:val="both"/>
        <w:rPr>
          <w:rFonts w:ascii="Times New Roman" w:hAnsi="宋体" w:cs="Times New Roman"/>
          <w:bCs/>
          <w:color w:val="000000" w:themeColor="text1"/>
          <w:kern w:val="2"/>
          <w:sz w:val="21"/>
          <w:szCs w:val="21"/>
          <w14:textFill>
            <w14:solidFill>
              <w14:schemeClr w14:val="tx1"/>
            </w14:solidFill>
          </w14:textFill>
        </w:rPr>
      </w:pPr>
      <w:r>
        <w:rPr>
          <w:rFonts w:ascii="Times New Roman" w:hAnsi="宋体" w:cs="Times New Roman"/>
          <w:bCs/>
          <w:color w:val="000000" w:themeColor="text1"/>
          <w:kern w:val="2"/>
          <w:sz w:val="21"/>
          <w:szCs w:val="21"/>
          <w14:textFill>
            <w14:solidFill>
              <w14:schemeClr w14:val="tx1"/>
            </w14:solidFill>
          </w14:textFill>
        </w:rPr>
        <w:t>在开挖前，沿开挖面的拱部外周插入直径为38</w:t>
      </w:r>
      <w:r>
        <w:rPr>
          <w:rFonts w:hint="eastAsia" w:hAnsi="宋体"/>
          <w:bCs/>
          <w:color w:val="000000" w:themeColor="text1"/>
          <w:kern w:val="2"/>
          <w:sz w:val="21"/>
          <w:szCs w:val="21"/>
          <w14:textFill>
            <w14:solidFill>
              <w14:schemeClr w14:val="tx1"/>
            </w14:solidFill>
          </w14:textFill>
        </w:rPr>
        <w:t>～</w:t>
      </w:r>
      <w:r>
        <w:rPr>
          <w:rFonts w:ascii="Times New Roman" w:hAnsi="宋体" w:cs="Times New Roman"/>
          <w:bCs/>
          <w:color w:val="000000" w:themeColor="text1"/>
          <w:kern w:val="2"/>
          <w:sz w:val="21"/>
          <w:szCs w:val="21"/>
          <w14:textFill>
            <w14:solidFill>
              <w14:schemeClr w14:val="tx1"/>
            </w14:solidFill>
          </w14:textFill>
        </w:rPr>
        <w:t>70mm的带孔钢管，压注浆液。</w:t>
      </w:r>
    </w:p>
    <w:p>
      <w:pPr>
        <w:pStyle w:val="22"/>
        <w:tabs>
          <w:tab w:val="left" w:pos="851"/>
          <w:tab w:val="left" w:pos="5835"/>
        </w:tabs>
        <w:snapToGrid w:val="0"/>
        <w:spacing w:line="360" w:lineRule="auto"/>
        <w:ind w:firstLine="0" w:firstLineChars="0"/>
        <w:jc w:val="left"/>
        <w:rPr>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2.0.8 </w:t>
      </w:r>
      <w:r>
        <w:rPr>
          <w:rFonts w:hAnsi="宋体"/>
          <w:color w:val="000000" w:themeColor="text1"/>
          <w:szCs w:val="21"/>
          <w14:textFill>
            <w14:solidFill>
              <w14:schemeClr w14:val="tx1"/>
            </w14:solidFill>
          </w14:textFill>
        </w:rPr>
        <w:t>锚</w:t>
      </w:r>
      <w:r>
        <w:rPr>
          <w:rFonts w:hint="eastAsia" w:hAnsi="宋体"/>
          <w:color w:val="000000" w:themeColor="text1"/>
          <w:szCs w:val="21"/>
          <w14:textFill>
            <w14:solidFill>
              <w14:schemeClr w14:val="tx1"/>
            </w14:solidFill>
          </w14:textFill>
        </w:rPr>
        <w:t>杆rock bolt</w:t>
      </w:r>
    </w:p>
    <w:p>
      <w:pPr>
        <w:pStyle w:val="22"/>
        <w:tabs>
          <w:tab w:val="left" w:pos="851"/>
        </w:tabs>
        <w:snapToGrid w:val="0"/>
        <w:spacing w:line="360" w:lineRule="auto"/>
        <w:ind w:firstLine="0" w:firstLineChars="0"/>
        <w:jc w:val="left"/>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 xml:space="preserve">    用钢筋、钢管等材料加工而成具有锚固、悬吊等作用的支护杆（构）件。</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2.0.9</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 xml:space="preserve">钢架 steel frame or beam support </w:t>
      </w:r>
    </w:p>
    <w:p>
      <w:pPr>
        <w:pStyle w:val="21"/>
        <w:snapToGrid w:val="0"/>
        <w:spacing w:line="360" w:lineRule="auto"/>
        <w:ind w:firstLine="420" w:firstLineChars="200"/>
        <w:jc w:val="both"/>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sz w:val="21"/>
          <w:szCs w:val="21"/>
          <w14:textFill>
            <w14:solidFill>
              <w14:schemeClr w14:val="tx1"/>
            </w14:solidFill>
          </w14:textFill>
        </w:rPr>
        <w:t>用钢筋或型钢等制成的支护骨架结构。</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2.0.10</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喷射混凝土 shotcrete / sprayed concrete</w:t>
      </w:r>
    </w:p>
    <w:p>
      <w:pPr>
        <w:pStyle w:val="22"/>
        <w:numPr>
          <w:ilvl w:val="255"/>
          <w:numId w:val="0"/>
        </w:numPr>
        <w:tabs>
          <w:tab w:val="left" w:pos="851"/>
          <w:tab w:val="left" w:pos="5835"/>
        </w:tabs>
        <w:snapToGrid w:val="0"/>
        <w:spacing w:line="360" w:lineRule="auto"/>
        <w:ind w:firstLine="420" w:firstLineChars="20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将水泥、骨料和</w:t>
      </w:r>
      <w:r>
        <w:rPr>
          <w:rFonts w:hint="eastAsia" w:hAnsi="宋体"/>
          <w:color w:val="000000" w:themeColor="text1"/>
          <w:szCs w:val="21"/>
          <w:u w:val="single"/>
          <w14:textFill>
            <w14:solidFill>
              <w14:schemeClr w14:val="tx1"/>
            </w14:solidFill>
          </w14:textFill>
        </w:rPr>
        <w:t>水按照</w:t>
      </w:r>
      <w:r>
        <w:rPr>
          <w:rFonts w:hint="eastAsia" w:hAnsi="宋体"/>
          <w:color w:val="000000" w:themeColor="text1"/>
          <w:szCs w:val="21"/>
          <w14:textFill>
            <w14:solidFill>
              <w14:schemeClr w14:val="tx1"/>
            </w14:solidFill>
          </w14:textFill>
        </w:rPr>
        <w:t>一定比例拌制的混合料装入喷射机，采用压缩空气，将喷嘴喷出至受喷面所形成的致密均匀的一种混凝土。</w:t>
      </w:r>
    </w:p>
    <w:p>
      <w:pPr>
        <w:pStyle w:val="22"/>
        <w:numPr>
          <w:ilvl w:val="255"/>
          <w:numId w:val="0"/>
        </w:num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2.0.11</w:t>
      </w:r>
      <w:r>
        <w:rPr>
          <w:rFonts w:hint="eastAsia" w:hAnsi="宋体"/>
          <w:color w:val="000000" w:themeColor="text1"/>
          <w:szCs w:val="21"/>
          <w14:textFill>
            <w14:solidFill>
              <w14:schemeClr w14:val="tx1"/>
            </w14:solidFill>
          </w14:textFill>
        </w:rPr>
        <w:t xml:space="preserve"> 台阶法 step method</w:t>
      </w:r>
    </w:p>
    <w:p>
      <w:pPr>
        <w:pStyle w:val="22"/>
        <w:numPr>
          <w:ilvl w:val="255"/>
          <w:numId w:val="0"/>
        </w:numPr>
        <w:tabs>
          <w:tab w:val="left" w:pos="851"/>
          <w:tab w:val="left" w:pos="5835"/>
        </w:tabs>
        <w:snapToGrid w:val="0"/>
        <w:spacing w:line="360" w:lineRule="auto"/>
        <w:ind w:firstLine="420" w:firstLineChars="20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将断面分成上、下两部分或多个部分，按照一定的顺序开挖的隧道施工方法。</w:t>
      </w:r>
    </w:p>
    <w:p>
      <w:pPr>
        <w:pStyle w:val="22"/>
        <w:numPr>
          <w:ilvl w:val="255"/>
          <w:numId w:val="0"/>
        </w:num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2.0.12</w:t>
      </w:r>
      <w:r>
        <w:rPr>
          <w:rFonts w:hint="eastAsia" w:hAnsi="宋体"/>
          <w:color w:val="000000" w:themeColor="text1"/>
          <w:szCs w:val="21"/>
          <w14:textFill>
            <w14:solidFill>
              <w14:schemeClr w14:val="tx1"/>
            </w14:solidFill>
          </w14:textFill>
        </w:rPr>
        <w:t xml:space="preserve"> 双侧壁导坑法 Both side drift method</w:t>
      </w:r>
    </w:p>
    <w:p>
      <w:pPr>
        <w:pStyle w:val="22"/>
        <w:numPr>
          <w:ilvl w:val="255"/>
          <w:numId w:val="0"/>
        </w:numPr>
        <w:tabs>
          <w:tab w:val="left" w:pos="851"/>
          <w:tab w:val="left" w:pos="5835"/>
        </w:tabs>
        <w:snapToGrid w:val="0"/>
        <w:spacing w:line="360" w:lineRule="auto"/>
        <w:ind w:firstLine="420" w:firstLineChars="20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先开挖两侧导洞，施作初期支护，后开挖中间部分的隧道施工方法。</w:t>
      </w:r>
    </w:p>
    <w:p>
      <w:pPr>
        <w:pStyle w:val="22"/>
        <w:numPr>
          <w:ilvl w:val="255"/>
          <w:numId w:val="0"/>
        </w:num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2.0.13</w:t>
      </w:r>
      <w:r>
        <w:rPr>
          <w:rFonts w:hint="eastAsia" w:hAnsi="宋体"/>
          <w:color w:val="000000" w:themeColor="text1"/>
          <w:szCs w:val="21"/>
          <w14:textFill>
            <w14:solidFill>
              <w14:schemeClr w14:val="tx1"/>
            </w14:solidFill>
          </w14:textFill>
        </w:rPr>
        <w:t xml:space="preserve"> 中洞法 center drift method</w:t>
      </w:r>
    </w:p>
    <w:p>
      <w:pPr>
        <w:pStyle w:val="22"/>
        <w:numPr>
          <w:ilvl w:val="255"/>
          <w:numId w:val="0"/>
        </w:numPr>
        <w:tabs>
          <w:tab w:val="left" w:pos="851"/>
          <w:tab w:val="left" w:pos="5835"/>
        </w:tabs>
        <w:snapToGrid w:val="0"/>
        <w:spacing w:line="360" w:lineRule="auto"/>
        <w:ind w:firstLine="420" w:firstLineChars="20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先开挖中间导洞，施作初期支护，浇筑中洞内立柱结构，后进行中间导洞开挖、二衬结构施工的隧道施工方法。</w:t>
      </w:r>
    </w:p>
    <w:p>
      <w:pPr>
        <w:pStyle w:val="22"/>
        <w:numPr>
          <w:ilvl w:val="255"/>
          <w:numId w:val="0"/>
        </w:num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2.0.14 </w:t>
      </w:r>
      <w:r>
        <w:rPr>
          <w:rFonts w:hint="eastAsia" w:hAnsi="宋体"/>
          <w:color w:val="000000" w:themeColor="text1"/>
          <w:szCs w:val="21"/>
          <w14:textFill>
            <w14:solidFill>
              <w14:schemeClr w14:val="tx1"/>
            </w14:solidFill>
          </w14:textFill>
        </w:rPr>
        <w:t>侧洞法 side drift method</w:t>
      </w:r>
    </w:p>
    <w:p>
      <w:pPr>
        <w:pStyle w:val="22"/>
        <w:numPr>
          <w:ilvl w:val="255"/>
          <w:numId w:val="0"/>
        </w:numPr>
        <w:tabs>
          <w:tab w:val="left" w:pos="851"/>
          <w:tab w:val="left" w:pos="5835"/>
        </w:tabs>
        <w:snapToGrid w:val="0"/>
        <w:spacing w:line="360" w:lineRule="auto"/>
        <w:ind w:firstLine="420" w:firstLineChars="20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先开挖两侧导洞，浇筑测导洞内立柱和边跨二衬结构，后进行中间导洞开挖、二衬结构浇筑的隧道施工方法。</w:t>
      </w:r>
    </w:p>
    <w:p>
      <w:pPr>
        <w:pStyle w:val="22"/>
        <w:numPr>
          <w:ilvl w:val="255"/>
          <w:numId w:val="0"/>
        </w:num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2.0.15</w:t>
      </w:r>
      <w:r>
        <w:rPr>
          <w:rFonts w:hint="eastAsia" w:hAnsi="宋体"/>
          <w:color w:val="000000" w:themeColor="text1"/>
          <w:szCs w:val="21"/>
          <w14:textFill>
            <w14:solidFill>
              <w14:schemeClr w14:val="tx1"/>
            </w14:solidFill>
          </w14:textFill>
        </w:rPr>
        <w:t xml:space="preserve"> 中隔壁法（CD法）  center diaphragm method</w:t>
      </w:r>
    </w:p>
    <w:p>
      <w:pPr>
        <w:pStyle w:val="22"/>
        <w:numPr>
          <w:ilvl w:val="255"/>
          <w:numId w:val="0"/>
        </w:numPr>
        <w:tabs>
          <w:tab w:val="left" w:pos="851"/>
          <w:tab w:val="left" w:pos="5835"/>
        </w:tabs>
        <w:snapToGrid w:val="0"/>
        <w:spacing w:line="360" w:lineRule="auto"/>
        <w:ind w:firstLine="420" w:firstLineChars="20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先开挖隧道一侧导洞，并施作临时中隔壁，后开挖隧道另一侧导洞的隧道施工方法。</w:t>
      </w:r>
    </w:p>
    <w:p>
      <w:pPr>
        <w:pStyle w:val="22"/>
        <w:numPr>
          <w:ilvl w:val="255"/>
          <w:numId w:val="0"/>
        </w:num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2.0</w:t>
      </w:r>
      <w:r>
        <w:rPr>
          <w:rFonts w:hint="eastAsia" w:hAnsi="宋体"/>
          <w:b/>
          <w:color w:val="000000" w:themeColor="text1"/>
          <w:szCs w:val="21"/>
          <w14:textFill>
            <w14:solidFill>
              <w14:schemeClr w14:val="tx1"/>
            </w14:solidFill>
          </w14:textFill>
        </w:rPr>
        <w:t>.</w:t>
      </w:r>
      <w:r>
        <w:rPr>
          <w:rFonts w:hAnsi="宋体"/>
          <w:b/>
          <w:color w:val="000000" w:themeColor="text1"/>
          <w:szCs w:val="21"/>
          <w14:textFill>
            <w14:solidFill>
              <w14:schemeClr w14:val="tx1"/>
            </w14:solidFill>
          </w14:textFill>
        </w:rPr>
        <w:t xml:space="preserve">16 </w:t>
      </w:r>
      <w:r>
        <w:rPr>
          <w:rFonts w:hint="eastAsia" w:hAnsi="宋体"/>
          <w:color w:val="000000" w:themeColor="text1"/>
          <w:szCs w:val="21"/>
          <w14:textFill>
            <w14:solidFill>
              <w14:schemeClr w14:val="tx1"/>
            </w14:solidFill>
          </w14:textFill>
        </w:rPr>
        <w:t>交叉中隔壁法（CRD法） center cross diaphragm method</w:t>
      </w:r>
    </w:p>
    <w:p>
      <w:pPr>
        <w:pStyle w:val="22"/>
        <w:numPr>
          <w:ilvl w:val="255"/>
          <w:numId w:val="0"/>
        </w:numPr>
        <w:tabs>
          <w:tab w:val="left" w:pos="851"/>
          <w:tab w:val="left" w:pos="5835"/>
        </w:tabs>
        <w:snapToGrid w:val="0"/>
        <w:spacing w:line="360" w:lineRule="auto"/>
        <w:ind w:firstLine="420" w:firstLineChars="20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先开挖隧道一侧部分导洞及另一侧部分导洞，施作部分临时中隔壁及临时仰拱，后施作隧道剩余两侧导洞，延长中隔壁和临时仰拱的隧道施工方法。</w:t>
      </w:r>
    </w:p>
    <w:p>
      <w:pPr>
        <w:pStyle w:val="22"/>
        <w:numPr>
          <w:ilvl w:val="255"/>
          <w:numId w:val="0"/>
        </w:num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2.0.17</w:t>
      </w:r>
      <w:r>
        <w:rPr>
          <w:rFonts w:hint="eastAsia" w:hAnsi="宋体"/>
          <w:color w:val="000000" w:themeColor="text1"/>
          <w:szCs w:val="21"/>
          <w14:textFill>
            <w14:solidFill>
              <w14:schemeClr w14:val="tx1"/>
            </w14:solidFill>
          </w14:textFill>
        </w:rPr>
        <w:t xml:space="preserve"> 洞桩法（PBA法） pile—beam—arch method</w:t>
      </w:r>
    </w:p>
    <w:p>
      <w:pPr>
        <w:pStyle w:val="22"/>
        <w:numPr>
          <w:ilvl w:val="255"/>
          <w:numId w:val="0"/>
        </w:numPr>
        <w:tabs>
          <w:tab w:val="left" w:pos="851"/>
          <w:tab w:val="left" w:pos="5835"/>
        </w:tabs>
        <w:snapToGrid w:val="0"/>
        <w:spacing w:line="360" w:lineRule="auto"/>
        <w:ind w:firstLine="420" w:firstLineChars="20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先开挖车站梁、柱、梁墙节点部位的导洞，在导洞内施作边桩、中柱和顶纵梁，形成主要承载结构，再暗挖施作顶纵梁之间的顶拱，形成完整的顶拱支撑体系下进行土方开挖、衬砌和钢筋混凝土结构的车站施工方法。</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2.0.1</w:t>
      </w:r>
      <w:r>
        <w:rPr>
          <w:rFonts w:hint="eastAsia" w:hAnsi="宋体"/>
          <w:b/>
          <w:color w:val="000000" w:themeColor="text1"/>
          <w:szCs w:val="21"/>
          <w14:textFill>
            <w14:solidFill>
              <w14:schemeClr w14:val="tx1"/>
            </w14:solidFill>
          </w14:textFill>
        </w:rPr>
        <w:t>8</w:t>
      </w:r>
      <w:r>
        <w:rPr>
          <w:rFonts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监控量测 monitoring measurement</w:t>
      </w:r>
    </w:p>
    <w:p>
      <w:pPr>
        <w:pStyle w:val="22"/>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在隧道施工和运营阶段，通过使用量测仪器和工具，对围岩变化情况及支护结构的工作状态进行监测，及时提供围岩稳定程度和支护结构可靠性信息的工作。</w:t>
      </w:r>
      <w:r>
        <w:rPr>
          <w:rFonts w:hint="eastAsia" w:hAnsi="宋体"/>
          <w:color w:val="000000" w:themeColor="text1"/>
          <w:szCs w:val="21"/>
          <w14:textFill>
            <w14:solidFill>
              <w14:schemeClr w14:val="tx1"/>
            </w14:solidFill>
          </w14:textFill>
        </w:rPr>
        <w:t xml:space="preserve"> </w:t>
      </w:r>
    </w:p>
    <w:p>
      <w:pPr>
        <w:widowControl/>
        <w:spacing w:line="360" w:lineRule="auto"/>
        <w:ind w:firstLine="480" w:firstLineChars="200"/>
        <w:jc w:val="left"/>
        <w:rPr>
          <w:rFonts w:ascii="宋体" w:hAnsi="宋体" w:cs="宋体"/>
          <w:color w:val="000000" w:themeColor="text1"/>
          <w:kern w:val="0"/>
          <w:sz w:val="24"/>
          <w:lang w:bidi="ar"/>
          <w14:textFill>
            <w14:solidFill>
              <w14:schemeClr w14:val="tx1"/>
            </w14:solidFill>
          </w14:textFill>
        </w:rPr>
      </w:pPr>
    </w:p>
    <w:p>
      <w:pPr>
        <w:widowControl/>
        <w:spacing w:line="360" w:lineRule="auto"/>
        <w:ind w:firstLine="480" w:firstLineChars="200"/>
        <w:jc w:val="left"/>
        <w:rPr>
          <w:rFonts w:ascii="宋体" w:hAnsi="宋体" w:cs="宋体"/>
          <w:color w:val="000000" w:themeColor="text1"/>
          <w:kern w:val="0"/>
          <w:sz w:val="24"/>
          <w:lang w:bidi="ar"/>
          <w14:textFill>
            <w14:solidFill>
              <w14:schemeClr w14:val="tx1"/>
            </w14:solidFill>
          </w14:textFill>
        </w:rPr>
      </w:pPr>
    </w:p>
    <w:p>
      <w:pPr>
        <w:widowControl/>
        <w:jc w:val="left"/>
        <w:rPr>
          <w:color w:val="000000" w:themeColor="text1"/>
          <w14:textFill>
            <w14:solidFill>
              <w14:schemeClr w14:val="tx1"/>
            </w14:solidFill>
          </w14:textFill>
        </w:rPr>
      </w:pPr>
    </w:p>
    <w:p>
      <w:pPr>
        <w:pageBreakBefore/>
        <w:numPr>
          <w:ilvl w:val="0"/>
          <w:numId w:val="2"/>
        </w:numPr>
        <w:tabs>
          <w:tab w:val="left" w:pos="360"/>
          <w:tab w:val="clear" w:pos="5835"/>
        </w:tabs>
        <w:adjustRightInd w:val="0"/>
        <w:snapToGrid w:val="0"/>
        <w:spacing w:before="312" w:beforeLines="100" w:after="312" w:afterLines="100" w:line="360" w:lineRule="auto"/>
        <w:ind w:left="4825" w:hanging="4825"/>
        <w:jc w:val="center"/>
        <w:outlineLvl w:val="0"/>
        <w:rPr>
          <w:bCs/>
          <w:color w:val="000000" w:themeColor="text1"/>
          <w:sz w:val="28"/>
          <w:szCs w:val="28"/>
          <w14:textFill>
            <w14:solidFill>
              <w14:schemeClr w14:val="tx1"/>
            </w14:solidFill>
          </w14:textFill>
        </w:rPr>
      </w:pPr>
      <w:bookmarkStart w:id="30" w:name="_Toc2892"/>
      <w:bookmarkStart w:id="31" w:name="_Toc5906"/>
      <w:bookmarkStart w:id="32" w:name="_Toc4608"/>
      <w:bookmarkStart w:id="33" w:name="_Toc1082"/>
      <w:bookmarkStart w:id="34" w:name="_Toc12616"/>
      <w:bookmarkStart w:id="35" w:name="_Toc5851"/>
      <w:r>
        <w:rPr>
          <w:rFonts w:hint="eastAsia"/>
          <w:b/>
          <w:color w:val="000000" w:themeColor="text1"/>
          <w:sz w:val="28"/>
          <w:szCs w:val="28"/>
          <w14:textFill>
            <w14:solidFill>
              <w14:schemeClr w14:val="tx1"/>
            </w14:solidFill>
          </w14:textFill>
        </w:rPr>
        <w:t>基本规定</w:t>
      </w:r>
      <w:bookmarkEnd w:id="30"/>
      <w:bookmarkEnd w:id="31"/>
      <w:bookmarkEnd w:id="32"/>
      <w:bookmarkEnd w:id="33"/>
      <w:bookmarkEnd w:id="34"/>
      <w:bookmarkEnd w:id="35"/>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3.0.1 </w:t>
      </w:r>
      <w:r>
        <w:rPr>
          <w:rFonts w:hint="eastAsia" w:hAnsi="宋体"/>
          <w:color w:val="000000" w:themeColor="text1"/>
          <w:szCs w:val="21"/>
          <w14:textFill>
            <w14:solidFill>
              <w14:schemeClr w14:val="tx1"/>
            </w14:solidFill>
          </w14:textFill>
        </w:rPr>
        <w:t>工程开工前，施工单位应编制施工组织设计和专项施工方案，按规定审批后施工。</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3.0.2 </w:t>
      </w:r>
      <w:r>
        <w:rPr>
          <w:rFonts w:hint="eastAsia" w:hAnsi="宋体"/>
          <w:color w:val="000000" w:themeColor="text1"/>
          <w:szCs w:val="21"/>
          <w14:textFill>
            <w14:solidFill>
              <w14:schemeClr w14:val="tx1"/>
            </w14:solidFill>
          </w14:textFill>
        </w:rPr>
        <w:t>工程应按批准的设计文件组织施工，当工程地质、水文条件或周边环境发生较大变化时，应由原设计单位进行变更设计。</w:t>
      </w:r>
    </w:p>
    <w:p>
      <w:pPr>
        <w:pStyle w:val="22"/>
        <w:numPr>
          <w:ilvl w:val="255"/>
          <w:numId w:val="0"/>
        </w:num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3.0.3</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对施工影响范围内的管线、建（构）筑物等应采取保护措施，保证施工和周边环境安全。风险</w:t>
      </w:r>
      <w:r>
        <w:rPr>
          <w:rFonts w:hint="eastAsia"/>
        </w:rPr>
        <w:t>分级应</w:t>
      </w:r>
      <w:r>
        <w:rPr>
          <w:rFonts w:hint="eastAsia" w:hAnsi="宋体"/>
          <w:color w:val="000000" w:themeColor="text1"/>
          <w:szCs w:val="21"/>
          <w14:textFill>
            <w14:solidFill>
              <w14:schemeClr w14:val="tx1"/>
            </w14:solidFill>
          </w14:textFill>
        </w:rPr>
        <w:t>符合现行地方标准《城市轨道交通建设安全风险技术管理规范》DB11/T 1316的规定。</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3.0.4 </w:t>
      </w:r>
      <w:r>
        <w:rPr>
          <w:rFonts w:hint="eastAsia" w:hAnsi="宋体"/>
          <w:color w:val="000000" w:themeColor="text1"/>
          <w:szCs w:val="21"/>
          <w14:textFill>
            <w14:solidFill>
              <w14:schemeClr w14:val="tx1"/>
            </w14:solidFill>
          </w14:textFill>
        </w:rPr>
        <w:t>临近、穿越现况建（构）筑物浅、地下管线和交通设施的埋暗挖施工应符合现行北京市地方标准的相关规定。</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3.0.5 </w:t>
      </w:r>
      <w:r>
        <w:rPr>
          <w:rFonts w:hint="eastAsia" w:hAnsi="宋体"/>
          <w:color w:val="000000" w:themeColor="text1"/>
          <w:szCs w:val="21"/>
          <w14:textFill>
            <w14:solidFill>
              <w14:schemeClr w14:val="tx1"/>
            </w14:solidFill>
          </w14:textFill>
        </w:rPr>
        <w:t>工程所用原材料、半成品和成品的品种、规格、性能应符合现行国家标准的规定和设计要求；应有产品质量证明文件、性能检测报告等，并经验收合格。</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3.0.6 </w:t>
      </w:r>
      <w:r>
        <w:rPr>
          <w:rFonts w:hint="eastAsia" w:hAnsi="宋体"/>
          <w:color w:val="000000" w:themeColor="text1"/>
          <w:szCs w:val="21"/>
          <w14:textFill>
            <w14:solidFill>
              <w14:schemeClr w14:val="tx1"/>
            </w14:solidFill>
          </w14:textFill>
        </w:rPr>
        <w:t>限制杂散电流的装置安装应符合设计要求。</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3.0.7 </w:t>
      </w:r>
      <w:r>
        <w:rPr>
          <w:rFonts w:hint="eastAsia" w:hAnsi="宋体"/>
          <w:color w:val="000000" w:themeColor="text1"/>
          <w:szCs w:val="21"/>
          <w14:textFill>
            <w14:solidFill>
              <w14:schemeClr w14:val="tx1"/>
            </w14:solidFill>
          </w14:textFill>
        </w:rPr>
        <w:t>永久性测量标桩、施工控制桩等应采取保护措施。建筑结构、设备基础、预埋件安装等施工偏差应符合设计要求，防止侵入限界。</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3.0.8 </w:t>
      </w:r>
      <w:r>
        <w:rPr>
          <w:rFonts w:hint="eastAsia" w:hAnsi="宋体"/>
          <w:color w:val="000000" w:themeColor="text1"/>
          <w:szCs w:val="21"/>
          <w14:textFill>
            <w14:solidFill>
              <w14:schemeClr w14:val="tx1"/>
            </w14:solidFill>
          </w14:textFill>
        </w:rPr>
        <w:t>设备安装前对土建工程提供的条件进行检查，土建结构</w:t>
      </w:r>
      <w:r>
        <w:rPr>
          <w:color w:val="000000" w:themeColor="text1"/>
          <w:kern w:val="0"/>
          <w:szCs w:val="21"/>
          <w14:textFill>
            <w14:solidFill>
              <w14:schemeClr w14:val="tx1"/>
            </w14:solidFill>
          </w14:textFill>
        </w:rPr>
        <w:t>质量验收应</w:t>
      </w:r>
      <w:r>
        <w:rPr>
          <w:rFonts w:hint="eastAsia"/>
          <w:color w:val="000000" w:themeColor="text1"/>
          <w:kern w:val="0"/>
          <w:szCs w:val="21"/>
          <w14:textFill>
            <w14:solidFill>
              <w14:schemeClr w14:val="tx1"/>
            </w14:solidFill>
          </w14:textFill>
        </w:rPr>
        <w:t>符合</w:t>
      </w:r>
      <w:r>
        <w:rPr>
          <w:rFonts w:hint="eastAsia" w:hAnsi="宋体"/>
          <w:color w:val="000000" w:themeColor="text1"/>
          <w:szCs w:val="21"/>
          <w14:textFill>
            <w14:solidFill>
              <w14:schemeClr w14:val="tx1"/>
            </w14:solidFill>
          </w14:textFill>
        </w:rPr>
        <w:t xml:space="preserve">现行地方标准《城市轨道交通工程质量验收标准》 </w:t>
      </w:r>
      <w:r>
        <w:rPr>
          <w:rFonts w:hAnsi="宋体"/>
          <w:color w:val="000000" w:themeColor="text1"/>
          <w:szCs w:val="21"/>
          <w14:textFill>
            <w14:solidFill>
              <w14:schemeClr w14:val="tx1"/>
            </w14:solidFill>
          </w14:textFill>
        </w:rPr>
        <w:t>DB11/T 311.1</w:t>
      </w:r>
      <w:r>
        <w:rPr>
          <w:rFonts w:hint="eastAsia" w:hAnsi="宋体"/>
          <w:color w:val="000000" w:themeColor="text1"/>
          <w:szCs w:val="21"/>
          <w14:textFill>
            <w14:solidFill>
              <w14:schemeClr w14:val="tx1"/>
            </w14:solidFill>
          </w14:textFill>
        </w:rPr>
        <w:t>的规定</w:t>
      </w:r>
      <w:r>
        <w:rPr>
          <w:rFonts w:hint="eastAsia"/>
          <w:color w:val="000000" w:themeColor="text1"/>
          <w:kern w:val="0"/>
          <w:szCs w:val="21"/>
          <w14:textFill>
            <w14:solidFill>
              <w14:schemeClr w14:val="tx1"/>
            </w14:solidFill>
          </w14:textFill>
        </w:rPr>
        <w:t>，并</w:t>
      </w:r>
      <w:r>
        <w:rPr>
          <w:rFonts w:hint="eastAsia" w:hAnsi="宋体"/>
          <w:color w:val="000000" w:themeColor="text1"/>
          <w:szCs w:val="21"/>
          <w14:textFill>
            <w14:solidFill>
              <w14:schemeClr w14:val="tx1"/>
            </w14:solidFill>
          </w14:textFill>
        </w:rPr>
        <w:t>应符合下列规定：</w:t>
      </w:r>
    </w:p>
    <w:p>
      <w:pPr>
        <w:pStyle w:val="21"/>
        <w:snapToGrid w:val="0"/>
        <w:spacing w:line="360" w:lineRule="auto"/>
        <w:ind w:firstLine="359" w:firstLineChars="171"/>
        <w:jc w:val="both"/>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sz w:val="21"/>
          <w:szCs w:val="21"/>
          <w14:textFill>
            <w14:solidFill>
              <w14:schemeClr w14:val="tx1"/>
            </w14:solidFill>
          </w14:textFill>
        </w:rPr>
        <w:t>1 结构验收合格，无渗、漏水现象；</w:t>
      </w:r>
    </w:p>
    <w:p>
      <w:pPr>
        <w:pStyle w:val="21"/>
        <w:snapToGrid w:val="0"/>
        <w:spacing w:line="360" w:lineRule="auto"/>
        <w:ind w:firstLine="359" w:firstLineChars="171"/>
        <w:jc w:val="both"/>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sz w:val="21"/>
          <w:szCs w:val="21"/>
          <w14:textFill>
            <w14:solidFill>
              <w14:schemeClr w14:val="tx1"/>
            </w14:solidFill>
          </w14:textFill>
        </w:rPr>
        <w:t>2 影响设备安装和安装后不宜实施的装修工程已经完成；</w:t>
      </w:r>
    </w:p>
    <w:p>
      <w:pPr>
        <w:pStyle w:val="21"/>
        <w:snapToGrid w:val="0"/>
        <w:spacing w:line="360" w:lineRule="auto"/>
        <w:ind w:firstLine="359" w:firstLineChars="171"/>
        <w:jc w:val="both"/>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sz w:val="21"/>
          <w:szCs w:val="21"/>
          <w14:textFill>
            <w14:solidFill>
              <w14:schemeClr w14:val="tx1"/>
            </w14:solidFill>
          </w14:textFill>
        </w:rPr>
        <w:t>3 预埋件位置正确、牢固，基础混凝土强度符合设计要求；</w:t>
      </w:r>
    </w:p>
    <w:p>
      <w:pPr>
        <w:pStyle w:val="21"/>
        <w:snapToGrid w:val="0"/>
        <w:spacing w:line="360" w:lineRule="auto"/>
        <w:ind w:firstLine="359" w:firstLineChars="171"/>
        <w:jc w:val="both"/>
        <w:rPr>
          <w:rFonts w:ascii="Times New Roman" w:cs="Times New Roman"/>
          <w:color w:val="000000" w:themeColor="text1"/>
          <w:sz w:val="21"/>
          <w:szCs w:val="21"/>
          <w14:textFill>
            <w14:solidFill>
              <w14:schemeClr w14:val="tx1"/>
            </w14:solidFill>
          </w14:textFill>
        </w:rPr>
      </w:pPr>
      <w:r>
        <w:rPr>
          <w:rFonts w:hint="eastAsia" w:ascii="Times New Roman" w:cs="Times New Roman"/>
          <w:color w:val="000000" w:themeColor="text1"/>
          <w:sz w:val="21"/>
          <w:szCs w:val="21"/>
          <w14:textFill>
            <w14:solidFill>
              <w14:schemeClr w14:val="tx1"/>
            </w14:solidFill>
          </w14:textFill>
        </w:rPr>
        <w:t>4 设备安装范围内清理干净。</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3.0.9 </w:t>
      </w:r>
      <w:r>
        <w:rPr>
          <w:rFonts w:hint="eastAsia" w:hAnsi="宋体"/>
          <w:color w:val="000000" w:themeColor="text1"/>
          <w:szCs w:val="21"/>
          <w14:textFill>
            <w14:solidFill>
              <w14:schemeClr w14:val="tx1"/>
            </w14:solidFill>
          </w14:textFill>
        </w:rPr>
        <w:t>隧道施工作业面应设置视频监视系统、通讯系统及独立的监控室，对隧道作业面进行连续监控。</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3.0.10 </w:t>
      </w:r>
      <w:r>
        <w:rPr>
          <w:rFonts w:hint="eastAsia" w:hAnsi="宋体"/>
          <w:color w:val="000000" w:themeColor="text1"/>
          <w:szCs w:val="21"/>
          <w14:textFill>
            <w14:solidFill>
              <w14:schemeClr w14:val="tx1"/>
            </w14:solidFill>
          </w14:textFill>
        </w:rPr>
        <w:t>施工中采用新技术、新工艺、新材料、新设备，应经技术论证和试用合格后，方可应用，且不得影响施工安全和质量。</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3.0.11 </w:t>
      </w:r>
      <w:r>
        <w:rPr>
          <w:rFonts w:hint="eastAsia" w:hAnsi="宋体"/>
          <w:color w:val="000000" w:themeColor="text1"/>
          <w:szCs w:val="21"/>
          <w14:textFill>
            <w14:solidFill>
              <w14:schemeClr w14:val="tx1"/>
            </w14:solidFill>
          </w14:textFill>
        </w:rPr>
        <w:t>施工中有关安全、环保、绿色施工、消防、防汛和劳动保护等，应符合现行国家和北京市地方标准的规定。</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sectPr>
          <w:pgSz w:w="11906" w:h="16838"/>
          <w:pgMar w:top="1440" w:right="1800" w:bottom="1440" w:left="1800" w:header="851" w:footer="992" w:gutter="0"/>
          <w:cols w:space="425" w:num="1"/>
          <w:docGrid w:type="lines" w:linePitch="312" w:charSpace="0"/>
        </w:sectPr>
      </w:pPr>
    </w:p>
    <w:p>
      <w:pPr>
        <w:pageBreakBefore/>
        <w:numPr>
          <w:ilvl w:val="0"/>
          <w:numId w:val="2"/>
        </w:numPr>
        <w:tabs>
          <w:tab w:val="left" w:pos="360"/>
          <w:tab w:val="clear" w:pos="5835"/>
        </w:tabs>
        <w:adjustRightInd w:val="0"/>
        <w:snapToGrid w:val="0"/>
        <w:spacing w:before="312" w:beforeLines="100" w:after="312" w:afterLines="100" w:line="360" w:lineRule="auto"/>
        <w:ind w:left="4825" w:hanging="4825"/>
        <w:jc w:val="center"/>
        <w:outlineLvl w:val="0"/>
        <w:rPr>
          <w:b/>
          <w:color w:val="000000" w:themeColor="text1"/>
          <w:sz w:val="28"/>
          <w:szCs w:val="28"/>
          <w14:textFill>
            <w14:solidFill>
              <w14:schemeClr w14:val="tx1"/>
            </w14:solidFill>
          </w14:textFill>
        </w:rPr>
      </w:pPr>
      <w:bookmarkStart w:id="36" w:name="_Toc15903"/>
      <w:bookmarkStart w:id="37" w:name="_Toc5064"/>
      <w:bookmarkStart w:id="38" w:name="_Toc313897839"/>
      <w:bookmarkStart w:id="39" w:name="_Toc23002"/>
      <w:bookmarkStart w:id="40" w:name="_Toc10948"/>
      <w:bookmarkStart w:id="41" w:name="_Toc19874"/>
      <w:bookmarkStart w:id="42" w:name="_Toc19141"/>
      <w:r>
        <w:rPr>
          <w:rFonts w:hint="eastAsia"/>
          <w:b/>
          <w:color w:val="000000" w:themeColor="text1"/>
          <w:sz w:val="28"/>
          <w:szCs w:val="28"/>
          <w14:textFill>
            <w14:solidFill>
              <w14:schemeClr w14:val="tx1"/>
            </w14:solidFill>
          </w14:textFill>
        </w:rPr>
        <w:t>施工准备</w:t>
      </w:r>
      <w:bookmarkEnd w:id="36"/>
      <w:bookmarkEnd w:id="37"/>
      <w:bookmarkEnd w:id="38"/>
      <w:bookmarkEnd w:id="39"/>
      <w:bookmarkEnd w:id="40"/>
      <w:bookmarkEnd w:id="41"/>
      <w:bookmarkEnd w:id="42"/>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4.0.1</w:t>
      </w:r>
      <w:r>
        <w:rPr>
          <w:rFonts w:hint="eastAsia" w:hAnsi="宋体"/>
          <w:color w:val="000000" w:themeColor="text1"/>
          <w:szCs w:val="21"/>
          <w14:textFill>
            <w14:solidFill>
              <w14:schemeClr w14:val="tx1"/>
            </w14:solidFill>
          </w14:textFill>
        </w:rPr>
        <w:t xml:space="preserve"> 施工单位应组织有关技术管理人员对施工现场进行详尽、深入调查，掌握下列现场情况：</w:t>
      </w:r>
    </w:p>
    <w:p>
      <w:pPr>
        <w:pStyle w:val="21"/>
        <w:snapToGrid w:val="0"/>
        <w:spacing w:line="360" w:lineRule="auto"/>
        <w:ind w:firstLine="361" w:firstLineChars="171"/>
        <w:jc w:val="both"/>
        <w:rPr>
          <w:rFonts w:ascii="Times New Roman" w:cs="Times New Roman"/>
          <w:color w:val="000000" w:themeColor="text1"/>
          <w:sz w:val="21"/>
          <w:szCs w:val="21"/>
          <w14:textFill>
            <w14:solidFill>
              <w14:schemeClr w14:val="tx1"/>
            </w14:solidFill>
          </w14:textFill>
        </w:rPr>
      </w:pPr>
      <w:r>
        <w:rPr>
          <w:rFonts w:ascii="Times New Roman" w:hAnsi="宋体" w:cs="Times New Roman"/>
          <w:b/>
          <w:color w:val="000000" w:themeColor="text1"/>
          <w:kern w:val="2"/>
          <w:sz w:val="21"/>
          <w:szCs w:val="21"/>
          <w14:textFill>
            <w14:solidFill>
              <w14:schemeClr w14:val="tx1"/>
            </w14:solidFill>
          </w14:textFill>
        </w:rPr>
        <w:t>1</w:t>
      </w:r>
      <w:r>
        <w:rPr>
          <w:rFonts w:hint="eastAsia" w:ascii="Times New Roman" w:hAnsi="宋体" w:cs="Times New Roman"/>
          <w:b/>
          <w:color w:val="000000" w:themeColor="text1"/>
          <w:kern w:val="2"/>
          <w:sz w:val="21"/>
          <w:szCs w:val="21"/>
          <w14:textFill>
            <w14:solidFill>
              <w14:schemeClr w14:val="tx1"/>
            </w14:solidFill>
          </w14:textFill>
        </w:rPr>
        <w:t xml:space="preserve"> </w:t>
      </w:r>
      <w:r>
        <w:rPr>
          <w:rFonts w:hint="eastAsia" w:ascii="Times New Roman" w:hAnsi="宋体" w:cs="Times New Roman"/>
          <w:color w:val="000000" w:themeColor="text1"/>
          <w:sz w:val="21"/>
          <w:szCs w:val="21"/>
          <w14:textFill>
            <w14:solidFill>
              <w14:schemeClr w14:val="tx1"/>
            </w14:solidFill>
          </w14:textFill>
        </w:rPr>
        <w:t>现场地形、地貌、建（构）筑物、各种管线及障碍物情况；</w:t>
      </w:r>
      <w:r>
        <w:rPr>
          <w:rFonts w:ascii="Times New Roman" w:cs="Times New Roman"/>
          <w:color w:val="000000" w:themeColor="text1"/>
          <w:sz w:val="21"/>
          <w:szCs w:val="21"/>
          <w14:textFill>
            <w14:solidFill>
              <w14:schemeClr w14:val="tx1"/>
            </w14:solidFill>
          </w14:textFill>
        </w:rPr>
        <w:t xml:space="preserve"> </w:t>
      </w:r>
    </w:p>
    <w:p>
      <w:pPr>
        <w:pStyle w:val="21"/>
        <w:snapToGrid w:val="0"/>
        <w:spacing w:line="360" w:lineRule="auto"/>
        <w:ind w:firstLine="361" w:firstLineChars="171"/>
        <w:jc w:val="both"/>
        <w:rPr>
          <w:rFonts w:ascii="Times New Roman" w:cs="Times New Roman"/>
          <w:color w:val="000000" w:themeColor="text1"/>
          <w:sz w:val="21"/>
          <w:szCs w:val="21"/>
          <w14:textFill>
            <w14:solidFill>
              <w14:schemeClr w14:val="tx1"/>
            </w14:solidFill>
          </w14:textFill>
        </w:rPr>
      </w:pPr>
      <w:r>
        <w:rPr>
          <w:rFonts w:ascii="Times New Roman" w:hAnsi="宋体" w:cs="Times New Roman"/>
          <w:b/>
          <w:color w:val="000000" w:themeColor="text1"/>
          <w:kern w:val="2"/>
          <w:sz w:val="21"/>
          <w:szCs w:val="21"/>
          <w14:textFill>
            <w14:solidFill>
              <w14:schemeClr w14:val="tx1"/>
            </w14:solidFill>
          </w14:textFill>
        </w:rPr>
        <w:t>2</w:t>
      </w:r>
      <w:r>
        <w:rPr>
          <w:rFonts w:hint="eastAsia" w:ascii="Times New Roman" w:hAnsi="宋体" w:cs="Times New Roman"/>
          <w:b/>
          <w:color w:val="000000" w:themeColor="text1"/>
          <w:kern w:val="2"/>
          <w:sz w:val="21"/>
          <w:szCs w:val="21"/>
          <w14:textFill>
            <w14:solidFill>
              <w14:schemeClr w14:val="tx1"/>
            </w14:solidFill>
          </w14:textFill>
        </w:rPr>
        <w:t xml:space="preserve"> </w:t>
      </w:r>
      <w:r>
        <w:rPr>
          <w:rFonts w:hint="eastAsia" w:ascii="Times New Roman" w:hAnsi="宋体" w:cs="Times New Roman"/>
          <w:color w:val="000000" w:themeColor="text1"/>
          <w:sz w:val="21"/>
          <w:szCs w:val="21"/>
          <w14:textFill>
            <w14:solidFill>
              <w14:schemeClr w14:val="tx1"/>
            </w14:solidFill>
          </w14:textFill>
        </w:rPr>
        <w:t>工程地质和水文地质资料；</w:t>
      </w:r>
    </w:p>
    <w:p>
      <w:pPr>
        <w:pStyle w:val="21"/>
        <w:snapToGrid w:val="0"/>
        <w:spacing w:line="360" w:lineRule="auto"/>
        <w:ind w:firstLine="361" w:firstLineChars="171"/>
        <w:jc w:val="both"/>
        <w:rPr>
          <w:rFonts w:ascii="Times New Roman" w:cs="Times New Roman"/>
          <w:color w:val="000000" w:themeColor="text1"/>
          <w:sz w:val="21"/>
          <w:szCs w:val="21"/>
          <w14:textFill>
            <w14:solidFill>
              <w14:schemeClr w14:val="tx1"/>
            </w14:solidFill>
          </w14:textFill>
        </w:rPr>
      </w:pPr>
      <w:r>
        <w:rPr>
          <w:rFonts w:hint="eastAsia" w:ascii="Times New Roman" w:hAnsi="宋体" w:cs="Times New Roman"/>
          <w:b/>
          <w:color w:val="000000" w:themeColor="text1"/>
          <w:kern w:val="2"/>
          <w:sz w:val="21"/>
          <w:szCs w:val="21"/>
          <w14:textFill>
            <w14:solidFill>
              <w14:schemeClr w14:val="tx1"/>
            </w14:solidFill>
          </w14:textFill>
        </w:rPr>
        <w:t xml:space="preserve">3 </w:t>
      </w:r>
      <w:r>
        <w:rPr>
          <w:rFonts w:hint="eastAsia" w:ascii="Times New Roman" w:hAnsi="宋体" w:cs="Times New Roman"/>
          <w:color w:val="000000" w:themeColor="text1"/>
          <w:sz w:val="21"/>
          <w:szCs w:val="21"/>
          <w14:textFill>
            <w14:solidFill>
              <w14:schemeClr w14:val="tx1"/>
            </w14:solidFill>
          </w14:textFill>
        </w:rPr>
        <w:t>工程用地、交通运输、疏导及其环境条件；</w:t>
      </w:r>
      <w:r>
        <w:rPr>
          <w:rFonts w:ascii="Times New Roman" w:cs="Times New Roman"/>
          <w:color w:val="000000" w:themeColor="text1"/>
          <w:sz w:val="21"/>
          <w:szCs w:val="21"/>
          <w14:textFill>
            <w14:solidFill>
              <w14:schemeClr w14:val="tx1"/>
            </w14:solidFill>
          </w14:textFill>
        </w:rPr>
        <w:t xml:space="preserve"> </w:t>
      </w:r>
    </w:p>
    <w:p>
      <w:pPr>
        <w:pStyle w:val="21"/>
        <w:snapToGrid w:val="0"/>
        <w:spacing w:line="360" w:lineRule="auto"/>
        <w:ind w:firstLine="361" w:firstLineChars="171"/>
        <w:jc w:val="both"/>
        <w:rPr>
          <w:rFonts w:ascii="Times New Roman" w:hAnsi="宋体" w:cs="Times New Roman"/>
          <w:color w:val="000000" w:themeColor="text1"/>
          <w:sz w:val="21"/>
          <w:szCs w:val="21"/>
          <w14:textFill>
            <w14:solidFill>
              <w14:schemeClr w14:val="tx1"/>
            </w14:solidFill>
          </w14:textFill>
        </w:rPr>
      </w:pPr>
      <w:r>
        <w:rPr>
          <w:rFonts w:hint="eastAsia" w:ascii="Times New Roman" w:hAnsi="宋体" w:cs="Times New Roman"/>
          <w:b/>
          <w:color w:val="000000" w:themeColor="text1"/>
          <w:kern w:val="2"/>
          <w:sz w:val="21"/>
          <w:szCs w:val="21"/>
          <w14:textFill>
            <w14:solidFill>
              <w14:schemeClr w14:val="tx1"/>
            </w14:solidFill>
          </w14:textFill>
        </w:rPr>
        <w:t>4</w:t>
      </w:r>
      <w:r>
        <w:rPr>
          <w:rFonts w:hint="eastAsia" w:ascii="Times New Roman" w:cs="Times New Roman"/>
          <w:color w:val="000000" w:themeColor="text1"/>
          <w:sz w:val="21"/>
          <w:szCs w:val="21"/>
          <w14:textFill>
            <w14:solidFill>
              <w14:schemeClr w14:val="tx1"/>
            </w14:solidFill>
          </w14:textFill>
        </w:rPr>
        <w:t xml:space="preserve"> </w:t>
      </w:r>
      <w:r>
        <w:rPr>
          <w:rFonts w:hint="eastAsia" w:ascii="Times New Roman" w:hAnsi="宋体" w:cs="Times New Roman"/>
          <w:color w:val="000000" w:themeColor="text1"/>
          <w:sz w:val="21"/>
          <w:szCs w:val="21"/>
          <w14:textFill>
            <w14:solidFill>
              <w14:schemeClr w14:val="tx1"/>
            </w14:solidFill>
          </w14:textFill>
        </w:rPr>
        <w:t>施工供水、排水、通信、供电和其他动力条件；</w:t>
      </w:r>
    </w:p>
    <w:p>
      <w:pPr>
        <w:pStyle w:val="21"/>
        <w:snapToGrid w:val="0"/>
        <w:spacing w:line="360" w:lineRule="auto"/>
        <w:ind w:firstLine="361" w:firstLineChars="171"/>
        <w:jc w:val="both"/>
        <w:rPr>
          <w:rFonts w:ascii="Times New Roman" w:cs="Times New Roman"/>
          <w:color w:val="000000" w:themeColor="text1"/>
          <w:sz w:val="21"/>
          <w:szCs w:val="21"/>
          <w14:textFill>
            <w14:solidFill>
              <w14:schemeClr w14:val="tx1"/>
            </w14:solidFill>
          </w14:textFill>
        </w:rPr>
      </w:pPr>
      <w:r>
        <w:rPr>
          <w:rFonts w:hint="eastAsia" w:ascii="Times New Roman" w:hAnsi="宋体" w:cs="Times New Roman"/>
          <w:b/>
          <w:color w:val="000000" w:themeColor="text1"/>
          <w:kern w:val="2"/>
          <w:sz w:val="21"/>
          <w:szCs w:val="21"/>
          <w14:textFill>
            <w14:solidFill>
              <w14:schemeClr w14:val="tx1"/>
            </w14:solidFill>
          </w14:textFill>
        </w:rPr>
        <w:t xml:space="preserve">5 </w:t>
      </w:r>
      <w:r>
        <w:rPr>
          <w:rFonts w:hint="eastAsia" w:ascii="Times New Roman" w:cs="Times New Roman"/>
          <w:color w:val="000000" w:themeColor="text1"/>
          <w:sz w:val="21"/>
          <w:szCs w:val="21"/>
          <w14:textFill>
            <w14:solidFill>
              <w14:schemeClr w14:val="tx1"/>
            </w14:solidFill>
          </w14:textFill>
        </w:rPr>
        <w:t>工程材料、施工机械、主要设备和特殊物资情况；</w:t>
      </w:r>
    </w:p>
    <w:p>
      <w:pPr>
        <w:pStyle w:val="21"/>
        <w:snapToGrid w:val="0"/>
        <w:spacing w:line="360" w:lineRule="auto"/>
        <w:ind w:firstLine="361" w:firstLineChars="171"/>
        <w:jc w:val="both"/>
        <w:rPr>
          <w:rFonts w:ascii="Times New Roman" w:cs="Times New Roman"/>
          <w:color w:val="000000" w:themeColor="text1"/>
          <w:sz w:val="21"/>
          <w:szCs w:val="21"/>
          <w14:textFill>
            <w14:solidFill>
              <w14:schemeClr w14:val="tx1"/>
            </w14:solidFill>
          </w14:textFill>
        </w:rPr>
      </w:pPr>
      <w:r>
        <w:rPr>
          <w:rFonts w:hint="eastAsia" w:ascii="Times New Roman" w:hAnsi="宋体" w:cs="Times New Roman"/>
          <w:b/>
          <w:color w:val="000000" w:themeColor="text1"/>
          <w:kern w:val="2"/>
          <w:sz w:val="21"/>
          <w:szCs w:val="21"/>
          <w14:textFill>
            <w14:solidFill>
              <w14:schemeClr w14:val="tx1"/>
            </w14:solidFill>
          </w14:textFill>
        </w:rPr>
        <w:t xml:space="preserve">6 </w:t>
      </w:r>
      <w:r>
        <w:rPr>
          <w:rFonts w:hint="eastAsia" w:ascii="Times New Roman" w:cs="Times New Roman"/>
          <w:color w:val="000000" w:themeColor="text1"/>
          <w:sz w:val="21"/>
          <w:szCs w:val="21"/>
          <w14:textFill>
            <w14:solidFill>
              <w14:schemeClr w14:val="tx1"/>
            </w14:solidFill>
          </w14:textFill>
        </w:rPr>
        <w:t>与施工有关的其他情况和资料。</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4.0.2</w:t>
      </w:r>
      <w:r>
        <w:rPr>
          <w:rFonts w:hint="eastAsia" w:hAnsi="宋体"/>
          <w:color w:val="000000" w:themeColor="text1"/>
          <w:szCs w:val="21"/>
          <w14:textFill>
            <w14:solidFill>
              <w14:schemeClr w14:val="tx1"/>
            </w14:solidFill>
          </w14:textFill>
        </w:rPr>
        <w:t xml:space="preserve"> 施工前应做好下列技术准备： </w:t>
      </w:r>
    </w:p>
    <w:p>
      <w:pPr>
        <w:pStyle w:val="21"/>
        <w:snapToGrid w:val="0"/>
        <w:spacing w:line="360" w:lineRule="auto"/>
        <w:ind w:firstLine="361" w:firstLineChars="171"/>
        <w:jc w:val="both"/>
        <w:rPr>
          <w:rFonts w:ascii="Times New Roman" w:cs="Times New Roman"/>
          <w:color w:val="000000" w:themeColor="text1"/>
          <w:sz w:val="21"/>
          <w:szCs w:val="21"/>
          <w14:textFill>
            <w14:solidFill>
              <w14:schemeClr w14:val="tx1"/>
            </w14:solidFill>
          </w14:textFill>
        </w:rPr>
      </w:pPr>
      <w:r>
        <w:rPr>
          <w:rFonts w:hint="eastAsia" w:ascii="Times New Roman" w:hAnsi="宋体" w:cs="Times New Roman"/>
          <w:b/>
          <w:color w:val="000000" w:themeColor="text1"/>
          <w:kern w:val="2"/>
          <w:sz w:val="21"/>
          <w:szCs w:val="21"/>
          <w14:textFill>
            <w14:solidFill>
              <w14:schemeClr w14:val="tx1"/>
            </w14:solidFill>
          </w14:textFill>
        </w:rPr>
        <w:t xml:space="preserve">1 </w:t>
      </w:r>
      <w:r>
        <w:rPr>
          <w:rFonts w:hint="eastAsia" w:ascii="Times New Roman" w:cs="Times New Roman"/>
          <w:color w:val="000000" w:themeColor="text1"/>
          <w:sz w:val="21"/>
          <w:szCs w:val="21"/>
          <w14:textFill>
            <w14:solidFill>
              <w14:schemeClr w14:val="tx1"/>
            </w14:solidFill>
          </w14:textFill>
        </w:rPr>
        <w:t>进场后，应组织工程技术人员学习勘察、设计文件，领会设计意图，参加图纸会审，并做好记录；</w:t>
      </w:r>
    </w:p>
    <w:p>
      <w:pPr>
        <w:pStyle w:val="21"/>
        <w:snapToGrid w:val="0"/>
        <w:spacing w:line="360" w:lineRule="auto"/>
        <w:ind w:firstLine="361" w:firstLineChars="171"/>
        <w:jc w:val="both"/>
        <w:rPr>
          <w:rFonts w:hAnsi="宋体"/>
          <w:color w:val="000000" w:themeColor="text1"/>
          <w:szCs w:val="21"/>
          <w14:textFill>
            <w14:solidFill>
              <w14:schemeClr w14:val="tx1"/>
            </w14:solidFill>
          </w14:textFill>
        </w:rPr>
      </w:pPr>
      <w:r>
        <w:rPr>
          <w:rFonts w:hint="eastAsia" w:ascii="Times New Roman" w:hAnsi="宋体" w:cs="Times New Roman"/>
          <w:b/>
          <w:color w:val="000000" w:themeColor="text1"/>
          <w:kern w:val="2"/>
          <w:sz w:val="21"/>
          <w:szCs w:val="21"/>
          <w14:textFill>
            <w14:solidFill>
              <w14:schemeClr w14:val="tx1"/>
            </w14:solidFill>
          </w14:textFill>
        </w:rPr>
        <w:t xml:space="preserve">2 </w:t>
      </w:r>
      <w:r>
        <w:rPr>
          <w:rFonts w:hint="eastAsia" w:ascii="Times New Roman" w:hAnsi="宋体" w:cs="Times New Roman"/>
          <w:color w:val="000000" w:themeColor="text1"/>
          <w:sz w:val="21"/>
          <w:szCs w:val="21"/>
          <w14:textFill>
            <w14:solidFill>
              <w14:schemeClr w14:val="tx1"/>
            </w14:solidFill>
          </w14:textFill>
        </w:rPr>
        <w:t>对工程测量的控制桩点进行复测，并应形成记录。原测桩有遗失或变位时，应及时进行补桩校正；</w:t>
      </w:r>
    </w:p>
    <w:p>
      <w:pPr>
        <w:pStyle w:val="21"/>
        <w:snapToGrid w:val="0"/>
        <w:spacing w:line="360" w:lineRule="auto"/>
        <w:ind w:firstLine="361" w:firstLineChars="171"/>
        <w:jc w:val="both"/>
        <w:rPr>
          <w:rFonts w:ascii="Times New Roman" w:hAnsi="宋体" w:cs="Times New Roman"/>
          <w:color w:val="000000" w:themeColor="text1"/>
          <w:sz w:val="21"/>
          <w:szCs w:val="21"/>
          <w14:textFill>
            <w14:solidFill>
              <w14:schemeClr w14:val="tx1"/>
            </w14:solidFill>
          </w14:textFill>
        </w:rPr>
      </w:pPr>
      <w:r>
        <w:rPr>
          <w:rFonts w:hint="eastAsia" w:ascii="Times New Roman" w:hAnsi="宋体" w:cs="Times New Roman"/>
          <w:b/>
          <w:color w:val="000000" w:themeColor="text1"/>
          <w:kern w:val="2"/>
          <w:sz w:val="21"/>
          <w:szCs w:val="21"/>
          <w14:textFill>
            <w14:solidFill>
              <w14:schemeClr w14:val="tx1"/>
            </w14:solidFill>
          </w14:textFill>
        </w:rPr>
        <w:t xml:space="preserve">3 </w:t>
      </w:r>
      <w:r>
        <w:rPr>
          <w:rFonts w:hint="eastAsia" w:ascii="Times New Roman" w:hAnsi="宋体" w:cs="Times New Roman"/>
          <w:color w:val="000000" w:themeColor="text1"/>
          <w:sz w:val="21"/>
          <w:szCs w:val="21"/>
          <w14:textFill>
            <w14:solidFill>
              <w14:schemeClr w14:val="tx1"/>
            </w14:solidFill>
          </w14:textFill>
        </w:rPr>
        <w:t>结合工程实际情况，根据施工合同和相关技术标准、规范、规定，编制施工组织设计及专项施工方案；</w:t>
      </w:r>
    </w:p>
    <w:p>
      <w:pPr>
        <w:pStyle w:val="21"/>
        <w:snapToGrid w:val="0"/>
        <w:spacing w:line="360" w:lineRule="auto"/>
        <w:ind w:firstLine="361" w:firstLineChars="171"/>
        <w:jc w:val="both"/>
        <w:rPr>
          <w:rFonts w:ascii="Times New Roman" w:hAnsi="宋体" w:cs="Times New Roman"/>
          <w:color w:val="000000" w:themeColor="text1"/>
          <w:sz w:val="21"/>
          <w:szCs w:val="21"/>
          <w14:textFill>
            <w14:solidFill>
              <w14:schemeClr w14:val="tx1"/>
            </w14:solidFill>
          </w14:textFill>
        </w:rPr>
      </w:pPr>
      <w:r>
        <w:rPr>
          <w:rFonts w:hint="eastAsia" w:ascii="Times New Roman" w:hAnsi="宋体" w:cs="Times New Roman"/>
          <w:b/>
          <w:color w:val="000000" w:themeColor="text1"/>
          <w:kern w:val="2"/>
          <w:sz w:val="21"/>
          <w:szCs w:val="21"/>
          <w14:textFill>
            <w14:solidFill>
              <w14:schemeClr w14:val="tx1"/>
            </w14:solidFill>
          </w14:textFill>
        </w:rPr>
        <w:t xml:space="preserve">4 </w:t>
      </w:r>
      <w:r>
        <w:rPr>
          <w:rFonts w:hint="eastAsia" w:ascii="Times New Roman" w:hAnsi="宋体" w:cs="Times New Roman"/>
          <w:color w:val="000000" w:themeColor="text1"/>
          <w:sz w:val="21"/>
          <w:szCs w:val="21"/>
          <w14:textFill>
            <w14:solidFill>
              <w14:schemeClr w14:val="tx1"/>
            </w14:solidFill>
          </w14:textFill>
        </w:rPr>
        <w:t>应根据施工组织设计确定的质量保证计划，确定工程质量控制的单位（子单位）、分部（子分部）、分项工程和检验批，制定试验计划，经批准后执行，并作为施工质量控制的基础；</w:t>
      </w:r>
    </w:p>
    <w:p>
      <w:pPr>
        <w:pStyle w:val="21"/>
        <w:snapToGrid w:val="0"/>
        <w:spacing w:line="360" w:lineRule="auto"/>
        <w:ind w:firstLine="361" w:firstLineChars="171"/>
        <w:jc w:val="both"/>
        <w:rPr>
          <w:rFonts w:ascii="Times New Roman" w:hAnsi="宋体" w:cs="Times New Roman"/>
          <w:color w:val="000000" w:themeColor="text1"/>
          <w:sz w:val="21"/>
          <w:szCs w:val="21"/>
          <w14:textFill>
            <w14:solidFill>
              <w14:schemeClr w14:val="tx1"/>
            </w14:solidFill>
          </w14:textFill>
        </w:rPr>
      </w:pPr>
      <w:r>
        <w:rPr>
          <w:rFonts w:hint="eastAsia" w:ascii="Times New Roman" w:hAnsi="宋体" w:cs="Times New Roman"/>
          <w:b/>
          <w:color w:val="000000" w:themeColor="text1"/>
          <w:kern w:val="2"/>
          <w:sz w:val="21"/>
          <w:szCs w:val="21"/>
          <w14:textFill>
            <w14:solidFill>
              <w14:schemeClr w14:val="tx1"/>
            </w14:solidFill>
          </w14:textFill>
        </w:rPr>
        <w:t xml:space="preserve">5 </w:t>
      </w:r>
      <w:r>
        <w:rPr>
          <w:rFonts w:hint="eastAsia" w:ascii="Times New Roman" w:hAnsi="宋体" w:cs="Times New Roman"/>
          <w:color w:val="000000" w:themeColor="text1"/>
          <w:sz w:val="21"/>
          <w:szCs w:val="21"/>
          <w14:textFill>
            <w14:solidFill>
              <w14:schemeClr w14:val="tx1"/>
            </w14:solidFill>
          </w14:textFill>
        </w:rPr>
        <w:t>项目经理部技术负责人在施工前应向施工人员就工程特点、设计要求、相关技术规范、规程要求及施工方案进行技术交底，并形成记录；</w:t>
      </w:r>
    </w:p>
    <w:p>
      <w:pPr>
        <w:pStyle w:val="21"/>
        <w:snapToGrid w:val="0"/>
        <w:spacing w:line="360" w:lineRule="auto"/>
        <w:ind w:firstLine="361" w:firstLineChars="171"/>
        <w:jc w:val="both"/>
        <w:rPr>
          <w:rFonts w:ascii="Times New Roman" w:hAnsi="宋体" w:cs="Times New Roman"/>
          <w:color w:val="000000" w:themeColor="text1"/>
          <w:sz w:val="21"/>
          <w:szCs w:val="21"/>
          <w14:textFill>
            <w14:solidFill>
              <w14:schemeClr w14:val="tx1"/>
            </w14:solidFill>
          </w14:textFill>
        </w:rPr>
      </w:pPr>
      <w:r>
        <w:rPr>
          <w:rFonts w:hint="eastAsia" w:ascii="Times New Roman" w:hAnsi="宋体" w:cs="Times New Roman"/>
          <w:b/>
          <w:color w:val="000000" w:themeColor="text1"/>
          <w:kern w:val="2"/>
          <w:sz w:val="21"/>
          <w:szCs w:val="21"/>
          <w14:textFill>
            <w14:solidFill>
              <w14:schemeClr w14:val="tx1"/>
            </w14:solidFill>
          </w14:textFill>
        </w:rPr>
        <w:t xml:space="preserve">6 </w:t>
      </w:r>
      <w:r>
        <w:rPr>
          <w:rFonts w:hint="eastAsia" w:ascii="Times New Roman" w:hAnsi="宋体" w:cs="Times New Roman"/>
          <w:color w:val="000000" w:themeColor="text1"/>
          <w:sz w:val="21"/>
          <w:szCs w:val="21"/>
          <w14:textFill>
            <w14:solidFill>
              <w14:schemeClr w14:val="tx1"/>
            </w14:solidFill>
          </w14:textFill>
        </w:rPr>
        <w:t>应结合工程特点对现场作业人员进行安全技术培训，特殊工种应持证上岗，并应保存培训记录。</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4.0.3 </w:t>
      </w:r>
      <w:r>
        <w:rPr>
          <w:rFonts w:hint="eastAsia" w:hAnsi="宋体"/>
          <w:color w:val="000000" w:themeColor="text1"/>
          <w:szCs w:val="21"/>
          <w14:textFill>
            <w14:solidFill>
              <w14:schemeClr w14:val="tx1"/>
            </w14:solidFill>
          </w14:textFill>
        </w:rPr>
        <w:t>按施工计划及材料供应计划要求，及时组织工程材料的供应工作，准备好材料贮存场地及现场仓库，及时组织施工机械设备进场。</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4.0.4</w:t>
      </w:r>
      <w:r>
        <w:rPr>
          <w:rFonts w:hint="eastAsia" w:hAnsi="宋体"/>
          <w:color w:val="000000" w:themeColor="text1"/>
          <w:szCs w:val="21"/>
          <w14:textFill>
            <w14:solidFill>
              <w14:schemeClr w14:val="tx1"/>
            </w14:solidFill>
          </w14:textFill>
        </w:rPr>
        <w:t xml:space="preserve"> 现场临时生产、生活设施应符合现行北京市地方标准的规定。施工场地平整，现场宜采用罩棚等封闭式临时设施。</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4.0.5 </w:t>
      </w:r>
      <w:r>
        <w:rPr>
          <w:rFonts w:hint="eastAsia" w:hAnsi="宋体"/>
          <w:color w:val="000000" w:themeColor="text1"/>
          <w:szCs w:val="21"/>
          <w14:textFill>
            <w14:solidFill>
              <w14:schemeClr w14:val="tx1"/>
            </w14:solidFill>
          </w14:textFill>
        </w:rPr>
        <w:t>施工现场应按规定配备抢险器材和设备。</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4.0.6 </w:t>
      </w:r>
      <w:r>
        <w:rPr>
          <w:rFonts w:hint="eastAsia" w:hAnsi="宋体"/>
          <w:color w:val="000000" w:themeColor="text1"/>
          <w:szCs w:val="21"/>
          <w14:textFill>
            <w14:solidFill>
              <w14:schemeClr w14:val="tx1"/>
            </w14:solidFill>
          </w14:textFill>
        </w:rPr>
        <w:t>施工机具应经检查验收合格方可使用，特种设备应经相关部门检测合格方可使用。</w:t>
      </w:r>
    </w:p>
    <w:p>
      <w:pPr>
        <w:pageBreakBefore/>
        <w:numPr>
          <w:ilvl w:val="0"/>
          <w:numId w:val="2"/>
        </w:numPr>
        <w:tabs>
          <w:tab w:val="left" w:pos="360"/>
          <w:tab w:val="clear" w:pos="5835"/>
        </w:tabs>
        <w:adjustRightInd w:val="0"/>
        <w:snapToGrid w:val="0"/>
        <w:spacing w:before="312" w:beforeLines="100" w:after="312" w:afterLines="100" w:line="360" w:lineRule="auto"/>
        <w:ind w:left="4825" w:hanging="4825"/>
        <w:jc w:val="center"/>
        <w:outlineLvl w:val="0"/>
        <w:rPr>
          <w:b/>
          <w:color w:val="000000" w:themeColor="text1"/>
          <w:sz w:val="28"/>
          <w:szCs w:val="28"/>
          <w14:textFill>
            <w14:solidFill>
              <w14:schemeClr w14:val="tx1"/>
            </w14:solidFill>
          </w14:textFill>
        </w:rPr>
      </w:pPr>
      <w:bookmarkStart w:id="43" w:name="_Toc12680"/>
      <w:bookmarkStart w:id="44" w:name="_Toc21179"/>
      <w:bookmarkStart w:id="45" w:name="_Toc313897877"/>
      <w:bookmarkStart w:id="46" w:name="_Toc1318"/>
      <w:bookmarkStart w:id="47" w:name="_Toc6241"/>
      <w:bookmarkStart w:id="48" w:name="_Toc2442"/>
      <w:bookmarkStart w:id="49" w:name="_Toc4957"/>
      <w:r>
        <w:rPr>
          <w:rFonts w:hint="eastAsia"/>
          <w:b/>
          <w:color w:val="000000" w:themeColor="text1"/>
          <w:sz w:val="28"/>
          <w:szCs w:val="28"/>
          <w14:textFill>
            <w14:solidFill>
              <w14:schemeClr w14:val="tx1"/>
            </w14:solidFill>
          </w14:textFill>
        </w:rPr>
        <w:t>施工测量</w:t>
      </w:r>
      <w:bookmarkEnd w:id="43"/>
      <w:bookmarkEnd w:id="44"/>
      <w:bookmarkEnd w:id="45"/>
      <w:bookmarkEnd w:id="46"/>
      <w:bookmarkEnd w:id="47"/>
      <w:bookmarkEnd w:id="48"/>
      <w:bookmarkEnd w:id="49"/>
    </w:p>
    <w:p>
      <w:pPr>
        <w:pStyle w:val="22"/>
        <w:numPr>
          <w:ilvl w:val="1"/>
          <w:numId w:val="2"/>
        </w:numPr>
        <w:tabs>
          <w:tab w:val="left" w:pos="5835"/>
        </w:tabs>
        <w:adjustRightInd w:val="0"/>
        <w:snapToGrid w:val="0"/>
        <w:spacing w:before="312" w:beforeLines="100" w:after="312" w:afterLines="100"/>
        <w:ind w:firstLineChars="0"/>
        <w:jc w:val="center"/>
        <w:outlineLvl w:val="1"/>
        <w:rPr>
          <w:rFonts w:hAnsi="宋体"/>
          <w:b/>
          <w:color w:val="000000" w:themeColor="text1"/>
          <w:sz w:val="24"/>
          <w14:textFill>
            <w14:solidFill>
              <w14:schemeClr w14:val="tx1"/>
            </w14:solidFill>
          </w14:textFill>
        </w:rPr>
      </w:pPr>
      <w:bookmarkStart w:id="50" w:name="_Toc1390"/>
      <w:bookmarkStart w:id="51" w:name="_Toc24260"/>
      <w:bookmarkStart w:id="52" w:name="_Toc28621"/>
      <w:bookmarkStart w:id="53" w:name="_Toc10163"/>
      <w:bookmarkStart w:id="54" w:name="_Toc30749"/>
      <w:bookmarkStart w:id="55" w:name="_Toc30504"/>
      <w:r>
        <w:rPr>
          <w:rFonts w:hint="eastAsia" w:hAnsi="宋体"/>
          <w:b/>
          <w:color w:val="000000" w:themeColor="text1"/>
          <w:sz w:val="24"/>
          <w14:textFill>
            <w14:solidFill>
              <w14:schemeClr w14:val="tx1"/>
            </w14:solidFill>
          </w14:textFill>
        </w:rPr>
        <w:t>一般规定</w:t>
      </w:r>
      <w:bookmarkEnd w:id="50"/>
      <w:bookmarkEnd w:id="51"/>
      <w:bookmarkEnd w:id="52"/>
      <w:bookmarkEnd w:id="53"/>
      <w:bookmarkEnd w:id="54"/>
      <w:bookmarkEnd w:id="55"/>
    </w:p>
    <w:p>
      <w:p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5.1.1 </w:t>
      </w:r>
      <w:r>
        <w:rPr>
          <w:rFonts w:hint="eastAsia" w:hAnsi="宋体"/>
          <w:color w:val="000000" w:themeColor="text1"/>
          <w:szCs w:val="21"/>
          <w14:textFill>
            <w14:solidFill>
              <w14:schemeClr w14:val="tx1"/>
            </w14:solidFill>
          </w14:textFill>
        </w:rPr>
        <w:t>施工测量应包括联系测量、地下控制测量，地下隧道、车站施工测量和通误差测量等</w:t>
      </w:r>
      <w:r>
        <w:rPr>
          <w:rFonts w:hAnsi="宋体"/>
          <w:color w:val="000000" w:themeColor="text1"/>
          <w:szCs w:val="21"/>
          <w14:textFill>
            <w14:solidFill>
              <w14:schemeClr w14:val="tx1"/>
            </w14:solidFill>
          </w14:textFill>
        </w:rPr>
        <w:t>。</w:t>
      </w:r>
    </w:p>
    <w:p>
      <w:p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5.1.2</w:t>
      </w:r>
      <w:r>
        <w:rPr>
          <w:rFonts w:hint="eastAsia" w:hAnsi="宋体"/>
          <w:color w:val="000000" w:themeColor="text1"/>
          <w:szCs w:val="21"/>
          <w14:textFill>
            <w14:solidFill>
              <w14:schemeClr w14:val="tx1"/>
            </w14:solidFill>
          </w14:textFill>
        </w:rPr>
        <w:t xml:space="preserve"> 施工测量前，应熟悉设计图纸，检核设计数据，并对已有的测量资料进行检核。</w:t>
      </w:r>
    </w:p>
    <w:p>
      <w:p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5.1.3</w:t>
      </w:r>
      <w:r>
        <w:rPr>
          <w:rFonts w:hint="eastAsia" w:hAnsi="宋体"/>
          <w:color w:val="000000" w:themeColor="text1"/>
          <w:szCs w:val="21"/>
          <w14:textFill>
            <w14:solidFill>
              <w14:schemeClr w14:val="tx1"/>
            </w14:solidFill>
          </w14:textFill>
        </w:rPr>
        <w:t xml:space="preserve"> 施工测量前，应对建设方移交的卫星定位控制点，精密导线点，一、二等高程控制点进行复测，并妥善保护测量控制点。</w:t>
      </w:r>
    </w:p>
    <w:p>
      <w:p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5.1.4 </w:t>
      </w:r>
      <w:r>
        <w:rPr>
          <w:rFonts w:hint="eastAsia" w:hAnsi="宋体"/>
          <w:color w:val="000000" w:themeColor="text1"/>
          <w:szCs w:val="21"/>
          <w14:textFill>
            <w14:solidFill>
              <w14:schemeClr w14:val="tx1"/>
            </w14:solidFill>
          </w14:textFill>
        </w:rPr>
        <w:t>暗挖隧道、车站掘进期间，应根据施工进度进行平面、高程联系测量，不应少于4次。</w:t>
      </w:r>
    </w:p>
    <w:p>
      <w:p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5.1.5 </w:t>
      </w:r>
      <w:r>
        <w:rPr>
          <w:rFonts w:hint="eastAsia" w:hAnsi="宋体"/>
          <w:color w:val="000000" w:themeColor="text1"/>
          <w:szCs w:val="21"/>
          <w14:textFill>
            <w14:solidFill>
              <w14:schemeClr w14:val="tx1"/>
            </w14:solidFill>
          </w14:textFill>
        </w:rPr>
        <w:t>应以联系测量成果为起算依据，进行地下控制测量和施工放样测量，测量前应对本次计划使用的已有测量成果进行检核。</w:t>
      </w:r>
    </w:p>
    <w:p>
      <w:p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5.1.6 </w:t>
      </w:r>
      <w:r>
        <w:rPr>
          <w:rFonts w:hint="eastAsia" w:hAnsi="宋体"/>
          <w:color w:val="000000" w:themeColor="text1"/>
          <w:szCs w:val="21"/>
          <w14:textFill>
            <w14:solidFill>
              <w14:schemeClr w14:val="tx1"/>
            </w14:solidFill>
          </w14:textFill>
        </w:rPr>
        <w:t>地下控制测量包括地下平面控制测量和高程控制测量，其技术要求应符合现行国家标准《城市轨道交通工程测量规范》GB/T 50308的规定。</w:t>
      </w:r>
    </w:p>
    <w:p>
      <w:p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5.1.7 </w:t>
      </w:r>
      <w:r>
        <w:rPr>
          <w:rFonts w:hint="eastAsia" w:hAnsi="宋体"/>
          <w:color w:val="000000" w:themeColor="text1"/>
          <w:szCs w:val="21"/>
          <w14:textFill>
            <w14:solidFill>
              <w14:schemeClr w14:val="tx1"/>
            </w14:solidFill>
          </w14:textFill>
        </w:rPr>
        <w:t>施工测量应以施工导线点作为平面放样依据，以施工高程控制点作为高程放样依据。</w:t>
      </w:r>
    </w:p>
    <w:p>
      <w:p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5.1.8 </w:t>
      </w:r>
      <w:r>
        <w:rPr>
          <w:rFonts w:hint="eastAsia" w:hAnsi="宋体"/>
          <w:color w:val="000000" w:themeColor="text1"/>
          <w:szCs w:val="21"/>
          <w14:textFill>
            <w14:solidFill>
              <w14:schemeClr w14:val="tx1"/>
            </w14:solidFill>
          </w14:textFill>
        </w:rPr>
        <w:t>施工掘进期间，应随时对线路中线或隧道中线、高程控制线和初支断面进行检核。</w:t>
      </w:r>
    </w:p>
    <w:p>
      <w:p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5.1.9 </w:t>
      </w:r>
      <w:r>
        <w:rPr>
          <w:rFonts w:hint="eastAsia" w:hAnsi="宋体"/>
          <w:color w:val="000000" w:themeColor="text1"/>
          <w:szCs w:val="21"/>
          <w14:textFill>
            <w14:solidFill>
              <w14:schemeClr w14:val="tx1"/>
            </w14:solidFill>
          </w14:textFill>
        </w:rPr>
        <w:t>隧道贯通前，应进行平面和高程贯通误差测量，车站和隧道的横向贯通误差应小于100mm；高程贯通误差应小于50mm。</w:t>
      </w:r>
    </w:p>
    <w:p>
      <w:pPr>
        <w:tabs>
          <w:tab w:val="left" w:pos="576"/>
          <w:tab w:val="left" w:pos="5835"/>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6" w:name="_Toc15544"/>
      <w:bookmarkStart w:id="57" w:name="_Toc243"/>
      <w:bookmarkStart w:id="58" w:name="_Toc22307"/>
      <w:bookmarkStart w:id="59" w:name="_Toc26526"/>
      <w:bookmarkStart w:id="60" w:name="_Toc537"/>
      <w:bookmarkStart w:id="61" w:name="_Toc21768"/>
      <w:r>
        <w:rPr>
          <w:rFonts w:hint="eastAsia" w:hAnsi="宋体"/>
          <w:b/>
          <w:color w:val="000000" w:themeColor="text1"/>
          <w:sz w:val="24"/>
          <w14:textFill>
            <w14:solidFill>
              <w14:schemeClr w14:val="tx1"/>
            </w14:solidFill>
          </w14:textFill>
        </w:rPr>
        <w:t>5.2  联系测量</w:t>
      </w:r>
      <w:bookmarkEnd w:id="56"/>
      <w:bookmarkEnd w:id="57"/>
      <w:bookmarkEnd w:id="58"/>
      <w:bookmarkEnd w:id="59"/>
      <w:bookmarkEnd w:id="60"/>
      <w:bookmarkEnd w:id="61"/>
    </w:p>
    <w:p>
      <w:p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5.2.1 </w:t>
      </w:r>
      <w:r>
        <w:rPr>
          <w:rFonts w:hint="eastAsia" w:hAnsi="宋体"/>
          <w:color w:val="000000" w:themeColor="text1"/>
          <w:szCs w:val="21"/>
          <w14:textFill>
            <w14:solidFill>
              <w14:schemeClr w14:val="tx1"/>
            </w14:solidFill>
          </w14:textFill>
        </w:rPr>
        <w:t>暗挖隧道应按施工阶段分别进行联系测量，各施工阶段联系测量应选择相同边和相同点进行成果比较，并取加权平均值作为隧道后续开挖测量的依据，并应符合下列规定：</w:t>
      </w:r>
    </w:p>
    <w:p>
      <w:pPr>
        <w:tabs>
          <w:tab w:val="left" w:pos="851"/>
          <w:tab w:val="left" w:pos="5835"/>
        </w:tabs>
        <w:snapToGrid w:val="0"/>
        <w:spacing w:line="360" w:lineRule="auto"/>
        <w:ind w:firstLine="422" w:firstLineChars="20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w:t>
      </w:r>
      <w:r>
        <w:rPr>
          <w:rFonts w:hint="eastAsia" w:hAnsi="宋体"/>
          <w:color w:val="000000" w:themeColor="text1"/>
          <w:szCs w:val="21"/>
          <w14:textFill>
            <w14:solidFill>
              <w14:schemeClr w14:val="tx1"/>
            </w14:solidFill>
          </w14:textFill>
        </w:rPr>
        <w:t xml:space="preserve"> 马头门施工前，应进行近井导线测量和近井水准联系测量；</w:t>
      </w:r>
    </w:p>
    <w:p>
      <w:pPr>
        <w:tabs>
          <w:tab w:val="left" w:pos="851"/>
          <w:tab w:val="left" w:pos="5835"/>
        </w:tabs>
        <w:snapToGrid w:val="0"/>
        <w:spacing w:line="360" w:lineRule="auto"/>
        <w:ind w:firstLine="422" w:firstLineChars="20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hAnsi="宋体"/>
          <w:color w:val="000000" w:themeColor="text1"/>
          <w:szCs w:val="21"/>
          <w14:textFill>
            <w14:solidFill>
              <w14:schemeClr w14:val="tx1"/>
            </w14:solidFill>
          </w14:textFill>
        </w:rPr>
        <w:t xml:space="preserve"> 隧道或车站正线掘进至30m～50m及80m～120m时，应进行平面联系测量和高程联系测量；</w:t>
      </w:r>
    </w:p>
    <w:p>
      <w:pPr>
        <w:tabs>
          <w:tab w:val="left" w:pos="851"/>
          <w:tab w:val="left" w:pos="5835"/>
        </w:tabs>
        <w:snapToGrid w:val="0"/>
        <w:spacing w:line="360" w:lineRule="auto"/>
        <w:ind w:firstLine="422" w:firstLineChars="20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hAnsi="宋体"/>
          <w:color w:val="000000" w:themeColor="text1"/>
          <w:szCs w:val="21"/>
          <w14:textFill>
            <w14:solidFill>
              <w14:schemeClr w14:val="tx1"/>
            </w14:solidFill>
          </w14:textFill>
        </w:rPr>
        <w:t xml:space="preserve"> 距离贯通面50m～100m时，应进行贯通联系测量。</w:t>
      </w:r>
    </w:p>
    <w:p>
      <w:p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5.2.2 </w:t>
      </w:r>
      <w:r>
        <w:rPr>
          <w:rFonts w:hint="eastAsia" w:hAnsi="宋体"/>
          <w:color w:val="000000" w:themeColor="text1"/>
          <w:szCs w:val="21"/>
          <w14:textFill>
            <w14:solidFill>
              <w14:schemeClr w14:val="tx1"/>
            </w14:solidFill>
          </w14:textFill>
        </w:rPr>
        <w:t>近井导线应</w:t>
      </w:r>
      <w:r>
        <w:rPr>
          <w:rFonts w:hint="eastAsia"/>
          <w:color w:val="000000" w:themeColor="text1"/>
          <w14:textFill>
            <w14:solidFill>
              <w14:schemeClr w14:val="tx1"/>
            </w14:solidFill>
          </w14:textFill>
        </w:rPr>
        <w:t>按</w:t>
      </w:r>
      <w:r>
        <w:rPr>
          <w:rFonts w:hint="eastAsia" w:hAnsi="宋体"/>
          <w:color w:val="000000" w:themeColor="text1"/>
          <w:szCs w:val="21"/>
          <w14:textFill>
            <w14:solidFill>
              <w14:schemeClr w14:val="tx1"/>
            </w14:solidFill>
          </w14:textFill>
        </w:rPr>
        <w:t>精密导线进行测量，应起算于邻近的卫星定位点或精密导线点，并布设成附合或闭合导线。</w:t>
      </w:r>
    </w:p>
    <w:p>
      <w:p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5.2.3 </w:t>
      </w:r>
      <w:r>
        <w:rPr>
          <w:rFonts w:hint="eastAsia" w:hAnsi="宋体"/>
          <w:color w:val="000000" w:themeColor="text1"/>
          <w:szCs w:val="21"/>
          <w14:textFill>
            <w14:solidFill>
              <w14:schemeClr w14:val="tx1"/>
            </w14:solidFill>
          </w14:textFill>
        </w:rPr>
        <w:t>近井水准路线应符合二等水准测量的规定，应起算于邻近的一、二等水准控制点，并布设成附合水准路线。</w:t>
      </w:r>
    </w:p>
    <w:p>
      <w:p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5.2.4 </w:t>
      </w:r>
      <w:r>
        <w:rPr>
          <w:rFonts w:hint="eastAsia" w:hAnsi="宋体"/>
          <w:color w:val="000000" w:themeColor="text1"/>
          <w:szCs w:val="21"/>
          <w14:textFill>
            <w14:solidFill>
              <w14:schemeClr w14:val="tx1"/>
            </w14:solidFill>
          </w14:textFill>
        </w:rPr>
        <w:t>平面联系测量宜根据现场情况选用联系三角形一井定向、陀螺经纬仪仪结合铅垂仪定向、投点定向、两井定向、任意设站网坐标和高程同步传递定向等方法，联系测量每测回作业应独立进行3次，并取3次合格成果的平均值作为定向成果。</w:t>
      </w:r>
    </w:p>
    <w:p>
      <w:p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5.2.5 </w:t>
      </w:r>
      <w:r>
        <w:rPr>
          <w:rFonts w:hint="eastAsia" w:hAnsi="宋体"/>
          <w:color w:val="000000" w:themeColor="text1"/>
          <w:szCs w:val="21"/>
          <w14:textFill>
            <w14:solidFill>
              <w14:schemeClr w14:val="tx1"/>
            </w14:solidFill>
          </w14:textFill>
        </w:rPr>
        <w:t>高程联系测量宜采用悬吊钢尺法、电磁波测距法等方法。</w:t>
      </w:r>
    </w:p>
    <w:p>
      <w:p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5.2.6 </w:t>
      </w:r>
      <w:r>
        <w:rPr>
          <w:rFonts w:hint="eastAsia" w:hAnsi="宋体"/>
          <w:color w:val="000000" w:themeColor="text1"/>
          <w:szCs w:val="21"/>
          <w14:textFill>
            <w14:solidFill>
              <w14:schemeClr w14:val="tx1"/>
            </w14:solidFill>
          </w14:textFill>
        </w:rPr>
        <w:t>两相邻竖井之间的隧道贯通后，应进行两井定向测量；隧道二衬结构施工前应进行贯通测量，相连车站或竖井间的地下控制导线和水准线路应形成附合线路。</w:t>
      </w:r>
    </w:p>
    <w:p>
      <w:pPr>
        <w:tabs>
          <w:tab w:val="left" w:pos="576"/>
          <w:tab w:val="left" w:pos="5835"/>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62" w:name="_Toc13062"/>
      <w:bookmarkStart w:id="63" w:name="_Toc2396"/>
      <w:bookmarkStart w:id="64" w:name="_Toc14944"/>
      <w:bookmarkStart w:id="65" w:name="_Toc4701"/>
      <w:bookmarkStart w:id="66" w:name="_Toc18285"/>
      <w:bookmarkStart w:id="67" w:name="_Toc16543"/>
      <w:r>
        <w:rPr>
          <w:rFonts w:hint="eastAsia" w:hAnsi="宋体"/>
          <w:b/>
          <w:color w:val="000000" w:themeColor="text1"/>
          <w:sz w:val="24"/>
          <w14:textFill>
            <w14:solidFill>
              <w14:schemeClr w14:val="tx1"/>
            </w14:solidFill>
          </w14:textFill>
        </w:rPr>
        <w:t>5.3  地下控制测量</w:t>
      </w:r>
      <w:bookmarkEnd w:id="62"/>
      <w:bookmarkEnd w:id="63"/>
      <w:bookmarkEnd w:id="64"/>
      <w:bookmarkEnd w:id="65"/>
      <w:bookmarkEnd w:id="66"/>
      <w:bookmarkEnd w:id="67"/>
    </w:p>
    <w:p>
      <w:pPr>
        <w:tabs>
          <w:tab w:val="left" w:pos="851"/>
          <w:tab w:val="left" w:pos="1364"/>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5.3.1</w:t>
      </w:r>
      <w:r>
        <w:rPr>
          <w:rFonts w:hint="eastAsia" w:hAnsi="宋体"/>
          <w:color w:val="000000" w:themeColor="text1"/>
          <w:szCs w:val="21"/>
          <w14:textFill>
            <w14:solidFill>
              <w14:schemeClr w14:val="tx1"/>
            </w14:solidFill>
          </w14:textFill>
        </w:rPr>
        <w:t xml:space="preserve"> 暗挖隧道内施工控制导线及高程控制路线应随着隧道、车站的掘进延伸。</w:t>
      </w:r>
    </w:p>
    <w:p>
      <w:pPr>
        <w:tabs>
          <w:tab w:val="left" w:pos="851"/>
          <w:tab w:val="left" w:pos="1364"/>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5.3.2</w:t>
      </w:r>
      <w:r>
        <w:rPr>
          <w:rFonts w:hint="eastAsia" w:hAnsi="宋体"/>
          <w:color w:val="000000" w:themeColor="text1"/>
          <w:szCs w:val="21"/>
          <w14:textFill>
            <w14:solidFill>
              <w14:schemeClr w14:val="tx1"/>
            </w14:solidFill>
          </w14:textFill>
        </w:rPr>
        <w:t xml:space="preserve"> 暗挖隧道内施工控制导线和高程控制路线的部分控制点，应选择前期施工导线和高程控制测量控制点。</w:t>
      </w:r>
    </w:p>
    <w:p>
      <w:pPr>
        <w:tabs>
          <w:tab w:val="left" w:pos="851"/>
          <w:tab w:val="left" w:pos="1364"/>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5.3.3</w:t>
      </w:r>
      <w:r>
        <w:rPr>
          <w:rFonts w:hint="eastAsia" w:hAnsi="宋体"/>
          <w:color w:val="000000" w:themeColor="text1"/>
          <w:szCs w:val="21"/>
          <w14:textFill>
            <w14:solidFill>
              <w14:schemeClr w14:val="tx1"/>
            </w14:solidFill>
          </w14:textFill>
        </w:rPr>
        <w:t xml:space="preserve"> 暗挖隧道内施工控制导线和施工高程控制路线应以联系测量建立的地下平面控制测量和高程控制测量的起算控制点为依据。</w:t>
      </w:r>
    </w:p>
    <w:p>
      <w:pPr>
        <w:tabs>
          <w:tab w:val="left" w:pos="851"/>
          <w:tab w:val="left" w:pos="1364"/>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5.3.4</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暗挖隧道内施工控制导线测量应符合下列规定：</w:t>
      </w:r>
    </w:p>
    <w:p>
      <w:pPr>
        <w:tabs>
          <w:tab w:val="left" w:pos="851"/>
        </w:tabs>
        <w:snapToGrid w:val="0"/>
        <w:spacing w:line="360" w:lineRule="auto"/>
        <w:ind w:firstLine="361" w:firstLineChars="171"/>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1 </w:t>
      </w:r>
      <w:r>
        <w:rPr>
          <w:rFonts w:hint="eastAsia" w:hAnsi="宋体"/>
          <w:color w:val="000000" w:themeColor="text1"/>
          <w:szCs w:val="21"/>
          <w14:textFill>
            <w14:solidFill>
              <w14:schemeClr w14:val="tx1"/>
            </w14:solidFill>
          </w14:textFill>
        </w:rPr>
        <w:t xml:space="preserve"> 导线边数不应超过3条，总长不应超过180m；</w:t>
      </w:r>
    </w:p>
    <w:p>
      <w:pPr>
        <w:tabs>
          <w:tab w:val="left" w:pos="851"/>
        </w:tabs>
        <w:snapToGrid w:val="0"/>
        <w:spacing w:line="360" w:lineRule="auto"/>
        <w:ind w:firstLine="361" w:firstLineChars="171"/>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2  </w:t>
      </w:r>
      <w:r>
        <w:rPr>
          <w:rFonts w:hint="eastAsia" w:hAnsi="宋体"/>
          <w:color w:val="000000" w:themeColor="text1"/>
          <w:szCs w:val="21"/>
          <w14:textFill>
            <w14:solidFill>
              <w14:schemeClr w14:val="tx1"/>
            </w14:solidFill>
          </w14:textFill>
        </w:rPr>
        <w:t>暗挖隧道内施工控制导线平均边长宜为150m，曲线隧道控制点间距不应小于60m；</w:t>
      </w:r>
    </w:p>
    <w:p>
      <w:pPr>
        <w:tabs>
          <w:tab w:val="left" w:pos="851"/>
        </w:tabs>
        <w:snapToGrid w:val="0"/>
        <w:spacing w:line="360" w:lineRule="auto"/>
        <w:ind w:firstLine="361" w:firstLineChars="171"/>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3 </w:t>
      </w:r>
      <w:r>
        <w:rPr>
          <w:rFonts w:hint="eastAsia" w:hAnsi="宋体"/>
          <w:color w:val="000000" w:themeColor="text1"/>
          <w:szCs w:val="21"/>
          <w14:textFill>
            <w14:solidFill>
              <w14:schemeClr w14:val="tx1"/>
            </w14:solidFill>
          </w14:textFill>
        </w:rPr>
        <w:t xml:space="preserve"> 导线点宜设置在线路中线、隧道中线上或隧道边墙上；</w:t>
      </w:r>
    </w:p>
    <w:p>
      <w:pPr>
        <w:numPr>
          <w:ilvl w:val="255"/>
          <w:numId w:val="0"/>
        </w:numPr>
        <w:tabs>
          <w:tab w:val="left" w:pos="851"/>
        </w:tabs>
        <w:snapToGrid w:val="0"/>
        <w:spacing w:line="360" w:lineRule="auto"/>
        <w:ind w:firstLine="361" w:firstLineChars="171"/>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4  </w:t>
      </w:r>
      <w:r>
        <w:rPr>
          <w:rFonts w:hint="eastAsia" w:hAnsi="宋体"/>
          <w:color w:val="000000" w:themeColor="text1"/>
          <w:szCs w:val="21"/>
          <w14:textFill>
            <w14:solidFill>
              <w14:schemeClr w14:val="tx1"/>
            </w14:solidFill>
          </w14:textFill>
        </w:rPr>
        <w:t>暗挖隧道内施工控制导线，其点位横向误差宜符合下式要求：</w:t>
      </w:r>
    </w:p>
    <w:p>
      <w:pPr>
        <w:tabs>
          <w:tab w:val="left" w:pos="851"/>
        </w:tabs>
        <w:snapToGrid w:val="0"/>
        <w:spacing w:line="360" w:lineRule="auto"/>
        <w:ind w:firstLine="359" w:firstLineChars="171"/>
        <w:jc w:val="center"/>
        <w:rPr>
          <w:rFonts w:ascii="宋体" w:hAnsi="宋体"/>
          <w:bCs/>
          <w:color w:val="000000" w:themeColor="text1"/>
          <w:szCs w:val="21"/>
          <w14:textFill>
            <w14:solidFill>
              <w14:schemeClr w14:val="tx1"/>
            </w14:solidFill>
          </w14:textFill>
        </w:rPr>
      </w:pPr>
      <w:r>
        <w:rPr>
          <w:rFonts w:hint="eastAsia" w:hAnsi="宋体"/>
          <w:color w:val="000000" w:themeColor="text1"/>
          <w:position w:val="-12"/>
          <w:szCs w:val="21"/>
          <w14:textFill>
            <w14:solidFill>
              <w14:schemeClr w14:val="tx1"/>
            </w14:solidFill>
          </w14:textFill>
        </w:rPr>
        <w:object>
          <v:shape id="_x0000_i1025" o:spt="75" type="#_x0000_t75" style="height:18.1pt;width:109pt;" o:ole="t" filled="f" o:preferrelative="t" stroked="f" coordsize="21600,21600">
            <v:path/>
            <v:fill on="f" focussize="0,0"/>
            <v:stroke on="f" joinstyle="miter"/>
            <v:imagedata r:id="rId9" o:title=""/>
            <o:lock v:ext="edit" aspectratio="t"/>
            <w10:wrap type="none"/>
            <w10:anchorlock/>
          </v:shape>
          <o:OLEObject Type="Embed" ProgID="Equation.KSEE3" ShapeID="_x0000_i1025" DrawAspect="Content" ObjectID="_1468075725" r:id="rId8">
            <o:LockedField>false</o:LockedField>
          </o:OLEObject>
        </w:object>
      </w:r>
      <w:r>
        <w:rPr>
          <w:rFonts w:hint="eastAsia" w:ascii="宋体" w:hAnsi="宋体"/>
          <w:bCs/>
          <w:color w:val="000000" w:themeColor="text1"/>
          <w:szCs w:val="21"/>
          <w14:textFill>
            <w14:solidFill>
              <w14:schemeClr w14:val="tx1"/>
            </w14:solidFill>
          </w14:textFill>
        </w:rPr>
        <w:t xml:space="preserve">              （</w:t>
      </w:r>
      <w:r>
        <w:rPr>
          <w:rFonts w:hAnsi="宋体"/>
          <w:b/>
          <w:color w:val="000000" w:themeColor="text1"/>
          <w:szCs w:val="21"/>
          <w14:textFill>
            <w14:solidFill>
              <w14:schemeClr w14:val="tx1"/>
            </w14:solidFill>
          </w14:textFill>
        </w:rPr>
        <w:t>5.3.4</w:t>
      </w:r>
      <w:r>
        <w:rPr>
          <w:rFonts w:hint="eastAsia" w:hAnsi="宋体"/>
          <w:b/>
          <w:color w:val="000000" w:themeColor="text1"/>
          <w:szCs w:val="21"/>
          <w14:textFill>
            <w14:solidFill>
              <w14:schemeClr w14:val="tx1"/>
            </w14:solidFill>
          </w14:textFill>
        </w:rPr>
        <w:t>）</w:t>
      </w:r>
    </w:p>
    <w:p>
      <w:pPr>
        <w:adjustRightInd w:val="0"/>
        <w:snapToGrid w:val="0"/>
        <w:rPr>
          <w:rFonts w:ascii="宋体" w:hAnsi="宋体"/>
          <w:bCs/>
          <w:color w:val="000000" w:themeColor="text1"/>
          <w:szCs w:val="21"/>
          <w14:textFill>
            <w14:solidFill>
              <w14:schemeClr w14:val="tx1"/>
            </w14:solidFill>
          </w14:textFill>
        </w:rPr>
      </w:pPr>
      <w:r>
        <w:rPr>
          <w:rFonts w:ascii="宋体" w:hAnsi="宋体"/>
          <w:bCs/>
          <w:color w:val="000000" w:themeColor="text1"/>
          <w:szCs w:val="21"/>
          <w14:textFill>
            <w14:solidFill>
              <w14:schemeClr w14:val="tx1"/>
            </w14:solidFill>
          </w14:textFill>
        </w:rPr>
        <w:t>式中</w:t>
      </w:r>
      <w:r>
        <w:rPr>
          <w:rFonts w:hint="eastAsia" w:ascii="宋体" w:hAnsi="宋体"/>
          <w:bCs/>
          <w:color w:val="000000" w:themeColor="text1"/>
          <w:szCs w:val="21"/>
          <w14:textFill>
            <w14:solidFill>
              <w14:schemeClr w14:val="tx1"/>
            </w14:solidFill>
          </w14:textFill>
        </w:rPr>
        <w:t xml:space="preserve">：  </w:t>
      </w:r>
      <w:r>
        <w:rPr>
          <w:rFonts w:hint="eastAsia" w:ascii="宋体" w:hAnsi="宋体"/>
          <w:bCs/>
          <w:color w:val="000000" w:themeColor="text1"/>
          <w:position w:val="-12"/>
          <w:szCs w:val="21"/>
          <w14:textFill>
            <w14:solidFill>
              <w14:schemeClr w14:val="tx1"/>
            </w14:solidFill>
          </w14:textFill>
        </w:rPr>
        <w:object>
          <v:shape id="_x0000_i1026" o:spt="75" type="#_x0000_t75" style="height:18.1pt;width:18.9pt;" o:ole="t" filled="f" o:preferrelative="t" stroked="f" coordsize="21600,21600">
            <v:path/>
            <v:fill on="f" focussize="0,0"/>
            <v:stroke on="f" joinstyle="miter"/>
            <v:imagedata r:id="rId11" o:title=""/>
            <o:lock v:ext="edit" aspectratio="t"/>
            <w10:wrap type="none"/>
            <w10:anchorlock/>
          </v:shape>
          <o:OLEObject Type="Embed" ProgID="Equation.KSEE3" ShapeID="_x0000_i1026" DrawAspect="Content" ObjectID="_1468075726" r:id="rId10">
            <o:LockedField>false</o:LockedField>
          </o:OLEObject>
        </w:object>
      </w:r>
      <w:r>
        <w:rPr>
          <w:rFonts w:ascii="宋体" w:hAnsi="宋体"/>
          <w:bCs/>
          <w:color w:val="000000" w:themeColor="text1"/>
          <w:szCs w:val="21"/>
          <w14:textFill>
            <w14:solidFill>
              <w14:schemeClr w14:val="tx1"/>
            </w14:solidFill>
          </w14:textFill>
        </w:rPr>
        <w:t>——</w:t>
      </w:r>
      <w:r>
        <w:rPr>
          <w:rFonts w:hint="eastAsia" w:ascii="宋体" w:hAnsi="宋体"/>
          <w:bCs/>
          <w:color w:val="000000" w:themeColor="text1"/>
          <w:szCs w:val="21"/>
          <w14:textFill>
            <w14:solidFill>
              <w14:schemeClr w14:val="tx1"/>
            </w14:solidFill>
          </w14:textFill>
        </w:rPr>
        <w:t xml:space="preserve"> </w:t>
      </w:r>
      <w:r>
        <w:rPr>
          <w:rFonts w:ascii="宋体" w:hAnsi="宋体"/>
          <w:bCs/>
          <w:color w:val="000000" w:themeColor="text1"/>
          <w:szCs w:val="21"/>
          <w14:textFill>
            <w14:solidFill>
              <w14:schemeClr w14:val="tx1"/>
            </w14:solidFill>
          </w14:textFill>
        </w:rPr>
        <w:t>导线点横向误差</w:t>
      </w:r>
      <w:r>
        <w:rPr>
          <w:rFonts w:hint="eastAsia" w:ascii="宋体" w:hAnsi="宋体"/>
          <w:bCs/>
          <w:color w:val="000000" w:themeColor="text1"/>
          <w:szCs w:val="21"/>
          <w14:textFill>
            <w14:solidFill>
              <w14:schemeClr w14:val="tx1"/>
            </w14:solidFill>
          </w14:textFill>
        </w:rPr>
        <w:t>（</w:t>
      </w:r>
      <w:r>
        <w:rPr>
          <w:rFonts w:ascii="宋体" w:hAnsi="宋体"/>
          <w:bCs/>
          <w:color w:val="000000" w:themeColor="text1"/>
          <w:szCs w:val="21"/>
          <w14:textFill>
            <w14:solidFill>
              <w14:schemeClr w14:val="tx1"/>
            </w14:solidFill>
          </w14:textFill>
        </w:rPr>
        <w:t>mm</w:t>
      </w:r>
      <w:r>
        <w:rPr>
          <w:rFonts w:hint="eastAsia" w:ascii="宋体" w:hAnsi="宋体"/>
          <w:bCs/>
          <w:color w:val="000000" w:themeColor="text1"/>
          <w:szCs w:val="21"/>
          <w14:textFill>
            <w14:solidFill>
              <w14:schemeClr w14:val="tx1"/>
            </w14:solidFill>
          </w14:textFill>
        </w:rPr>
        <w:t>）</w:t>
      </w:r>
      <w:r>
        <w:rPr>
          <w:rFonts w:ascii="宋体" w:hAnsi="宋体"/>
          <w:bCs/>
          <w:color w:val="000000" w:themeColor="text1"/>
          <w:szCs w:val="21"/>
          <w14:textFill>
            <w14:solidFill>
              <w14:schemeClr w14:val="tx1"/>
            </w14:solidFill>
          </w14:textFill>
        </w:rPr>
        <w:t>；</w:t>
      </w:r>
    </w:p>
    <w:p>
      <w:pPr>
        <w:adjustRightInd w:val="0"/>
        <w:snapToGrid w:val="0"/>
        <w:ind w:firstLine="820"/>
        <w:rPr>
          <w:rFonts w:ascii="宋体" w:hAnsi="宋体"/>
          <w:bCs/>
          <w:color w:val="000000" w:themeColor="text1"/>
          <w:szCs w:val="21"/>
          <w14:textFill>
            <w14:solidFill>
              <w14:schemeClr w14:val="tx1"/>
            </w14:solidFill>
          </w14:textFill>
        </w:rPr>
      </w:pPr>
      <w:r>
        <w:rPr>
          <w:rFonts w:ascii="宋体" w:hAnsi="宋体"/>
          <w:bCs/>
          <w:color w:val="000000" w:themeColor="text1"/>
          <w:position w:val="-10"/>
          <w:szCs w:val="21"/>
          <w14:textFill>
            <w14:solidFill>
              <w14:schemeClr w14:val="tx1"/>
            </w14:solidFill>
          </w14:textFill>
        </w:rPr>
        <w:object>
          <v:shape id="_x0000_i1027" o:spt="75" type="#_x0000_t75" style="height:16.9pt;width:18.9pt;" o:ole="t" filled="f" o:preferrelative="t" stroked="f" coordsize="21600,21600">
            <v:path/>
            <v:fill on="f" focussize="0,0"/>
            <v:stroke on="f" joinstyle="miter"/>
            <v:imagedata r:id="rId13" o:title=""/>
            <o:lock v:ext="edit" aspectratio="t"/>
            <w10:wrap type="none"/>
            <w10:anchorlock/>
          </v:shape>
          <o:OLEObject Type="Embed" ProgID="Equation.KSEE3" ShapeID="_x0000_i1027" DrawAspect="Content" ObjectID="_1468075727" r:id="rId12">
            <o:LockedField>false</o:LockedField>
          </o:OLEObject>
        </w:object>
      </w:r>
      <w:r>
        <w:rPr>
          <w:rFonts w:ascii="宋体" w:hAnsi="宋体"/>
          <w:bCs/>
          <w:color w:val="000000" w:themeColor="text1"/>
          <w:szCs w:val="21"/>
          <w14:textFill>
            <w14:solidFill>
              <w14:schemeClr w14:val="tx1"/>
            </w14:solidFill>
          </w14:textFill>
        </w:rPr>
        <w:t>——</w:t>
      </w:r>
      <w:r>
        <w:rPr>
          <w:rFonts w:hint="eastAsia" w:ascii="宋体" w:hAnsi="宋体"/>
          <w:bCs/>
          <w:color w:val="000000" w:themeColor="text1"/>
          <w:szCs w:val="21"/>
          <w14:textFill>
            <w14:solidFill>
              <w14:schemeClr w14:val="tx1"/>
            </w14:solidFill>
          </w14:textFill>
        </w:rPr>
        <w:t xml:space="preserve"> </w:t>
      </w:r>
      <w:r>
        <w:rPr>
          <w:rFonts w:ascii="宋体" w:hAnsi="宋体"/>
          <w:bCs/>
          <w:color w:val="000000" w:themeColor="text1"/>
          <w:szCs w:val="21"/>
          <w14:textFill>
            <w14:solidFill>
              <w14:schemeClr w14:val="tx1"/>
            </w14:solidFill>
          </w14:textFill>
        </w:rPr>
        <w:t>贯通</w:t>
      </w:r>
      <w:r>
        <w:rPr>
          <w:rFonts w:hint="eastAsia" w:ascii="宋体" w:hAnsi="宋体"/>
          <w:bCs/>
          <w:color w:val="000000" w:themeColor="text1"/>
          <w:szCs w:val="21"/>
          <w14:textFill>
            <w14:solidFill>
              <w14:schemeClr w14:val="tx1"/>
            </w14:solidFill>
          </w14:textFill>
        </w:rPr>
        <w:t>中</w:t>
      </w:r>
      <w:r>
        <w:rPr>
          <w:rFonts w:ascii="宋体" w:hAnsi="宋体"/>
          <w:bCs/>
          <w:color w:val="000000" w:themeColor="text1"/>
          <w:szCs w:val="21"/>
          <w14:textFill>
            <w14:solidFill>
              <w14:schemeClr w14:val="tx1"/>
            </w14:solidFill>
          </w14:textFill>
        </w:rPr>
        <w:t>误差</w:t>
      </w:r>
      <w:r>
        <w:rPr>
          <w:rFonts w:hint="eastAsia" w:ascii="宋体" w:hAnsi="宋体"/>
          <w:bCs/>
          <w:color w:val="000000" w:themeColor="text1"/>
          <w:szCs w:val="21"/>
          <w14:textFill>
            <w14:solidFill>
              <w14:schemeClr w14:val="tx1"/>
            </w14:solidFill>
          </w14:textFill>
        </w:rPr>
        <w:t>（</w:t>
      </w:r>
      <w:r>
        <w:rPr>
          <w:rFonts w:ascii="宋体" w:hAnsi="宋体"/>
          <w:bCs/>
          <w:color w:val="000000" w:themeColor="text1"/>
          <w:szCs w:val="21"/>
          <w14:textFill>
            <w14:solidFill>
              <w14:schemeClr w14:val="tx1"/>
            </w14:solidFill>
          </w14:textFill>
        </w:rPr>
        <w:t>mm</w:t>
      </w:r>
      <w:r>
        <w:rPr>
          <w:rFonts w:hint="eastAsia" w:ascii="宋体" w:hAnsi="宋体"/>
          <w:bCs/>
          <w:color w:val="000000" w:themeColor="text1"/>
          <w:szCs w:val="21"/>
          <w14:textFill>
            <w14:solidFill>
              <w14:schemeClr w14:val="tx1"/>
            </w14:solidFill>
          </w14:textFill>
        </w:rPr>
        <w:t>）</w:t>
      </w:r>
      <w:r>
        <w:rPr>
          <w:rFonts w:ascii="宋体" w:hAnsi="宋体"/>
          <w:bCs/>
          <w:color w:val="000000" w:themeColor="text1"/>
          <w:szCs w:val="21"/>
          <w14:textFill>
            <w14:solidFill>
              <w14:schemeClr w14:val="tx1"/>
            </w14:solidFill>
          </w14:textFill>
        </w:rPr>
        <w:t>；</w:t>
      </w:r>
    </w:p>
    <w:p>
      <w:pPr>
        <w:adjustRightInd w:val="0"/>
        <w:snapToGrid w:val="0"/>
        <w:ind w:firstLine="820"/>
        <w:rPr>
          <w:rFonts w:ascii="宋体" w:hAnsi="宋体"/>
          <w:bCs/>
          <w:color w:val="000000" w:themeColor="text1"/>
          <w:szCs w:val="21"/>
          <w14:textFill>
            <w14:solidFill>
              <w14:schemeClr w14:val="tx1"/>
            </w14:solidFill>
          </w14:textFill>
        </w:rPr>
      </w:pPr>
      <w:r>
        <w:rPr>
          <w:rFonts w:ascii="宋体" w:hAnsi="宋体"/>
          <w:bCs/>
          <w:color w:val="000000" w:themeColor="text1"/>
          <w:position w:val="-6"/>
          <w:szCs w:val="21"/>
          <w14:textFill>
            <w14:solidFill>
              <w14:schemeClr w14:val="tx1"/>
            </w14:solidFill>
          </w14:textFill>
        </w:rPr>
        <w:object>
          <v:shape id="_x0000_i1028" o:spt="75" type="#_x0000_t75" style="height:13.75pt;width:9.85pt;" o:ole="t" filled="f" o:preferrelative="t" stroked="f" coordsize="21600,21600">
            <v:path/>
            <v:fill on="f" focussize="0,0"/>
            <v:stroke on="f" joinstyle="miter"/>
            <v:imagedata r:id="rId15" o:title=""/>
            <o:lock v:ext="edit" aspectratio="t"/>
            <w10:wrap type="none"/>
            <w10:anchorlock/>
          </v:shape>
          <o:OLEObject Type="Embed" ProgID="Equation.KSEE3" ShapeID="_x0000_i1028" DrawAspect="Content" ObjectID="_1468075728" r:id="rId14">
            <o:LockedField>false</o:LockedField>
          </o:OLEObject>
        </w:object>
      </w:r>
      <w:r>
        <w:rPr>
          <w:rFonts w:ascii="宋体" w:hAnsi="宋体"/>
          <w:bCs/>
          <w:color w:val="000000" w:themeColor="text1"/>
          <w:szCs w:val="21"/>
          <w14:textFill>
            <w14:solidFill>
              <w14:schemeClr w14:val="tx1"/>
            </w14:solidFill>
          </w14:textFill>
        </w:rPr>
        <w:t>——</w:t>
      </w:r>
      <w:r>
        <w:rPr>
          <w:rFonts w:hint="eastAsia" w:ascii="宋体" w:hAnsi="宋体"/>
          <w:bCs/>
          <w:color w:val="000000" w:themeColor="text1"/>
          <w:szCs w:val="21"/>
          <w14:textFill>
            <w14:solidFill>
              <w14:schemeClr w14:val="tx1"/>
            </w14:solidFill>
          </w14:textFill>
        </w:rPr>
        <w:t xml:space="preserve"> </w:t>
      </w:r>
      <w:r>
        <w:rPr>
          <w:rFonts w:ascii="宋体" w:hAnsi="宋体"/>
          <w:bCs/>
          <w:color w:val="000000" w:themeColor="text1"/>
          <w:szCs w:val="21"/>
          <w14:textFill>
            <w14:solidFill>
              <w14:schemeClr w14:val="tx1"/>
            </w14:solidFill>
          </w14:textFill>
        </w:rPr>
        <w:t>控制导线长度</w:t>
      </w:r>
      <w:r>
        <w:rPr>
          <w:rFonts w:hint="eastAsia" w:ascii="宋体" w:hAnsi="宋体"/>
          <w:bCs/>
          <w:color w:val="000000" w:themeColor="text1"/>
          <w:szCs w:val="21"/>
          <w14:textFill>
            <w14:solidFill>
              <w14:schemeClr w14:val="tx1"/>
            </w14:solidFill>
          </w14:textFill>
        </w:rPr>
        <w:t>（</w:t>
      </w:r>
      <w:r>
        <w:rPr>
          <w:rFonts w:ascii="宋体" w:hAnsi="宋体"/>
          <w:bCs/>
          <w:color w:val="000000" w:themeColor="text1"/>
          <w:szCs w:val="21"/>
          <w14:textFill>
            <w14:solidFill>
              <w14:schemeClr w14:val="tx1"/>
            </w14:solidFill>
          </w14:textFill>
        </w:rPr>
        <w:t>m</w:t>
      </w:r>
      <w:r>
        <w:rPr>
          <w:rFonts w:hint="eastAsia" w:ascii="宋体" w:hAnsi="宋体"/>
          <w:bCs/>
          <w:color w:val="000000" w:themeColor="text1"/>
          <w:szCs w:val="21"/>
          <w14:textFill>
            <w14:solidFill>
              <w14:schemeClr w14:val="tx1"/>
            </w14:solidFill>
          </w14:textFill>
        </w:rPr>
        <w:t>）</w:t>
      </w:r>
      <w:r>
        <w:rPr>
          <w:rFonts w:ascii="宋体" w:hAnsi="宋体"/>
          <w:bCs/>
          <w:color w:val="000000" w:themeColor="text1"/>
          <w:szCs w:val="21"/>
          <w14:textFill>
            <w14:solidFill>
              <w14:schemeClr w14:val="tx1"/>
            </w14:solidFill>
          </w14:textFill>
        </w:rPr>
        <w:t>；</w:t>
      </w:r>
    </w:p>
    <w:p>
      <w:pPr>
        <w:adjustRightInd w:val="0"/>
        <w:snapToGrid w:val="0"/>
        <w:ind w:firstLine="820"/>
        <w:rPr>
          <w:rFonts w:ascii="宋体" w:hAnsi="宋体"/>
          <w:bCs/>
          <w:color w:val="000000" w:themeColor="text1"/>
          <w:szCs w:val="21"/>
          <w14:textFill>
            <w14:solidFill>
              <w14:schemeClr w14:val="tx1"/>
            </w14:solidFill>
          </w14:textFill>
        </w:rPr>
      </w:pPr>
      <w:r>
        <w:rPr>
          <w:rFonts w:ascii="宋体" w:hAnsi="宋体"/>
          <w:bCs/>
          <w:color w:val="000000" w:themeColor="text1"/>
          <w:position w:val="-4"/>
          <w:szCs w:val="21"/>
          <w14:textFill>
            <w14:solidFill>
              <w14:schemeClr w14:val="tx1"/>
            </w14:solidFill>
          </w14:textFill>
        </w:rPr>
        <w:object>
          <v:shape id="_x0000_i1029" o:spt="75" type="#_x0000_t75" style="height:13pt;width:13pt;" o:ole="t" filled="f" o:preferrelative="t" stroked="f" coordsize="21600,21600">
            <v:path/>
            <v:fill on="f" focussize="0,0"/>
            <v:stroke on="f" joinstyle="miter"/>
            <v:imagedata r:id="rId17" o:title=""/>
            <o:lock v:ext="edit" aspectratio="t"/>
            <w10:wrap type="none"/>
            <w10:anchorlock/>
          </v:shape>
          <o:OLEObject Type="Embed" ProgID="Equation.KSEE3" ShapeID="_x0000_i1029" DrawAspect="Content" ObjectID="_1468075729" r:id="rId16">
            <o:LockedField>false</o:LockedField>
          </o:OLEObject>
        </w:object>
      </w:r>
      <w:r>
        <w:rPr>
          <w:rFonts w:ascii="宋体" w:hAnsi="宋体"/>
          <w:bCs/>
          <w:color w:val="000000" w:themeColor="text1"/>
          <w:szCs w:val="21"/>
          <w14:textFill>
            <w14:solidFill>
              <w14:schemeClr w14:val="tx1"/>
            </w14:solidFill>
          </w14:textFill>
        </w:rPr>
        <w:t>——</w:t>
      </w:r>
      <w:r>
        <w:rPr>
          <w:rFonts w:hint="eastAsia" w:ascii="宋体" w:hAnsi="宋体"/>
          <w:bCs/>
          <w:color w:val="000000" w:themeColor="text1"/>
          <w:szCs w:val="21"/>
          <w14:textFill>
            <w14:solidFill>
              <w14:schemeClr w14:val="tx1"/>
            </w14:solidFill>
          </w14:textFill>
        </w:rPr>
        <w:t xml:space="preserve"> </w:t>
      </w:r>
      <w:r>
        <w:rPr>
          <w:rFonts w:ascii="宋体" w:hAnsi="宋体"/>
          <w:bCs/>
          <w:color w:val="000000" w:themeColor="text1"/>
          <w:szCs w:val="21"/>
          <w14:textFill>
            <w14:solidFill>
              <w14:schemeClr w14:val="tx1"/>
            </w14:solidFill>
          </w14:textFill>
        </w:rPr>
        <w:t>贯通距离</w:t>
      </w:r>
      <w:r>
        <w:rPr>
          <w:rFonts w:hint="eastAsia" w:ascii="宋体" w:hAnsi="宋体"/>
          <w:bCs/>
          <w:color w:val="000000" w:themeColor="text1"/>
          <w:szCs w:val="21"/>
          <w14:textFill>
            <w14:solidFill>
              <w14:schemeClr w14:val="tx1"/>
            </w14:solidFill>
          </w14:textFill>
        </w:rPr>
        <w:t>（</w:t>
      </w:r>
      <w:r>
        <w:rPr>
          <w:rFonts w:ascii="宋体" w:hAnsi="宋体"/>
          <w:bCs/>
          <w:color w:val="000000" w:themeColor="text1"/>
          <w:szCs w:val="21"/>
          <w14:textFill>
            <w14:solidFill>
              <w14:schemeClr w14:val="tx1"/>
            </w14:solidFill>
          </w14:textFill>
        </w:rPr>
        <w:t>m</w:t>
      </w:r>
      <w:r>
        <w:rPr>
          <w:rFonts w:hint="eastAsia" w:ascii="宋体" w:hAnsi="宋体"/>
          <w:bCs/>
          <w:color w:val="000000" w:themeColor="text1"/>
          <w:szCs w:val="21"/>
          <w14:textFill>
            <w14:solidFill>
              <w14:schemeClr w14:val="tx1"/>
            </w14:solidFill>
          </w14:textFill>
        </w:rPr>
        <w:t>）</w:t>
      </w:r>
      <w:r>
        <w:rPr>
          <w:rFonts w:ascii="宋体" w:hAnsi="宋体"/>
          <w:bCs/>
          <w:color w:val="000000" w:themeColor="text1"/>
          <w:szCs w:val="21"/>
          <w14:textFill>
            <w14:solidFill>
              <w14:schemeClr w14:val="tx1"/>
            </w14:solidFill>
          </w14:textFill>
        </w:rPr>
        <w:t>。</w:t>
      </w:r>
    </w:p>
    <w:p>
      <w:pPr>
        <w:tabs>
          <w:tab w:val="left" w:pos="851"/>
          <w:tab w:val="left" w:pos="1364"/>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5.3.5</w:t>
      </w:r>
      <w:r>
        <w:rPr>
          <w:rFonts w:hint="eastAsia" w:hAnsi="宋体"/>
          <w:color w:val="000000" w:themeColor="text1"/>
          <w:szCs w:val="21"/>
          <w14:textFill>
            <w14:solidFill>
              <w14:schemeClr w14:val="tx1"/>
            </w14:solidFill>
          </w14:textFill>
        </w:rPr>
        <w:t xml:space="preserve"> 暗挖隧道内高程控制测量应符合下列规定：</w:t>
      </w:r>
    </w:p>
    <w:p>
      <w:pPr>
        <w:tabs>
          <w:tab w:val="left" w:pos="851"/>
        </w:tabs>
        <w:snapToGrid w:val="0"/>
        <w:spacing w:line="360" w:lineRule="auto"/>
        <w:ind w:firstLine="361" w:firstLineChars="171"/>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1</w:t>
      </w:r>
      <w:r>
        <w:rPr>
          <w:rFonts w:hint="eastAsia" w:hAnsi="宋体"/>
          <w:color w:val="000000" w:themeColor="text1"/>
          <w:szCs w:val="21"/>
          <w14:textFill>
            <w14:solidFill>
              <w14:schemeClr w14:val="tx1"/>
            </w14:solidFill>
          </w14:textFill>
        </w:rPr>
        <w:t xml:space="preserve">  施工高程控制测量应采用二等水准测量方法，起算与地下近井水准点；</w:t>
      </w:r>
    </w:p>
    <w:p>
      <w:pPr>
        <w:tabs>
          <w:tab w:val="left" w:pos="851"/>
        </w:tabs>
        <w:snapToGrid w:val="0"/>
        <w:spacing w:line="360" w:lineRule="auto"/>
        <w:ind w:firstLine="361" w:firstLineChars="171"/>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2 </w:t>
      </w:r>
      <w:r>
        <w:rPr>
          <w:rFonts w:hint="eastAsia" w:hAnsi="宋体"/>
          <w:color w:val="000000" w:themeColor="text1"/>
          <w:szCs w:val="21"/>
          <w14:textFill>
            <w14:solidFill>
              <w14:schemeClr w14:val="tx1"/>
            </w14:solidFill>
          </w14:textFill>
        </w:rPr>
        <w:t xml:space="preserve"> 施工高程控制测量应采用不低于DS3级水准仪和区格式木制水准尺；</w:t>
      </w:r>
    </w:p>
    <w:p>
      <w:pPr>
        <w:tabs>
          <w:tab w:val="left" w:pos="851"/>
        </w:tabs>
        <w:snapToGrid w:val="0"/>
        <w:spacing w:line="360" w:lineRule="auto"/>
        <w:ind w:firstLine="361" w:firstLineChars="171"/>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3 </w:t>
      </w:r>
      <w:r>
        <w:rPr>
          <w:rFonts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施工控制水准路线的水准点间距宜为200m。线路闭合差应在±20</w:t>
      </w:r>
      <m:oMath>
        <m:rad>
          <m:radPr>
            <m:degHide m:val="1"/>
            <m:ctrlPr>
              <w:rPr>
                <w:rFonts w:ascii="Cambria Math" w:hAnsi="Cambria Math"/>
                <w:color w:val="000000" w:themeColor="text1"/>
                <w:szCs w:val="21"/>
                <w14:textFill>
                  <w14:solidFill>
                    <w14:schemeClr w14:val="tx1"/>
                  </w14:solidFill>
                </w14:textFill>
              </w:rPr>
            </m:ctrlPr>
          </m:radPr>
          <m:deg>
            <m:ctrlPr>
              <w:rPr>
                <w:rFonts w:ascii="Cambria Math" w:hAnsi="Cambria Math"/>
                <w:color w:val="000000" w:themeColor="text1"/>
                <w:szCs w:val="21"/>
                <w14:textFill>
                  <w14:solidFill>
                    <w14:schemeClr w14:val="tx1"/>
                  </w14:solidFill>
                </w14:textFill>
              </w:rPr>
            </m:ctrlPr>
          </m:deg>
          <m:e>
            <m:r>
              <m:rPr>
                <m:sty m:val="p"/>
              </m:rPr>
              <w:rPr>
                <w:rFonts w:hint="eastAsia" w:ascii="Cambria Math" w:hAnsi="Cambria Math"/>
                <w:color w:val="000000" w:themeColor="text1"/>
                <w:szCs w:val="21"/>
                <w14:textFill>
                  <w14:solidFill>
                    <w14:schemeClr w14:val="tx1"/>
                  </w14:solidFill>
                </w14:textFill>
              </w:rPr>
              <m:t>L</m:t>
            </m:r>
            <m:ctrlPr>
              <w:rPr>
                <w:rFonts w:ascii="Cambria Math" w:hAnsi="Cambria Math"/>
                <w:color w:val="000000" w:themeColor="text1"/>
                <w:szCs w:val="21"/>
                <w14:textFill>
                  <w14:solidFill>
                    <w14:schemeClr w14:val="tx1"/>
                  </w14:solidFill>
                </w14:textFill>
              </w:rPr>
            </m:ctrlPr>
          </m:e>
        </m:rad>
      </m:oMath>
      <w:r>
        <w:rPr>
          <w:rFonts w:hint="eastAsia" w:hAnsi="宋体"/>
          <w:color w:val="000000" w:themeColor="text1"/>
          <w:szCs w:val="21"/>
          <w14:textFill>
            <w14:solidFill>
              <w14:schemeClr w14:val="tx1"/>
            </w14:solidFill>
          </w14:textFill>
        </w:rPr>
        <w:t>mm（L以km计）之内。</w:t>
      </w:r>
    </w:p>
    <w:p>
      <w:pPr>
        <w:tabs>
          <w:tab w:val="left" w:pos="851"/>
          <w:tab w:val="left" w:pos="1364"/>
          <w:tab w:val="left" w:pos="5835"/>
        </w:tabs>
        <w:snapToGrid w:val="0"/>
        <w:spacing w:line="360" w:lineRule="auto"/>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 xml:space="preserve"> </w:t>
      </w:r>
      <w:r>
        <w:rPr>
          <w:rFonts w:hAnsi="宋体"/>
          <w:b/>
          <w:color w:val="000000" w:themeColor="text1"/>
          <w:szCs w:val="21"/>
          <w14:textFill>
            <w14:solidFill>
              <w14:schemeClr w14:val="tx1"/>
            </w14:solidFill>
          </w14:textFill>
        </w:rPr>
        <w:t xml:space="preserve">5.3.6 </w:t>
      </w:r>
      <w:r>
        <w:rPr>
          <w:rFonts w:hint="eastAsia" w:hAnsi="宋体"/>
          <w:color w:val="000000" w:themeColor="text1"/>
          <w:szCs w:val="21"/>
          <w14:textFill>
            <w14:solidFill>
              <w14:schemeClr w14:val="tx1"/>
            </w14:solidFill>
          </w14:textFill>
        </w:rPr>
        <w:t>车站采用分层开挖施工时，宜在各层测设地下控制点，各控制点的测量中误差不应超过±5mm，各层间应进行贯通测量。</w:t>
      </w:r>
    </w:p>
    <w:p>
      <w:pPr>
        <w:tabs>
          <w:tab w:val="left" w:pos="576"/>
          <w:tab w:val="left" w:pos="5835"/>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68" w:name="_Toc9575"/>
      <w:bookmarkStart w:id="69" w:name="_Toc6179"/>
      <w:bookmarkStart w:id="70" w:name="_Toc28191"/>
      <w:bookmarkStart w:id="71" w:name="_Toc27076"/>
      <w:bookmarkStart w:id="72" w:name="_Toc26033"/>
      <w:bookmarkStart w:id="73" w:name="_Toc14395"/>
      <w:r>
        <w:rPr>
          <w:rFonts w:hint="eastAsia" w:hAnsi="宋体"/>
          <w:b/>
          <w:color w:val="000000" w:themeColor="text1"/>
          <w:sz w:val="24"/>
          <w14:textFill>
            <w14:solidFill>
              <w14:schemeClr w14:val="tx1"/>
            </w14:solidFill>
          </w14:textFill>
        </w:rPr>
        <w:t>5.4  施工测量</w:t>
      </w:r>
      <w:bookmarkEnd w:id="68"/>
      <w:bookmarkEnd w:id="69"/>
      <w:bookmarkEnd w:id="70"/>
      <w:bookmarkEnd w:id="71"/>
      <w:bookmarkEnd w:id="72"/>
      <w:bookmarkEnd w:id="73"/>
    </w:p>
    <w:p>
      <w:pPr>
        <w:tabs>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5.4.1</w:t>
      </w:r>
      <w:r>
        <w:rPr>
          <w:rFonts w:hint="eastAsia" w:hAnsi="宋体"/>
          <w:color w:val="000000" w:themeColor="text1"/>
          <w:szCs w:val="21"/>
          <w14:textFill>
            <w14:solidFill>
              <w14:schemeClr w14:val="tx1"/>
            </w14:solidFill>
          </w14:textFill>
        </w:rPr>
        <w:t xml:space="preserve"> 地下车站施工竖井地面放样，应测设结构四角或十字轴线，放样后应进行检核。临时结构放样中误差应在±50mm之内，永久结构放样中误差应在±20mm之内。</w:t>
      </w:r>
    </w:p>
    <w:p>
      <w:pPr>
        <w:tabs>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5.4.2 </w:t>
      </w:r>
      <w:r>
        <w:rPr>
          <w:rFonts w:hint="eastAsia" w:hAnsi="宋体"/>
          <w:color w:val="000000" w:themeColor="text1"/>
          <w:szCs w:val="21"/>
          <w14:textFill>
            <w14:solidFill>
              <w14:schemeClr w14:val="tx1"/>
            </w14:solidFill>
          </w14:textFill>
        </w:rPr>
        <w:t>采用导洞法施工时，上层边孔拱部隧道和下层边孔隧道两侧各开挖到100m时，应进行上下层边孔隧道的贯通测量，其上下边孔隧道贯通中误差应在60mm之内。贯通测量后应进行上、下隧道线路中线的调整，并标定出隧道下层底板上的左、右线线路中线点和其他特征点。</w:t>
      </w:r>
    </w:p>
    <w:p>
      <w:pPr>
        <w:tabs>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5.4.3 </w:t>
      </w:r>
      <w:r>
        <w:rPr>
          <w:rFonts w:hint="eastAsia" w:hAnsi="宋体"/>
          <w:color w:val="000000" w:themeColor="text1"/>
          <w:szCs w:val="21"/>
          <w14:textFill>
            <w14:solidFill>
              <w14:schemeClr w14:val="tx1"/>
            </w14:solidFill>
          </w14:textFill>
        </w:rPr>
        <w:t>导洞内施作桩、梁等结构时，应利用施工导线测设壁、桩或梁柱的位置，其测量允许误差不应超过±5mm。</w:t>
      </w:r>
    </w:p>
    <w:p>
      <w:pPr>
        <w:tabs>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5.4.4 </w:t>
      </w:r>
      <w:r>
        <w:rPr>
          <w:rFonts w:hint="eastAsia" w:hAnsi="宋体"/>
          <w:color w:val="000000" w:themeColor="text1"/>
          <w:szCs w:val="21"/>
          <w14:textFill>
            <w14:solidFill>
              <w14:schemeClr w14:val="tx1"/>
            </w14:solidFill>
          </w14:textFill>
        </w:rPr>
        <w:t>车站钢管柱的位置，应根据车站线路中线点测定，其测设允许误差不应超过±3mm。钢管柱安装就位后，应对垂直度进行检核测量。</w:t>
      </w:r>
    </w:p>
    <w:p>
      <w:pPr>
        <w:tabs>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5.4.5 </w:t>
      </w:r>
      <w:r>
        <w:rPr>
          <w:rFonts w:hint="eastAsia" w:hAnsi="宋体"/>
          <w:color w:val="000000" w:themeColor="text1"/>
          <w:szCs w:val="21"/>
          <w14:textFill>
            <w14:solidFill>
              <w14:schemeClr w14:val="tx1"/>
            </w14:solidFill>
          </w14:textFill>
        </w:rPr>
        <w:t>进行车站结构二衬施工测量前，应先恢复上、下层隧道底板上的线路中线点和水准点，下层底板上恢复的线路中线点和水准点，应与车站两侧区间隧道的线路中线点进行贯通误差测量。根据现场情况需要进行下层底板上的线路中线点和水准点调整时，其调整幅度不宜超过5mm。</w:t>
      </w:r>
    </w:p>
    <w:p>
      <w:pPr>
        <w:tabs>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5.4.6</w:t>
      </w:r>
      <w:r>
        <w:rPr>
          <w:rFonts w:hint="eastAsia" w:hAnsi="宋体"/>
          <w:color w:val="000000" w:themeColor="text1"/>
          <w:szCs w:val="21"/>
          <w14:textFill>
            <w14:solidFill>
              <w14:schemeClr w14:val="tx1"/>
            </w14:solidFill>
          </w14:textFill>
        </w:rPr>
        <w:t xml:space="preserve"> 车站站台的结构施工，应使用调整的线路中线点和水准点。站台沿边线模板测设应以线路中线为依据，误差应为0mm～＋5mm。站台模板高程宜低于设计高程，测设误差为－5mm～0mm。</w:t>
      </w:r>
    </w:p>
    <w:p>
      <w:pPr>
        <w:tabs>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5.4.7 </w:t>
      </w:r>
      <w:r>
        <w:rPr>
          <w:rFonts w:hint="eastAsia" w:hAnsi="宋体"/>
          <w:color w:val="000000" w:themeColor="text1"/>
          <w:szCs w:val="21"/>
          <w14:textFill>
            <w14:solidFill>
              <w14:schemeClr w14:val="tx1"/>
            </w14:solidFill>
          </w14:textFill>
        </w:rPr>
        <w:t>隧道线路或结构中线测设应符合下列规定：</w:t>
      </w:r>
    </w:p>
    <w:p>
      <w:pPr>
        <w:tabs>
          <w:tab w:val="left" w:pos="851"/>
        </w:tabs>
        <w:snapToGrid w:val="0"/>
        <w:spacing w:line="360" w:lineRule="auto"/>
        <w:ind w:firstLine="361" w:firstLineChars="171"/>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1 </w:t>
      </w:r>
      <w:r>
        <w:rPr>
          <w:rFonts w:hint="eastAsia" w:hAnsi="宋体"/>
          <w:color w:val="000000" w:themeColor="text1"/>
          <w:szCs w:val="21"/>
          <w14:textFill>
            <w14:solidFill>
              <w14:schemeClr w14:val="tx1"/>
            </w14:solidFill>
          </w14:textFill>
        </w:rPr>
        <w:t>中线测设应以地下平面控制点或施工导线点为起算点，高程控制线测设应以地下高程控制点或施工高程点为起算点；</w:t>
      </w:r>
    </w:p>
    <w:p>
      <w:pPr>
        <w:tabs>
          <w:tab w:val="left" w:pos="851"/>
        </w:tabs>
        <w:snapToGrid w:val="0"/>
        <w:spacing w:line="360" w:lineRule="auto"/>
        <w:ind w:firstLine="361" w:firstLineChars="171"/>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2 </w:t>
      </w:r>
      <w:r>
        <w:rPr>
          <w:rFonts w:hint="eastAsia" w:hAnsi="宋体"/>
          <w:color w:val="000000" w:themeColor="text1"/>
          <w:szCs w:val="21"/>
          <w14:textFill>
            <w14:solidFill>
              <w14:schemeClr w14:val="tx1"/>
            </w14:solidFill>
          </w14:textFill>
        </w:rPr>
        <w:t>中线测量宜采用不低于Ⅲ级全站仪，高程控制线宜采用不低于DS3级的水准仪测定。隧道每掘进30m～50m应重新标定中线和高程控制线，标定后应进行检查；</w:t>
      </w:r>
    </w:p>
    <w:p>
      <w:pPr>
        <w:tabs>
          <w:tab w:val="left" w:pos="851"/>
        </w:tabs>
        <w:snapToGrid w:val="0"/>
        <w:spacing w:line="360" w:lineRule="auto"/>
        <w:ind w:firstLine="361" w:firstLineChars="171"/>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3 </w:t>
      </w:r>
      <w:r>
        <w:rPr>
          <w:rFonts w:hint="eastAsia" w:hAnsi="宋体"/>
          <w:color w:val="000000" w:themeColor="text1"/>
          <w:szCs w:val="21"/>
          <w14:textFill>
            <w14:solidFill>
              <w14:schemeClr w14:val="tx1"/>
            </w14:solidFill>
          </w14:textFill>
        </w:rPr>
        <w:t>曲线隧道施工用采用全站仪极坐标法进行曲线要素点和加密的曲线点测设；</w:t>
      </w:r>
    </w:p>
    <w:p>
      <w:pPr>
        <w:tabs>
          <w:tab w:val="left" w:pos="851"/>
        </w:tabs>
        <w:snapToGrid w:val="0"/>
        <w:spacing w:line="360" w:lineRule="auto"/>
        <w:ind w:firstLine="361" w:firstLineChars="171"/>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4</w:t>
      </w:r>
      <w:r>
        <w:rPr>
          <w:rFonts w:hint="eastAsia" w:hAnsi="宋体"/>
          <w:color w:val="000000" w:themeColor="text1"/>
          <w:szCs w:val="21"/>
          <w14:textFill>
            <w14:solidFill>
              <w14:schemeClr w14:val="tx1"/>
            </w14:solidFill>
          </w14:textFill>
        </w:rPr>
        <w:t xml:space="preserve"> 混凝土结构施工中，测设点间形成的弦线与对应的曲线矢距应小于10mm。</w:t>
      </w:r>
    </w:p>
    <w:p>
      <w:pPr>
        <w:tabs>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5.4.8 </w:t>
      </w:r>
      <w:r>
        <w:rPr>
          <w:rFonts w:hint="eastAsia" w:hAnsi="宋体"/>
          <w:color w:val="000000" w:themeColor="text1"/>
          <w:szCs w:val="21"/>
          <w14:textFill>
            <w14:solidFill>
              <w14:schemeClr w14:val="tx1"/>
            </w14:solidFill>
          </w14:textFill>
        </w:rPr>
        <w:t>利用激光指向仪指导隧道掘进时，应符合下列规定：</w:t>
      </w:r>
    </w:p>
    <w:p>
      <w:pPr>
        <w:tabs>
          <w:tab w:val="left" w:pos="851"/>
        </w:tabs>
        <w:snapToGrid w:val="0"/>
        <w:spacing w:line="360" w:lineRule="auto"/>
        <w:ind w:firstLine="361" w:firstLineChars="171"/>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1 </w:t>
      </w:r>
      <w:r>
        <w:rPr>
          <w:rFonts w:hint="eastAsia" w:hAnsi="宋体"/>
          <w:color w:val="000000" w:themeColor="text1"/>
          <w:szCs w:val="21"/>
          <w14:textFill>
            <w14:solidFill>
              <w14:schemeClr w14:val="tx1"/>
            </w14:solidFill>
          </w14:textFill>
        </w:rPr>
        <w:t>激光指向仪设置的位置和光束方向，应根据中线和高程控制线设定；</w:t>
      </w:r>
    </w:p>
    <w:p>
      <w:pPr>
        <w:tabs>
          <w:tab w:val="left" w:pos="851"/>
        </w:tabs>
        <w:snapToGrid w:val="0"/>
        <w:spacing w:line="360" w:lineRule="auto"/>
        <w:ind w:firstLine="361" w:firstLineChars="171"/>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2 </w:t>
      </w:r>
      <w:r>
        <w:rPr>
          <w:rFonts w:hint="eastAsia" w:hAnsi="宋体"/>
          <w:color w:val="000000" w:themeColor="text1"/>
          <w:szCs w:val="21"/>
          <w14:textFill>
            <w14:solidFill>
              <w14:schemeClr w14:val="tx1"/>
            </w14:solidFill>
          </w14:textFill>
        </w:rPr>
        <w:t>仪器设置应安全牢固，激光指向仪距工作面的距离不应小于30m；</w:t>
      </w:r>
    </w:p>
    <w:p>
      <w:pPr>
        <w:tabs>
          <w:tab w:val="left" w:pos="851"/>
        </w:tabs>
        <w:snapToGrid w:val="0"/>
        <w:spacing w:line="360" w:lineRule="auto"/>
        <w:ind w:firstLine="361" w:firstLineChars="171"/>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3 </w:t>
      </w:r>
      <w:r>
        <w:rPr>
          <w:rFonts w:hint="eastAsia" w:hAnsi="宋体"/>
          <w:color w:val="000000" w:themeColor="text1"/>
          <w:szCs w:val="21"/>
          <w14:textFill>
            <w14:solidFill>
              <w14:schemeClr w14:val="tx1"/>
            </w14:solidFill>
          </w14:textFill>
        </w:rPr>
        <w:t>隧道掘进中，应定期检查激光指向仪位置的正确性，并对光束进行校正。</w:t>
      </w:r>
    </w:p>
    <w:p>
      <w:pPr>
        <w:tabs>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5.4.9</w:t>
      </w:r>
      <w:r>
        <w:rPr>
          <w:rFonts w:hint="eastAsia" w:hAnsi="宋体"/>
          <w:color w:val="000000" w:themeColor="text1"/>
          <w:szCs w:val="21"/>
          <w14:textFill>
            <w14:solidFill>
              <w14:schemeClr w14:val="tx1"/>
            </w14:solidFill>
          </w14:textFill>
        </w:rPr>
        <w:t xml:space="preserve">  暗挖隧道初期支护的超前导管、管棚、格栅拱架及喷射混凝土结构应以中线为依据进行放样，其允许误差不应超过±20mm。</w:t>
      </w:r>
    </w:p>
    <w:p>
      <w:pPr>
        <w:tabs>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5.4.10</w:t>
      </w:r>
      <w:r>
        <w:rPr>
          <w:rFonts w:hint="eastAsia" w:hAnsi="宋体"/>
          <w:color w:val="000000" w:themeColor="text1"/>
          <w:szCs w:val="21"/>
          <w14:textFill>
            <w14:solidFill>
              <w14:schemeClr w14:val="tx1"/>
            </w14:solidFill>
          </w14:textFill>
        </w:rPr>
        <w:t xml:space="preserve"> 二衬施工测量应符合下列规定：</w:t>
      </w:r>
    </w:p>
    <w:p>
      <w:pPr>
        <w:tabs>
          <w:tab w:val="left" w:pos="851"/>
        </w:tabs>
        <w:snapToGrid w:val="0"/>
        <w:spacing w:line="360" w:lineRule="auto"/>
        <w:ind w:firstLine="361" w:firstLineChars="171"/>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1</w:t>
      </w:r>
      <w:r>
        <w:rPr>
          <w:rFonts w:hint="eastAsia" w:hAnsi="宋体"/>
          <w:color w:val="000000" w:themeColor="text1"/>
          <w:szCs w:val="21"/>
          <w14:textFill>
            <w14:solidFill>
              <w14:schemeClr w14:val="tx1"/>
            </w14:solidFill>
          </w14:textFill>
        </w:rPr>
        <w:t xml:space="preserve"> 仰供回填后，应及时将初支上的控制点引测到二衬底板上，引测按精密导线和二等水准的观测要求进行。</w:t>
      </w:r>
    </w:p>
    <w:p>
      <w:pPr>
        <w:tabs>
          <w:tab w:val="left" w:pos="851"/>
        </w:tabs>
        <w:snapToGrid w:val="0"/>
        <w:spacing w:line="360" w:lineRule="auto"/>
        <w:ind w:firstLine="361" w:firstLineChars="171"/>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2</w:t>
      </w:r>
      <w:r>
        <w:rPr>
          <w:rFonts w:hAnsi="宋体"/>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二衬结构中线及高程控制点测设应以平差后的地下控制点作为依据，其允许误差不应超过±10mm；</w:t>
      </w:r>
    </w:p>
    <w:p>
      <w:pPr>
        <w:tabs>
          <w:tab w:val="left" w:pos="851"/>
        </w:tabs>
        <w:snapToGrid w:val="0"/>
        <w:spacing w:line="360" w:lineRule="auto"/>
        <w:ind w:firstLine="361" w:firstLineChars="171"/>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3</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用台车浇筑隧道边墙二衬结构时，台车两端的中心线与中线偏离允许误差应在±5mm之内。曲线段台车长度与其相应曲线的矢距不大于5mm时，台车长度可替代曲线长度。台车两端隧道结构断面中心点的高程，应采用直接水准测设，与其相应里程的设计高程偏差应小于5mm；</w:t>
      </w:r>
    </w:p>
    <w:p>
      <w:pPr>
        <w:numPr>
          <w:ilvl w:val="255"/>
          <w:numId w:val="0"/>
        </w:numPr>
        <w:tabs>
          <w:tab w:val="left" w:pos="851"/>
        </w:tabs>
        <w:snapToGrid w:val="0"/>
        <w:spacing w:line="360" w:lineRule="auto"/>
        <w:ind w:firstLine="361" w:firstLineChars="171"/>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4 </w:t>
      </w:r>
      <w:r>
        <w:rPr>
          <w:rFonts w:hint="eastAsia" w:hAnsi="宋体"/>
          <w:color w:val="000000" w:themeColor="text1"/>
          <w:szCs w:val="21"/>
          <w14:textFill>
            <w14:solidFill>
              <w14:schemeClr w14:val="tx1"/>
            </w14:solidFill>
          </w14:textFill>
        </w:rPr>
        <w:t>在隧道未贯通前进行二衬施工时，应采取增加控制点测量次数（联系测量和控制点复测）、钻孔投点以及加测陀螺方位等方法，提高现有控制点的精度，并以其调整中线和高程控制线。应预留不小于150m长度的隧道不得进行二衬施工，作为贯通误差调整段，预留段贯通后，应以平差后的控制点为依据进行二衬施工测量。</w:t>
      </w:r>
    </w:p>
    <w:p>
      <w:pPr>
        <w:tabs>
          <w:tab w:val="left" w:pos="576"/>
          <w:tab w:val="left" w:pos="5835"/>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74" w:name="_Toc17794"/>
      <w:bookmarkStart w:id="75" w:name="_Toc21580"/>
      <w:bookmarkStart w:id="76" w:name="_Toc3037"/>
      <w:bookmarkStart w:id="77" w:name="_Toc4801"/>
      <w:bookmarkStart w:id="78" w:name="_Toc22329"/>
      <w:bookmarkStart w:id="79" w:name="_Toc26806"/>
      <w:r>
        <w:rPr>
          <w:rFonts w:hint="eastAsia" w:hAnsi="宋体"/>
          <w:b/>
          <w:color w:val="000000" w:themeColor="text1"/>
          <w:sz w:val="24"/>
          <w14:textFill>
            <w14:solidFill>
              <w14:schemeClr w14:val="tx1"/>
            </w14:solidFill>
          </w14:textFill>
        </w:rPr>
        <w:t>5.5  贯通测量</w:t>
      </w:r>
      <w:bookmarkEnd w:id="74"/>
      <w:bookmarkEnd w:id="75"/>
      <w:bookmarkEnd w:id="76"/>
      <w:bookmarkEnd w:id="77"/>
      <w:bookmarkEnd w:id="78"/>
      <w:bookmarkEnd w:id="79"/>
    </w:p>
    <w:p>
      <w:pPr>
        <w:tabs>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5.5.1 </w:t>
      </w:r>
      <w:r>
        <w:rPr>
          <w:rFonts w:hint="eastAsia" w:ascii="宋体" w:hAnsi="宋体"/>
          <w:color w:val="000000" w:themeColor="text1"/>
          <w:szCs w:val="21"/>
          <w14:textFill>
            <w14:solidFill>
              <w14:schemeClr w14:val="tx1"/>
            </w14:solidFill>
          </w14:textFill>
        </w:rPr>
        <w:t>平面贯通误差测量应符合下列规定：</w:t>
      </w:r>
    </w:p>
    <w:p>
      <w:pPr>
        <w:tabs>
          <w:tab w:val="left" w:pos="851"/>
        </w:tabs>
        <w:snapToGrid w:val="0"/>
        <w:spacing w:line="360" w:lineRule="auto"/>
        <w:ind w:firstLine="361" w:firstLineChars="171"/>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1</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平面贯通误差测量应测定隧道和车站贯通面上的</w:t>
      </w:r>
      <w:r>
        <w:rPr>
          <w:rFonts w:hAnsi="宋体"/>
          <w:color w:val="000000" w:themeColor="text1"/>
          <w:szCs w:val="21"/>
          <w14:textFill>
            <w14:solidFill>
              <w14:schemeClr w14:val="tx1"/>
            </w14:solidFill>
          </w14:textFill>
        </w:rPr>
        <w:t>纵向、横向和方位角</w:t>
      </w:r>
      <w:r>
        <w:rPr>
          <w:rFonts w:hint="eastAsia" w:hAnsi="宋体"/>
          <w:color w:val="000000" w:themeColor="text1"/>
          <w:szCs w:val="21"/>
          <w14:textFill>
            <w14:solidFill>
              <w14:schemeClr w14:val="tx1"/>
            </w14:solidFill>
          </w14:textFill>
        </w:rPr>
        <w:t>的</w:t>
      </w:r>
      <w:r>
        <w:rPr>
          <w:rFonts w:hAnsi="宋体"/>
          <w:color w:val="000000" w:themeColor="text1"/>
          <w:szCs w:val="21"/>
          <w14:textFill>
            <w14:solidFill>
              <w14:schemeClr w14:val="tx1"/>
            </w14:solidFill>
          </w14:textFill>
        </w:rPr>
        <w:t>贯通误差</w:t>
      </w:r>
      <w:r>
        <w:rPr>
          <w:rFonts w:hint="eastAsia" w:hAnsi="宋体"/>
          <w:color w:val="000000" w:themeColor="text1"/>
          <w:szCs w:val="21"/>
          <w14:textFill>
            <w14:solidFill>
              <w14:schemeClr w14:val="tx1"/>
            </w14:solidFill>
          </w14:textFill>
        </w:rPr>
        <w:t>；</w:t>
      </w:r>
    </w:p>
    <w:p>
      <w:pPr>
        <w:tabs>
          <w:tab w:val="left" w:pos="851"/>
        </w:tabs>
        <w:snapToGrid w:val="0"/>
        <w:spacing w:line="360" w:lineRule="auto"/>
        <w:ind w:firstLine="361" w:firstLineChars="171"/>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2</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平面贯通误差应利用贯通面两侧的平面测量</w:t>
      </w:r>
      <w:r>
        <w:rPr>
          <w:rFonts w:hAnsi="宋体"/>
          <w:color w:val="000000" w:themeColor="text1"/>
          <w:szCs w:val="21"/>
          <w14:textFill>
            <w14:solidFill>
              <w14:schemeClr w14:val="tx1"/>
            </w14:solidFill>
          </w14:textFill>
        </w:rPr>
        <w:t>控制</w:t>
      </w:r>
      <w:r>
        <w:rPr>
          <w:rFonts w:hint="eastAsia" w:hAnsi="宋体"/>
          <w:color w:val="000000" w:themeColor="text1"/>
          <w:szCs w:val="21"/>
          <w14:textFill>
            <w14:solidFill>
              <w14:schemeClr w14:val="tx1"/>
            </w14:solidFill>
          </w14:textFill>
        </w:rPr>
        <w:t>点分别测量，应根据贯通面上同一点坐标和方位角不符值计算隧道和车站</w:t>
      </w:r>
      <w:r>
        <w:rPr>
          <w:rFonts w:hAnsi="宋体"/>
          <w:color w:val="000000" w:themeColor="text1"/>
          <w:szCs w:val="21"/>
          <w14:textFill>
            <w14:solidFill>
              <w14:schemeClr w14:val="tx1"/>
            </w14:solidFill>
          </w14:textFill>
        </w:rPr>
        <w:t>的纵向、横向和方位角贯通测量误差</w:t>
      </w:r>
      <w:r>
        <w:rPr>
          <w:rFonts w:hint="eastAsia" w:hAnsi="宋体"/>
          <w:color w:val="000000" w:themeColor="text1"/>
          <w:szCs w:val="21"/>
          <w14:textFill>
            <w14:solidFill>
              <w14:schemeClr w14:val="tx1"/>
            </w14:solidFill>
          </w14:textFill>
        </w:rPr>
        <w:t>。</w:t>
      </w:r>
    </w:p>
    <w:p>
      <w:pPr>
        <w:tabs>
          <w:tab w:val="left" w:pos="5835"/>
        </w:tabs>
        <w:snapToGrid w:val="0"/>
        <w:spacing w:line="360" w:lineRule="auto"/>
        <w:jc w:val="left"/>
        <w:rPr>
          <w:rFonts w:ascii="宋体"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5.5.2</w:t>
      </w:r>
      <w:r>
        <w:rPr>
          <w:rFonts w:hint="eastAsia" w:ascii="宋体" w:hAnsi="宋体"/>
          <w:color w:val="000000" w:themeColor="text1"/>
          <w:szCs w:val="21"/>
          <w14:textFill>
            <w14:solidFill>
              <w14:schemeClr w14:val="tx1"/>
            </w14:solidFill>
          </w14:textFill>
        </w:rPr>
        <w:t xml:space="preserve"> 高程贯通误差测量应符合下列规定：</w:t>
      </w:r>
    </w:p>
    <w:p>
      <w:pPr>
        <w:tabs>
          <w:tab w:val="left" w:pos="851"/>
        </w:tabs>
        <w:snapToGrid w:val="0"/>
        <w:spacing w:line="360" w:lineRule="auto"/>
        <w:ind w:firstLine="361" w:firstLineChars="171"/>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1</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高程贯通误差测量应测定隧道和车站</w:t>
      </w:r>
      <w:r>
        <w:rPr>
          <w:rFonts w:hAnsi="宋体"/>
          <w:color w:val="000000" w:themeColor="text1"/>
          <w:szCs w:val="21"/>
          <w14:textFill>
            <w14:solidFill>
              <w14:schemeClr w14:val="tx1"/>
            </w14:solidFill>
          </w14:textFill>
        </w:rPr>
        <w:t>贯通面</w:t>
      </w:r>
      <w:r>
        <w:rPr>
          <w:rFonts w:hint="eastAsia" w:hAnsi="宋体"/>
          <w:color w:val="000000" w:themeColor="text1"/>
          <w:szCs w:val="21"/>
          <w14:textFill>
            <w14:solidFill>
              <w14:schemeClr w14:val="tx1"/>
            </w14:solidFill>
          </w14:textFill>
        </w:rPr>
        <w:t>上</w:t>
      </w:r>
      <w:r>
        <w:rPr>
          <w:rFonts w:hAnsi="宋体"/>
          <w:color w:val="000000" w:themeColor="text1"/>
          <w:szCs w:val="21"/>
          <w14:textFill>
            <w14:solidFill>
              <w14:schemeClr w14:val="tx1"/>
            </w14:solidFill>
          </w14:textFill>
        </w:rPr>
        <w:t>同一</w:t>
      </w:r>
      <w:r>
        <w:rPr>
          <w:rFonts w:hint="eastAsia" w:hAnsi="宋体"/>
          <w:color w:val="000000" w:themeColor="text1"/>
          <w:szCs w:val="21"/>
          <w14:textFill>
            <w14:solidFill>
              <w14:schemeClr w14:val="tx1"/>
            </w14:solidFill>
          </w14:textFill>
        </w:rPr>
        <w:t>临时</w:t>
      </w:r>
      <w:r>
        <w:rPr>
          <w:rFonts w:hAnsi="宋体"/>
          <w:color w:val="000000" w:themeColor="text1"/>
          <w:szCs w:val="21"/>
          <w14:textFill>
            <w14:solidFill>
              <w14:schemeClr w14:val="tx1"/>
            </w14:solidFill>
          </w14:textFill>
        </w:rPr>
        <w:t>点的高程较差</w:t>
      </w:r>
      <w:r>
        <w:rPr>
          <w:rFonts w:hint="eastAsia" w:hAnsi="宋体"/>
          <w:color w:val="000000" w:themeColor="text1"/>
          <w:szCs w:val="21"/>
          <w14:textFill>
            <w14:solidFill>
              <w14:schemeClr w14:val="tx1"/>
            </w14:solidFill>
          </w14:textFill>
        </w:rPr>
        <w:t>；</w:t>
      </w:r>
    </w:p>
    <w:p>
      <w:pPr>
        <w:tabs>
          <w:tab w:val="left" w:pos="851"/>
        </w:tabs>
        <w:snapToGrid w:val="0"/>
        <w:spacing w:line="360" w:lineRule="auto"/>
        <w:ind w:firstLine="361" w:firstLineChars="171"/>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2</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进行高程贯通误差测量时，应利用贯通面两侧的高程测量控制点，分别</w:t>
      </w:r>
      <w:r>
        <w:rPr>
          <w:rFonts w:hAnsi="宋体"/>
          <w:color w:val="000000" w:themeColor="text1"/>
          <w:szCs w:val="21"/>
          <w14:textFill>
            <w14:solidFill>
              <w14:schemeClr w14:val="tx1"/>
            </w14:solidFill>
          </w14:textFill>
        </w:rPr>
        <w:t>测定贯通面</w:t>
      </w:r>
      <w:r>
        <w:rPr>
          <w:rFonts w:hint="eastAsia" w:hAnsi="宋体"/>
          <w:color w:val="000000" w:themeColor="text1"/>
          <w:szCs w:val="21"/>
          <w14:textFill>
            <w14:solidFill>
              <w14:schemeClr w14:val="tx1"/>
            </w14:solidFill>
          </w14:textFill>
        </w:rPr>
        <w:t>上</w:t>
      </w:r>
      <w:r>
        <w:rPr>
          <w:rFonts w:hAnsi="宋体"/>
          <w:color w:val="000000" w:themeColor="text1"/>
          <w:szCs w:val="21"/>
          <w14:textFill>
            <w14:solidFill>
              <w14:schemeClr w14:val="tx1"/>
            </w14:solidFill>
          </w14:textFill>
        </w:rPr>
        <w:t>同一</w:t>
      </w:r>
      <w:r>
        <w:rPr>
          <w:rFonts w:hint="eastAsia" w:hAnsi="宋体"/>
          <w:color w:val="000000" w:themeColor="text1"/>
          <w:szCs w:val="21"/>
          <w14:textFill>
            <w14:solidFill>
              <w14:schemeClr w14:val="tx1"/>
            </w14:solidFill>
          </w14:textFill>
        </w:rPr>
        <w:t>个临时点</w:t>
      </w:r>
      <w:r>
        <w:rPr>
          <w:rFonts w:hAnsi="宋体"/>
          <w:color w:val="000000" w:themeColor="text1"/>
          <w:szCs w:val="21"/>
          <w14:textFill>
            <w14:solidFill>
              <w14:schemeClr w14:val="tx1"/>
            </w14:solidFill>
          </w14:textFill>
        </w:rPr>
        <w:t>的高程</w:t>
      </w:r>
      <w:r>
        <w:rPr>
          <w:rFonts w:hint="eastAsia" w:hAnsi="宋体"/>
          <w:color w:val="000000" w:themeColor="text1"/>
          <w:szCs w:val="21"/>
          <w14:textFill>
            <w14:solidFill>
              <w14:schemeClr w14:val="tx1"/>
            </w14:solidFill>
          </w14:textFill>
        </w:rPr>
        <w:t>，并计算出</w:t>
      </w:r>
      <w:r>
        <w:rPr>
          <w:rFonts w:hAnsi="宋体"/>
          <w:color w:val="000000" w:themeColor="text1"/>
          <w:szCs w:val="21"/>
          <w14:textFill>
            <w14:solidFill>
              <w14:schemeClr w14:val="tx1"/>
            </w14:solidFill>
          </w14:textFill>
        </w:rPr>
        <w:t>高程较差</w:t>
      </w:r>
      <w:r>
        <w:rPr>
          <w:rFonts w:hint="eastAsia" w:hAnsi="宋体"/>
          <w:color w:val="000000" w:themeColor="text1"/>
          <w:szCs w:val="21"/>
          <w14:textFill>
            <w14:solidFill>
              <w14:schemeClr w14:val="tx1"/>
            </w14:solidFill>
          </w14:textFill>
        </w:rPr>
        <w:t>。</w:t>
      </w:r>
    </w:p>
    <w:p>
      <w:pPr>
        <w:tabs>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5.5.3 </w:t>
      </w:r>
      <w:r>
        <w:rPr>
          <w:rFonts w:hint="eastAsia" w:ascii="宋体" w:hAnsi="宋体"/>
          <w:color w:val="000000" w:themeColor="text1"/>
          <w:szCs w:val="21"/>
          <w14:textFill>
            <w14:solidFill>
              <w14:schemeClr w14:val="tx1"/>
            </w14:solidFill>
          </w14:textFill>
        </w:rPr>
        <w:t>贯通误差测量方法和精度要求应符合现行国家标准《城市轨道交通工程测量规范》GB/T 50308的规定。</w:t>
      </w:r>
    </w:p>
    <w:p>
      <w:pPr>
        <w:pageBreakBefore/>
        <w:numPr>
          <w:ilvl w:val="0"/>
          <w:numId w:val="2"/>
        </w:numPr>
        <w:tabs>
          <w:tab w:val="left" w:pos="360"/>
          <w:tab w:val="clear" w:pos="5835"/>
        </w:tabs>
        <w:adjustRightInd w:val="0"/>
        <w:snapToGrid w:val="0"/>
        <w:spacing w:before="312" w:beforeLines="100" w:after="312" w:afterLines="100" w:line="360" w:lineRule="auto"/>
        <w:ind w:left="4825" w:hanging="4825"/>
        <w:jc w:val="center"/>
        <w:outlineLvl w:val="0"/>
        <w:rPr>
          <w:b/>
          <w:color w:val="000000" w:themeColor="text1"/>
          <w:sz w:val="28"/>
          <w:szCs w:val="28"/>
          <w14:textFill>
            <w14:solidFill>
              <w14:schemeClr w14:val="tx1"/>
            </w14:solidFill>
          </w14:textFill>
        </w:rPr>
      </w:pPr>
      <w:bookmarkStart w:id="80" w:name="_Toc16785"/>
      <w:bookmarkStart w:id="81" w:name="_Toc21506038"/>
      <w:bookmarkStart w:id="82" w:name="_Toc21120_WPSOffice_Level1"/>
      <w:bookmarkStart w:id="83" w:name="_Toc32206"/>
      <w:bookmarkStart w:id="84" w:name="_Toc26444"/>
      <w:bookmarkStart w:id="85" w:name="_Toc11693"/>
      <w:bookmarkStart w:id="86" w:name="_Toc11540"/>
      <w:bookmarkStart w:id="87" w:name="_Toc28517"/>
      <w:r>
        <w:rPr>
          <w:rFonts w:hint="eastAsia"/>
          <w:b/>
          <w:color w:val="000000" w:themeColor="text1"/>
          <w:sz w:val="28"/>
          <w:szCs w:val="28"/>
          <w14:textFill>
            <w14:solidFill>
              <w14:schemeClr w14:val="tx1"/>
            </w14:solidFill>
          </w14:textFill>
        </w:rPr>
        <w:t>地下水控制</w:t>
      </w:r>
      <w:bookmarkEnd w:id="80"/>
      <w:bookmarkEnd w:id="81"/>
      <w:bookmarkEnd w:id="82"/>
      <w:bookmarkEnd w:id="83"/>
      <w:bookmarkEnd w:id="84"/>
      <w:bookmarkEnd w:id="85"/>
      <w:bookmarkEnd w:id="86"/>
      <w:bookmarkEnd w:id="87"/>
    </w:p>
    <w:p>
      <w:pPr>
        <w:tabs>
          <w:tab w:val="left" w:pos="576"/>
          <w:tab w:val="left" w:pos="5835"/>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88" w:name="_Toc8039"/>
      <w:bookmarkStart w:id="89" w:name="_Toc14493"/>
      <w:bookmarkStart w:id="90" w:name="_Toc21358"/>
      <w:bookmarkStart w:id="91" w:name="_Toc9176_WPSOffice_Level2"/>
      <w:bookmarkStart w:id="92" w:name="_Toc15044"/>
      <w:bookmarkStart w:id="93" w:name="_Toc25244"/>
      <w:bookmarkStart w:id="94" w:name="_Toc2503"/>
      <w:bookmarkStart w:id="95" w:name="_Toc21506039"/>
      <w:r>
        <w:rPr>
          <w:rFonts w:hint="eastAsia" w:hAnsi="宋体"/>
          <w:b/>
          <w:color w:val="000000" w:themeColor="text1"/>
          <w:sz w:val="24"/>
          <w14:textFill>
            <w14:solidFill>
              <w14:schemeClr w14:val="tx1"/>
            </w14:solidFill>
          </w14:textFill>
        </w:rPr>
        <w:t>6.1  一般规定</w:t>
      </w:r>
      <w:bookmarkEnd w:id="88"/>
      <w:bookmarkEnd w:id="89"/>
      <w:bookmarkEnd w:id="90"/>
      <w:bookmarkEnd w:id="91"/>
      <w:bookmarkEnd w:id="92"/>
      <w:bookmarkEnd w:id="93"/>
      <w:bookmarkEnd w:id="94"/>
      <w:bookmarkEnd w:id="95"/>
    </w:p>
    <w:p>
      <w:pPr>
        <w:adjustRightInd w:val="0"/>
        <w:snapToGrid w:val="0"/>
        <w:spacing w:line="360" w:lineRule="auto"/>
        <w:jc w:val="left"/>
        <w:rPr>
          <w:bCs/>
          <w:color w:val="000000" w:themeColor="text1"/>
          <w14:textFill>
            <w14:solidFill>
              <w14:schemeClr w14:val="tx1"/>
            </w14:solidFill>
          </w14:textFill>
        </w:rPr>
      </w:pPr>
      <w:r>
        <w:rPr>
          <w:b/>
          <w:color w:val="000000" w:themeColor="text1"/>
          <w14:textFill>
            <w14:solidFill>
              <w14:schemeClr w14:val="tx1"/>
            </w14:solidFill>
          </w14:textFill>
        </w:rPr>
        <w:t xml:space="preserve">6.1.1 </w:t>
      </w:r>
      <w:r>
        <w:rPr>
          <w:rFonts w:hint="eastAsia"/>
          <w:bCs/>
          <w:color w:val="000000" w:themeColor="text1"/>
          <w14:textFill>
            <w14:solidFill>
              <w14:schemeClr w14:val="tx1"/>
            </w14:solidFill>
          </w14:textFill>
        </w:rPr>
        <w:t>地下水控制应节约、保护地下水环境，防止对地下水的污染，并应符合国家和北京市的有关规定。暗挖法施工隧道、车站应在无水条件下进行，采取降水或止水措施时，应符合本规程的规定。</w:t>
      </w:r>
    </w:p>
    <w:p>
      <w:pPr>
        <w:adjustRightInd w:val="0"/>
        <w:snapToGrid w:val="0"/>
        <w:spacing w:line="360" w:lineRule="auto"/>
        <w:jc w:val="left"/>
        <w:rPr>
          <w:bCs/>
          <w:color w:val="000000" w:themeColor="text1"/>
          <w14:textFill>
            <w14:solidFill>
              <w14:schemeClr w14:val="tx1"/>
            </w14:solidFill>
          </w14:textFill>
        </w:rPr>
      </w:pPr>
      <w:r>
        <w:rPr>
          <w:rFonts w:hint="eastAsia"/>
          <w:b/>
          <w:color w:val="000000" w:themeColor="text1"/>
          <w14:textFill>
            <w14:solidFill>
              <w14:schemeClr w14:val="tx1"/>
            </w14:solidFill>
          </w14:textFill>
        </w:rPr>
        <w:t xml:space="preserve">6.1.2 </w:t>
      </w:r>
      <w:r>
        <w:rPr>
          <w:rFonts w:hint="eastAsia"/>
          <w:bCs/>
          <w:color w:val="000000" w:themeColor="text1"/>
          <w14:textFill>
            <w14:solidFill>
              <w14:schemeClr w14:val="tx1"/>
            </w14:solidFill>
          </w14:textFill>
        </w:rPr>
        <w:t xml:space="preserve">地下水控制应与地层加固统筹考虑，并应遵循以堵为主、洞内引排为辅、综合治理的原则。降水施工应按北京市有关规定审批后方可实施。 </w:t>
      </w:r>
    </w:p>
    <w:p>
      <w:pPr>
        <w:adjustRightInd w:val="0"/>
        <w:snapToGrid w:val="0"/>
        <w:spacing w:line="360" w:lineRule="auto"/>
        <w:jc w:val="left"/>
        <w:rPr>
          <w:color w:val="000000" w:themeColor="text1"/>
          <w14:textFill>
            <w14:solidFill>
              <w14:schemeClr w14:val="tx1"/>
            </w14:solidFill>
          </w14:textFill>
        </w:rPr>
      </w:pPr>
      <w:r>
        <w:rPr>
          <w:rFonts w:hint="eastAsia"/>
          <w:b/>
          <w:color w:val="000000" w:themeColor="text1"/>
          <w14:textFill>
            <w14:solidFill>
              <w14:schemeClr w14:val="tx1"/>
            </w14:solidFill>
          </w14:textFill>
        </w:rPr>
        <w:t xml:space="preserve">6.1.3 </w:t>
      </w:r>
      <w:r>
        <w:rPr>
          <w:rFonts w:hint="eastAsia"/>
          <w:color w:val="000000" w:themeColor="text1"/>
          <w14:textFill>
            <w14:solidFill>
              <w14:schemeClr w14:val="tx1"/>
            </w14:solidFill>
          </w14:textFill>
        </w:rPr>
        <w:t>地下水控制应符合下列规定：</w:t>
      </w:r>
    </w:p>
    <w:p>
      <w:pPr>
        <w:adjustRightInd w:val="0"/>
        <w:snapToGrid w:val="0"/>
        <w:spacing w:line="360" w:lineRule="auto"/>
        <w:ind w:firstLine="422" w:firstLineChars="200"/>
        <w:rPr>
          <w:color w:val="000000" w:themeColor="text1"/>
          <w:szCs w:val="21"/>
          <w14:textFill>
            <w14:solidFill>
              <w14:schemeClr w14:val="tx1"/>
            </w14:solidFill>
          </w14:textFill>
        </w:rPr>
      </w:pPr>
      <w:r>
        <w:rPr>
          <w:b/>
          <w:color w:val="000000" w:themeColor="text1"/>
          <w14:textFill>
            <w14:solidFill>
              <w14:schemeClr w14:val="tx1"/>
            </w14:solidFill>
          </w14:textFill>
        </w:rPr>
        <w:t xml:space="preserve">1 </w:t>
      </w:r>
      <w:r>
        <w:rPr>
          <w:rFonts w:hint="eastAsia"/>
          <w:color w:val="000000" w:themeColor="text1"/>
          <w:szCs w:val="21"/>
          <w14:textFill>
            <w14:solidFill>
              <w14:schemeClr w14:val="tx1"/>
            </w14:solidFill>
          </w14:textFill>
        </w:rPr>
        <w:t>竖井、隧道和车站土方开挖、支护和结构的正常施工；</w:t>
      </w:r>
    </w:p>
    <w:p>
      <w:pPr>
        <w:adjustRightInd w:val="0"/>
        <w:snapToGrid w:val="0"/>
        <w:spacing w:line="360" w:lineRule="auto"/>
        <w:ind w:firstLine="422" w:firstLineChars="200"/>
        <w:rPr>
          <w:color w:val="000000" w:themeColor="text1"/>
          <w:szCs w:val="21"/>
          <w14:textFill>
            <w14:solidFill>
              <w14:schemeClr w14:val="tx1"/>
            </w14:solidFill>
          </w14:textFill>
        </w:rPr>
      </w:pPr>
      <w:r>
        <w:rPr>
          <w:b/>
          <w:color w:val="000000" w:themeColor="text1"/>
          <w14:textFill>
            <w14:solidFill>
              <w14:schemeClr w14:val="tx1"/>
            </w14:solidFill>
          </w14:textFill>
        </w:rPr>
        <w:t xml:space="preserve">2 </w:t>
      </w:r>
      <w:r>
        <w:rPr>
          <w:rFonts w:hint="eastAsia"/>
          <w:color w:val="000000" w:themeColor="text1"/>
          <w:szCs w:val="21"/>
          <w14:textFill>
            <w14:solidFill>
              <w14:schemeClr w14:val="tx1"/>
            </w14:solidFill>
          </w14:textFill>
        </w:rPr>
        <w:t>竖井、隧道、车站和周边环境不受损害；</w:t>
      </w:r>
    </w:p>
    <w:p>
      <w:pPr>
        <w:adjustRightInd w:val="0"/>
        <w:snapToGrid w:val="0"/>
        <w:spacing w:line="360" w:lineRule="auto"/>
        <w:ind w:firstLine="422" w:firstLineChars="200"/>
        <w:rPr>
          <w:color w:val="000000" w:themeColor="text1"/>
          <w:szCs w:val="21"/>
          <w14:textFill>
            <w14:solidFill>
              <w14:schemeClr w14:val="tx1"/>
            </w14:solidFill>
          </w14:textFill>
        </w:rPr>
      </w:pPr>
      <w:r>
        <w:rPr>
          <w:b/>
          <w:color w:val="000000" w:themeColor="text1"/>
          <w14:textFill>
            <w14:solidFill>
              <w14:schemeClr w14:val="tx1"/>
            </w14:solidFill>
          </w14:textFill>
        </w:rPr>
        <w:t>3</w:t>
      </w:r>
      <w:r>
        <w:rPr>
          <w:rFonts w:hint="eastAsia"/>
          <w:b/>
          <w:color w:val="000000" w:themeColor="text1"/>
          <w14:textFill>
            <w14:solidFill>
              <w14:schemeClr w14:val="tx1"/>
            </w14:solidFill>
          </w14:textFill>
        </w:rPr>
        <w:t xml:space="preserve"> </w:t>
      </w:r>
      <w:r>
        <w:rPr>
          <w:rFonts w:hint="eastAsia"/>
          <w:color w:val="000000" w:themeColor="text1"/>
          <w:szCs w:val="21"/>
          <w14:textFill>
            <w14:solidFill>
              <w14:schemeClr w14:val="tx1"/>
            </w14:solidFill>
          </w14:textFill>
        </w:rPr>
        <w:t>降水、止水措施应进行专项设计，并应编制专项施工方案和应急预案。</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b/>
          <w:color w:val="000000" w:themeColor="text1"/>
          <w14:textFill>
            <w14:solidFill>
              <w14:schemeClr w14:val="tx1"/>
            </w14:solidFill>
          </w14:textFill>
        </w:rPr>
        <w:t>6.1.</w:t>
      </w:r>
      <w:r>
        <w:rPr>
          <w:rFonts w:hint="eastAsia"/>
          <w:b/>
          <w:color w:val="000000" w:themeColor="text1"/>
          <w14:textFill>
            <w14:solidFill>
              <w14:schemeClr w14:val="tx1"/>
            </w14:solidFill>
          </w14:textFill>
        </w:rPr>
        <w:t>4</w:t>
      </w:r>
      <w:r>
        <w:rPr>
          <w:b/>
          <w:color w:val="000000" w:themeColor="text1"/>
          <w14:textFill>
            <w14:solidFill>
              <w14:schemeClr w14:val="tx1"/>
            </w14:solidFill>
          </w14:textFill>
        </w:rPr>
        <w:t xml:space="preserve"> </w:t>
      </w:r>
      <w:r>
        <w:rPr>
          <w:rFonts w:hint="eastAsia" w:hAnsi="宋体"/>
          <w:color w:val="000000" w:themeColor="text1"/>
          <w:szCs w:val="21"/>
          <w14:textFill>
            <w14:solidFill>
              <w14:schemeClr w14:val="tx1"/>
            </w14:solidFill>
          </w14:textFill>
        </w:rPr>
        <w:t>地下水控制方法应根据下列条件进行选择：</w:t>
      </w:r>
    </w:p>
    <w:p>
      <w:pPr>
        <w:adjustRightInd w:val="0"/>
        <w:snapToGrid w:val="0"/>
        <w:spacing w:line="360" w:lineRule="auto"/>
        <w:ind w:firstLine="361" w:firstLineChars="171"/>
        <w:rPr>
          <w:b/>
          <w:color w:val="000000" w:themeColor="text1"/>
          <w14:textFill>
            <w14:solidFill>
              <w14:schemeClr w14:val="tx1"/>
            </w14:solidFill>
          </w14:textFill>
        </w:rPr>
      </w:pPr>
      <w:r>
        <w:rPr>
          <w:rFonts w:hint="eastAsia"/>
          <w:b/>
          <w:color w:val="000000" w:themeColor="text1"/>
          <w14:textFill>
            <w14:solidFill>
              <w14:schemeClr w14:val="tx1"/>
            </w14:solidFill>
          </w14:textFill>
        </w:rPr>
        <w:t xml:space="preserve">1 </w:t>
      </w:r>
      <w:r>
        <w:rPr>
          <w:rFonts w:hint="eastAsia"/>
          <w:bCs/>
          <w:color w:val="000000" w:themeColor="text1"/>
          <w14:textFill>
            <w14:solidFill>
              <w14:schemeClr w14:val="tx1"/>
            </w14:solidFill>
          </w14:textFill>
        </w:rPr>
        <w:t>工程结构、施工方法；</w:t>
      </w:r>
    </w:p>
    <w:p>
      <w:pPr>
        <w:adjustRightInd w:val="0"/>
        <w:snapToGrid w:val="0"/>
        <w:spacing w:line="360" w:lineRule="auto"/>
        <w:ind w:firstLine="361" w:firstLineChars="171"/>
        <w:rPr>
          <w:bCs/>
          <w:color w:val="000000" w:themeColor="text1"/>
          <w14:textFill>
            <w14:solidFill>
              <w14:schemeClr w14:val="tx1"/>
            </w14:solidFill>
          </w14:textFill>
        </w:rPr>
      </w:pPr>
      <w:r>
        <w:rPr>
          <w:rFonts w:hint="eastAsia"/>
          <w:b/>
          <w:color w:val="000000" w:themeColor="text1"/>
          <w14:textFill>
            <w14:solidFill>
              <w14:schemeClr w14:val="tx1"/>
            </w14:solidFill>
          </w14:textFill>
        </w:rPr>
        <w:t xml:space="preserve">2 </w:t>
      </w:r>
      <w:r>
        <w:rPr>
          <w:rFonts w:hint="eastAsia"/>
          <w:bCs/>
          <w:color w:val="000000" w:themeColor="text1"/>
          <w14:textFill>
            <w14:solidFill>
              <w14:schemeClr w14:val="tx1"/>
            </w14:solidFill>
          </w14:textFill>
        </w:rPr>
        <w:t>工程地质、水文地质；</w:t>
      </w:r>
    </w:p>
    <w:p>
      <w:pPr>
        <w:adjustRightInd w:val="0"/>
        <w:snapToGrid w:val="0"/>
        <w:spacing w:line="360" w:lineRule="auto"/>
        <w:ind w:firstLine="361" w:firstLineChars="171"/>
        <w:rPr>
          <w:b/>
          <w:color w:val="000000" w:themeColor="text1"/>
          <w14:textFill>
            <w14:solidFill>
              <w14:schemeClr w14:val="tx1"/>
            </w14:solidFill>
          </w14:textFill>
        </w:rPr>
      </w:pPr>
      <w:r>
        <w:rPr>
          <w:rFonts w:hint="eastAsia"/>
          <w:b/>
          <w:color w:val="000000" w:themeColor="text1"/>
          <w14:textFill>
            <w14:solidFill>
              <w14:schemeClr w14:val="tx1"/>
            </w14:solidFill>
          </w14:textFill>
        </w:rPr>
        <w:t xml:space="preserve">3 </w:t>
      </w:r>
      <w:r>
        <w:rPr>
          <w:rFonts w:hint="eastAsia"/>
          <w:color w:val="000000" w:themeColor="text1"/>
          <w:szCs w:val="21"/>
          <w14:textFill>
            <w14:solidFill>
              <w14:schemeClr w14:val="tx1"/>
            </w14:solidFill>
          </w14:textFill>
        </w:rPr>
        <w:t>施工影响范围内建（构）筑物、地下管线等周边环境情况；</w:t>
      </w:r>
    </w:p>
    <w:p>
      <w:pPr>
        <w:adjustRightInd w:val="0"/>
        <w:snapToGrid w:val="0"/>
        <w:spacing w:line="360" w:lineRule="auto"/>
        <w:ind w:firstLine="361" w:firstLineChars="171"/>
        <w:rPr>
          <w:b/>
          <w:color w:val="000000" w:themeColor="text1"/>
          <w14:textFill>
            <w14:solidFill>
              <w14:schemeClr w14:val="tx1"/>
            </w14:solidFill>
          </w14:textFill>
        </w:rPr>
      </w:pPr>
      <w:r>
        <w:rPr>
          <w:rFonts w:hint="eastAsia"/>
          <w:b/>
          <w:color w:val="000000" w:themeColor="text1"/>
          <w14:textFill>
            <w14:solidFill>
              <w14:schemeClr w14:val="tx1"/>
            </w14:solidFill>
          </w14:textFill>
        </w:rPr>
        <w:t xml:space="preserve">4 </w:t>
      </w:r>
      <w:r>
        <w:rPr>
          <w:rFonts w:hint="eastAsia"/>
          <w:color w:val="000000" w:themeColor="text1"/>
          <w:szCs w:val="21"/>
          <w14:textFill>
            <w14:solidFill>
              <w14:schemeClr w14:val="tx1"/>
            </w14:solidFill>
          </w14:textFill>
        </w:rPr>
        <w:t>施工现场条件、排水条件。</w:t>
      </w:r>
    </w:p>
    <w:p>
      <w:pPr>
        <w:adjustRightInd w:val="0"/>
        <w:snapToGrid w:val="0"/>
        <w:spacing w:line="360" w:lineRule="auto"/>
        <w:jc w:val="left"/>
        <w:rPr>
          <w:bCs/>
          <w:color w:val="000000" w:themeColor="text1"/>
          <w14:textFill>
            <w14:solidFill>
              <w14:schemeClr w14:val="tx1"/>
            </w14:solidFill>
          </w14:textFill>
        </w:rPr>
      </w:pPr>
      <w:r>
        <w:rPr>
          <w:b/>
          <w:color w:val="000000" w:themeColor="text1"/>
          <w14:textFill>
            <w14:solidFill>
              <w14:schemeClr w14:val="tx1"/>
            </w14:solidFill>
          </w14:textFill>
        </w:rPr>
        <w:t>6.1.</w:t>
      </w:r>
      <w:r>
        <w:rPr>
          <w:rFonts w:hint="eastAsia"/>
          <w:b/>
          <w:color w:val="000000" w:themeColor="text1"/>
          <w14:textFill>
            <w14:solidFill>
              <w14:schemeClr w14:val="tx1"/>
            </w14:solidFill>
          </w14:textFill>
        </w:rPr>
        <w:t>5</w:t>
      </w:r>
      <w:r>
        <w:rPr>
          <w:b/>
          <w:color w:val="000000" w:themeColor="text1"/>
          <w14:textFill>
            <w14:solidFill>
              <w14:schemeClr w14:val="tx1"/>
            </w14:solidFill>
          </w14:textFill>
        </w:rPr>
        <w:t xml:space="preserve"> </w:t>
      </w:r>
      <w:r>
        <w:rPr>
          <w:rFonts w:hint="eastAsia" w:hAnsi="宋体"/>
          <w:color w:val="000000" w:themeColor="text1"/>
          <w:szCs w:val="21"/>
          <w14:textFill>
            <w14:solidFill>
              <w14:schemeClr w14:val="tx1"/>
            </w14:solidFill>
          </w14:textFill>
        </w:rPr>
        <w:t>隧道内下地水控制宜采用集水明排、降水、截水和回灌等方法，可单独或组合使用，</w:t>
      </w:r>
      <w:r>
        <w:rPr>
          <w:rFonts w:hint="eastAsia"/>
          <w:bCs/>
          <w:color w:val="000000" w:themeColor="text1"/>
          <w14:textFill>
            <w14:solidFill>
              <w14:schemeClr w14:val="tx1"/>
            </w14:solidFill>
          </w14:textFill>
        </w:rPr>
        <w:t>暗挖法施工止水方式的选择、止水加固的范围和技术指标应符合设计要求，以保证无水作业。</w:t>
      </w:r>
    </w:p>
    <w:p>
      <w:pPr>
        <w:adjustRightInd w:val="0"/>
        <w:snapToGrid w:val="0"/>
        <w:spacing w:line="360" w:lineRule="auto"/>
        <w:jc w:val="left"/>
        <w:rPr>
          <w:bCs/>
          <w:color w:val="000000" w:themeColor="text1"/>
          <w14:textFill>
            <w14:solidFill>
              <w14:schemeClr w14:val="tx1"/>
            </w14:solidFill>
          </w14:textFill>
        </w:rPr>
      </w:pPr>
      <w:r>
        <w:rPr>
          <w:rFonts w:hint="eastAsia"/>
          <w:b/>
          <w:color w:val="000000" w:themeColor="text1"/>
          <w14:textFill>
            <w14:solidFill>
              <w14:schemeClr w14:val="tx1"/>
            </w14:solidFill>
          </w14:textFill>
        </w:rPr>
        <w:t xml:space="preserve">6.1.6 </w:t>
      </w:r>
      <w:r>
        <w:rPr>
          <w:rFonts w:hint="eastAsia"/>
          <w:bCs/>
          <w:color w:val="000000" w:themeColor="text1"/>
          <w14:textFill>
            <w14:solidFill>
              <w14:schemeClr w14:val="tx1"/>
            </w14:solidFill>
          </w14:textFill>
        </w:rPr>
        <w:t xml:space="preserve">在地下水控制措施实施前，应先探明地下管线和地下建（构）筑物等的位置；应按管理单位和设计要求对地下管线和地下建（构）筑物采取保护措施。 </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b/>
          <w:color w:val="000000" w:themeColor="text1"/>
          <w14:textFill>
            <w14:solidFill>
              <w14:schemeClr w14:val="tx1"/>
            </w14:solidFill>
          </w14:textFill>
        </w:rPr>
        <w:t>6.1.</w:t>
      </w:r>
      <w:r>
        <w:rPr>
          <w:rFonts w:hint="eastAsia"/>
          <w:b/>
          <w:color w:val="000000" w:themeColor="text1"/>
          <w14:textFill>
            <w14:solidFill>
              <w14:schemeClr w14:val="tx1"/>
            </w14:solidFill>
          </w14:textFill>
        </w:rPr>
        <w:t>7</w:t>
      </w:r>
      <w:r>
        <w:rPr>
          <w:b/>
          <w:color w:val="000000" w:themeColor="text1"/>
          <w14:textFill>
            <w14:solidFill>
              <w14:schemeClr w14:val="tx1"/>
            </w14:solidFill>
          </w14:textFill>
        </w:rPr>
        <w:t xml:space="preserve"> </w:t>
      </w:r>
      <w:r>
        <w:rPr>
          <w:rFonts w:hint="eastAsia" w:hAnsi="宋体"/>
          <w:color w:val="000000" w:themeColor="text1"/>
          <w:szCs w:val="21"/>
          <w14:textFill>
            <w14:solidFill>
              <w14:schemeClr w14:val="tx1"/>
            </w14:solidFill>
          </w14:textFill>
        </w:rPr>
        <w:t>符合下列条件之一时，宜选择洞内、洞外止水措施：</w:t>
      </w:r>
    </w:p>
    <w:p>
      <w:pPr>
        <w:adjustRightInd w:val="0"/>
        <w:snapToGrid w:val="0"/>
        <w:spacing w:line="360" w:lineRule="auto"/>
        <w:ind w:firstLine="361" w:firstLineChars="171"/>
        <w:rPr>
          <w:color w:val="000000" w:themeColor="text1"/>
          <w:szCs w:val="21"/>
          <w14:textFill>
            <w14:solidFill>
              <w14:schemeClr w14:val="tx1"/>
            </w14:solidFill>
          </w14:textFill>
        </w:rPr>
      </w:pPr>
      <w:r>
        <w:rPr>
          <w:b/>
          <w:color w:val="000000" w:themeColor="text1"/>
          <w14:textFill>
            <w14:solidFill>
              <w14:schemeClr w14:val="tx1"/>
            </w14:solidFill>
          </w14:textFill>
        </w:rPr>
        <w:t xml:space="preserve">1 </w:t>
      </w:r>
      <w:r>
        <w:rPr>
          <w:rFonts w:hint="eastAsia"/>
          <w:color w:val="000000" w:themeColor="text1"/>
          <w:szCs w:val="21"/>
          <w14:textFill>
            <w14:solidFill>
              <w14:schemeClr w14:val="tx1"/>
            </w14:solidFill>
          </w14:textFill>
        </w:rPr>
        <w:t>受工程周边建（构）筑物、地下管线、道路影响或规定不允许降水的地区，无法采取降水方法的；</w:t>
      </w:r>
    </w:p>
    <w:p>
      <w:pPr>
        <w:adjustRightInd w:val="0"/>
        <w:snapToGrid w:val="0"/>
        <w:spacing w:line="360" w:lineRule="auto"/>
        <w:ind w:firstLine="361" w:firstLineChars="171"/>
        <w:rPr>
          <w:color w:val="000000" w:themeColor="text1"/>
          <w:szCs w:val="21"/>
          <w14:textFill>
            <w14:solidFill>
              <w14:schemeClr w14:val="tx1"/>
            </w14:solidFill>
          </w14:textFill>
        </w:rPr>
      </w:pPr>
      <w:r>
        <w:rPr>
          <w:b/>
          <w:color w:val="000000" w:themeColor="text1"/>
          <w14:textFill>
            <w14:solidFill>
              <w14:schemeClr w14:val="tx1"/>
            </w14:solidFill>
          </w14:textFill>
        </w:rPr>
        <w:t xml:space="preserve">2 </w:t>
      </w:r>
      <w:r>
        <w:rPr>
          <w:rFonts w:hint="eastAsia"/>
          <w:color w:val="000000" w:themeColor="text1"/>
          <w:szCs w:val="21"/>
          <w14:textFill>
            <w14:solidFill>
              <w14:schemeClr w14:val="tx1"/>
            </w14:solidFill>
          </w14:textFill>
        </w:rPr>
        <w:t>降水会对工程周边建（构）筑物、地下管线、道路造成危害或对环境造成长期不利影响的；</w:t>
      </w:r>
    </w:p>
    <w:p>
      <w:pPr>
        <w:adjustRightInd w:val="0"/>
        <w:snapToGrid w:val="0"/>
        <w:spacing w:line="360" w:lineRule="auto"/>
        <w:ind w:firstLine="361" w:firstLineChars="171"/>
        <w:rPr>
          <w:color w:val="000000" w:themeColor="text1"/>
          <w:szCs w:val="21"/>
          <w14:textFill>
            <w14:solidFill>
              <w14:schemeClr w14:val="tx1"/>
            </w14:solidFill>
          </w14:textFill>
        </w:rPr>
      </w:pPr>
      <w:r>
        <w:rPr>
          <w:b/>
          <w:color w:val="000000" w:themeColor="text1"/>
          <w14:textFill>
            <w14:solidFill>
              <w14:schemeClr w14:val="tx1"/>
            </w14:solidFill>
          </w14:textFill>
        </w:rPr>
        <w:t xml:space="preserve">3 </w:t>
      </w:r>
      <w:r>
        <w:rPr>
          <w:rFonts w:hint="eastAsia"/>
          <w:color w:val="000000" w:themeColor="text1"/>
          <w:szCs w:val="21"/>
          <w14:textFill>
            <w14:solidFill>
              <w14:schemeClr w14:val="tx1"/>
            </w14:solidFill>
          </w14:textFill>
        </w:rPr>
        <w:t>场地工程地质与水文地质条件适合的。</w:t>
      </w:r>
    </w:p>
    <w:p>
      <w:pPr>
        <w:adjustRightInd w:val="0"/>
        <w:snapToGrid w:val="0"/>
        <w:spacing w:line="360" w:lineRule="auto"/>
        <w:jc w:val="left"/>
        <w:rPr>
          <w:bCs/>
          <w:color w:val="000000" w:themeColor="text1"/>
          <w14:textFill>
            <w14:solidFill>
              <w14:schemeClr w14:val="tx1"/>
            </w14:solidFill>
          </w14:textFill>
        </w:rPr>
      </w:pPr>
      <w:r>
        <w:rPr>
          <w:rFonts w:hint="eastAsia"/>
          <w:b/>
          <w:color w:val="000000" w:themeColor="text1"/>
          <w14:textFill>
            <w14:solidFill>
              <w14:schemeClr w14:val="tx1"/>
            </w14:solidFill>
          </w14:textFill>
        </w:rPr>
        <w:t xml:space="preserve">6.1.8 </w:t>
      </w:r>
      <w:r>
        <w:rPr>
          <w:rFonts w:hint="eastAsia"/>
          <w:bCs/>
          <w:color w:val="000000" w:themeColor="text1"/>
          <w14:textFill>
            <w14:solidFill>
              <w14:schemeClr w14:val="tx1"/>
            </w14:solidFill>
          </w14:textFill>
        </w:rPr>
        <w:t xml:space="preserve">隧道、暗挖车站内地下水控制宜优先采用全断面深孔注浆、水平旋喷注浆等止水措施，并应符合下列规定： </w:t>
      </w:r>
    </w:p>
    <w:p>
      <w:pPr>
        <w:adjustRightInd w:val="0"/>
        <w:snapToGrid w:val="0"/>
        <w:spacing w:line="360" w:lineRule="auto"/>
        <w:ind w:firstLine="422" w:firstLineChars="200"/>
        <w:jc w:val="left"/>
        <w:rPr>
          <w:bCs/>
          <w:color w:val="000000" w:themeColor="text1"/>
          <w14:textFill>
            <w14:solidFill>
              <w14:schemeClr w14:val="tx1"/>
            </w14:solidFill>
          </w14:textFill>
        </w:rPr>
      </w:pPr>
      <w:r>
        <w:rPr>
          <w:rFonts w:hint="eastAsia"/>
          <w:b/>
          <w:color w:val="000000" w:themeColor="text1"/>
          <w14:textFill>
            <w14:solidFill>
              <w14:schemeClr w14:val="tx1"/>
            </w14:solidFill>
          </w14:textFill>
        </w:rPr>
        <w:t xml:space="preserve">1 </w:t>
      </w:r>
      <w:r>
        <w:rPr>
          <w:rFonts w:hint="eastAsia"/>
          <w:bCs/>
          <w:color w:val="000000" w:themeColor="text1"/>
          <w14:textFill>
            <w14:solidFill>
              <w14:schemeClr w14:val="tx1"/>
            </w14:solidFill>
          </w14:textFill>
        </w:rPr>
        <w:t xml:space="preserve">不应使用有毒性的化学浆液材料或在地层中分解、降解后可能产生有毒物质的浆液材料； </w:t>
      </w:r>
    </w:p>
    <w:p>
      <w:pPr>
        <w:adjustRightInd w:val="0"/>
        <w:snapToGrid w:val="0"/>
        <w:spacing w:line="360" w:lineRule="auto"/>
        <w:ind w:firstLine="422" w:firstLineChars="200"/>
        <w:jc w:val="left"/>
        <w:rPr>
          <w:bCs/>
          <w:color w:val="000000" w:themeColor="text1"/>
          <w14:textFill>
            <w14:solidFill>
              <w14:schemeClr w14:val="tx1"/>
            </w14:solidFill>
          </w14:textFill>
        </w:rPr>
      </w:pPr>
      <w:r>
        <w:rPr>
          <w:rFonts w:hint="eastAsia"/>
          <w:b/>
          <w:color w:val="000000" w:themeColor="text1"/>
          <w14:textFill>
            <w14:solidFill>
              <w14:schemeClr w14:val="tx1"/>
            </w14:solidFill>
          </w14:textFill>
        </w:rPr>
        <w:t xml:space="preserve">2 </w:t>
      </w:r>
      <w:r>
        <w:rPr>
          <w:rFonts w:hint="eastAsia"/>
          <w:bCs/>
          <w:color w:val="000000" w:themeColor="text1"/>
          <w14:textFill>
            <w14:solidFill>
              <w14:schemeClr w14:val="tx1"/>
            </w14:solidFill>
          </w14:textFill>
        </w:rPr>
        <w:t xml:space="preserve">可选用地面注浆、洞内注浆或二者结合的方式。 </w:t>
      </w:r>
    </w:p>
    <w:p>
      <w:pPr>
        <w:adjustRightInd w:val="0"/>
        <w:snapToGrid w:val="0"/>
        <w:spacing w:line="360" w:lineRule="auto"/>
        <w:ind w:firstLine="422" w:firstLineChars="200"/>
        <w:jc w:val="left"/>
        <w:rPr>
          <w:bCs/>
          <w:color w:val="000000" w:themeColor="text1"/>
          <w14:textFill>
            <w14:solidFill>
              <w14:schemeClr w14:val="tx1"/>
            </w14:solidFill>
          </w14:textFill>
        </w:rPr>
      </w:pPr>
      <w:r>
        <w:rPr>
          <w:rFonts w:hint="eastAsia"/>
          <w:b/>
          <w:color w:val="000000" w:themeColor="text1"/>
          <w14:textFill>
            <w14:solidFill>
              <w14:schemeClr w14:val="tx1"/>
            </w14:solidFill>
          </w14:textFill>
        </w:rPr>
        <w:t xml:space="preserve">3 </w:t>
      </w:r>
      <w:r>
        <w:rPr>
          <w:rFonts w:hint="eastAsia"/>
          <w:bCs/>
          <w:color w:val="000000" w:themeColor="text1"/>
          <w14:textFill>
            <w14:solidFill>
              <w14:schemeClr w14:val="tx1"/>
            </w14:solidFill>
          </w14:textFill>
        </w:rPr>
        <w:t xml:space="preserve">宜与洞内辅助引排相结合，并应达到基本上无水的作业条件。首次注浆时，应经设计人员和监理人员共同确认达到注浆效果后方可开挖。开挖过程中，应检查注浆效果。 </w:t>
      </w:r>
    </w:p>
    <w:p>
      <w:pPr>
        <w:adjustRightInd w:val="0"/>
        <w:snapToGrid w:val="0"/>
        <w:spacing w:line="360" w:lineRule="auto"/>
        <w:ind w:firstLine="420" w:firstLineChars="200"/>
        <w:jc w:val="left"/>
        <w:rPr>
          <w:bCs/>
          <w:color w:val="000000" w:themeColor="text1"/>
          <w14:textFill>
            <w14:solidFill>
              <w14:schemeClr w14:val="tx1"/>
            </w14:solidFill>
          </w14:textFill>
        </w:rPr>
      </w:pPr>
      <w:r>
        <w:rPr>
          <w:rFonts w:hint="eastAsia"/>
          <w:bCs/>
          <w:color w:val="000000" w:themeColor="text1"/>
          <w14:textFill>
            <w14:solidFill>
              <w14:schemeClr w14:val="tx1"/>
            </w14:solidFill>
          </w14:textFill>
        </w:rPr>
        <w:t>4 注浆过程中，应对地面、地下管线和周边建（构）筑物进行监测与巡视。</w:t>
      </w:r>
    </w:p>
    <w:p>
      <w:pPr>
        <w:pStyle w:val="22"/>
        <w:tabs>
          <w:tab w:val="left" w:pos="851"/>
          <w:tab w:val="left" w:pos="5693"/>
        </w:tabs>
        <w:snapToGrid w:val="0"/>
        <w:spacing w:line="360" w:lineRule="auto"/>
        <w:ind w:firstLine="0" w:firstLineChars="0"/>
        <w:jc w:val="left"/>
        <w:rPr>
          <w:rFonts w:hAnsi="宋体"/>
          <w:bCs/>
          <w:color w:val="000000" w:themeColor="text1"/>
          <w:szCs w:val="21"/>
          <w14:textFill>
            <w14:solidFill>
              <w14:schemeClr w14:val="tx1"/>
            </w14:solidFill>
          </w14:textFill>
        </w:rPr>
      </w:pPr>
      <w:r>
        <w:rPr>
          <w:rFonts w:hint="eastAsia"/>
          <w:b/>
          <w:color w:val="000000" w:themeColor="text1"/>
          <w14:textFill>
            <w14:solidFill>
              <w14:schemeClr w14:val="tx1"/>
            </w14:solidFill>
          </w14:textFill>
        </w:rPr>
        <w:t xml:space="preserve">6.1.9 </w:t>
      </w:r>
      <w:r>
        <w:rPr>
          <w:rFonts w:hint="eastAsia"/>
          <w:bCs/>
          <w:color w:val="000000" w:themeColor="text1"/>
          <w14:textFill>
            <w14:solidFill>
              <w14:schemeClr w14:val="tx1"/>
            </w14:solidFill>
          </w14:textFill>
        </w:rPr>
        <w:t>深孔注浆、旋喷注浆</w:t>
      </w:r>
      <w:r>
        <w:rPr>
          <w:rFonts w:hint="eastAsia" w:hAnsi="宋体"/>
          <w:bCs/>
          <w:color w:val="000000" w:themeColor="text1"/>
          <w:szCs w:val="21"/>
          <w14:textFill>
            <w14:solidFill>
              <w14:schemeClr w14:val="tx1"/>
            </w14:solidFill>
          </w14:textFill>
        </w:rPr>
        <w:t xml:space="preserve">效果应符合下列规定： </w:t>
      </w:r>
    </w:p>
    <w:p>
      <w:pPr>
        <w:pStyle w:val="22"/>
        <w:tabs>
          <w:tab w:val="left" w:pos="851"/>
          <w:tab w:val="left" w:pos="5693"/>
        </w:tabs>
        <w:snapToGrid w:val="0"/>
        <w:spacing w:line="360" w:lineRule="auto"/>
        <w:ind w:firstLine="422"/>
        <w:jc w:val="left"/>
        <w:rPr>
          <w:rFonts w:hAnsi="宋体"/>
          <w:bCs/>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1 </w:t>
      </w:r>
      <w:r>
        <w:rPr>
          <w:rFonts w:hint="eastAsia" w:hAnsi="宋体"/>
          <w:bCs/>
          <w:color w:val="000000" w:themeColor="text1"/>
          <w:szCs w:val="21"/>
          <w14:textFill>
            <w14:solidFill>
              <w14:schemeClr w14:val="tx1"/>
            </w14:solidFill>
          </w14:textFill>
        </w:rPr>
        <w:t xml:space="preserve">不应存在注浆盲区； </w:t>
      </w:r>
    </w:p>
    <w:p>
      <w:pPr>
        <w:pStyle w:val="22"/>
        <w:tabs>
          <w:tab w:val="left" w:pos="851"/>
          <w:tab w:val="left" w:pos="5693"/>
        </w:tabs>
        <w:snapToGrid w:val="0"/>
        <w:spacing w:line="360" w:lineRule="auto"/>
        <w:ind w:firstLine="422"/>
        <w:jc w:val="left"/>
        <w:rPr>
          <w:rFonts w:hAnsi="宋体"/>
          <w:bCs/>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2 </w:t>
      </w:r>
      <w:r>
        <w:rPr>
          <w:rFonts w:hint="eastAsia" w:hAnsi="宋体"/>
          <w:bCs/>
          <w:color w:val="000000" w:themeColor="text1"/>
          <w:szCs w:val="21"/>
          <w14:textFill>
            <w14:solidFill>
              <w14:schemeClr w14:val="tx1"/>
            </w14:solidFill>
          </w14:textFill>
        </w:rPr>
        <w:t xml:space="preserve">不应有带压的渗漏水，竖井开挖时井底积水坑的汇水量不应大于 300L/h；隧道注浆效果检查孔每孔的渗漏水量不应大于 30L/h，且孔口不得出现线状流水； </w:t>
      </w:r>
    </w:p>
    <w:p>
      <w:pPr>
        <w:pStyle w:val="22"/>
        <w:tabs>
          <w:tab w:val="left" w:pos="851"/>
          <w:tab w:val="left" w:pos="5693"/>
        </w:tabs>
        <w:snapToGrid w:val="0"/>
        <w:spacing w:line="360" w:lineRule="auto"/>
        <w:ind w:firstLine="422"/>
        <w:jc w:val="left"/>
        <w:rPr>
          <w:rFonts w:hAnsi="宋体"/>
          <w:bCs/>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3 </w:t>
      </w:r>
      <w:r>
        <w:rPr>
          <w:rFonts w:hint="eastAsia" w:hAnsi="宋体"/>
          <w:bCs/>
          <w:color w:val="000000" w:themeColor="text1"/>
          <w:szCs w:val="21"/>
          <w14:textFill>
            <w14:solidFill>
              <w14:schemeClr w14:val="tx1"/>
            </w14:solidFill>
          </w14:textFill>
        </w:rPr>
        <w:t>注浆效果检查孔不应出现塌孔。</w:t>
      </w:r>
    </w:p>
    <w:p>
      <w:pPr>
        <w:adjustRightInd w:val="0"/>
        <w:snapToGrid w:val="0"/>
        <w:spacing w:line="360" w:lineRule="auto"/>
        <w:jc w:val="left"/>
        <w:rPr>
          <w:bCs/>
          <w:color w:val="000000" w:themeColor="text1"/>
          <w14:textFill>
            <w14:solidFill>
              <w14:schemeClr w14:val="tx1"/>
            </w14:solidFill>
          </w14:textFill>
        </w:rPr>
      </w:pPr>
      <w:r>
        <w:rPr>
          <w:rFonts w:hint="eastAsia"/>
          <w:b/>
          <w:color w:val="000000" w:themeColor="text1"/>
          <w14:textFill>
            <w14:solidFill>
              <w14:schemeClr w14:val="tx1"/>
            </w14:solidFill>
          </w14:textFill>
        </w:rPr>
        <w:t xml:space="preserve">6.1.10 </w:t>
      </w:r>
      <w:r>
        <w:rPr>
          <w:rFonts w:hint="eastAsia" w:hAnsi="宋体"/>
          <w:bCs/>
          <w:color w:val="000000" w:themeColor="text1"/>
          <w:szCs w:val="21"/>
          <w14:textFill>
            <w14:solidFill>
              <w14:schemeClr w14:val="tx1"/>
            </w14:solidFill>
          </w14:textFill>
        </w:rPr>
        <w:t>应对</w:t>
      </w:r>
      <w:r>
        <w:rPr>
          <w:rFonts w:hint="eastAsia"/>
          <w:bCs/>
          <w:color w:val="000000" w:themeColor="text1"/>
          <w14:textFill>
            <w14:solidFill>
              <w14:schemeClr w14:val="tx1"/>
            </w14:solidFill>
          </w14:textFill>
        </w:rPr>
        <w:t>注浆</w:t>
      </w:r>
      <w:r>
        <w:rPr>
          <w:rFonts w:hint="eastAsia" w:hAnsi="宋体"/>
          <w:bCs/>
          <w:color w:val="000000" w:themeColor="text1"/>
          <w:szCs w:val="21"/>
          <w14:textFill>
            <w14:solidFill>
              <w14:schemeClr w14:val="tx1"/>
            </w14:solidFill>
          </w14:textFill>
        </w:rPr>
        <w:t>效果进行检验，</w:t>
      </w:r>
      <w:r>
        <w:rPr>
          <w:rFonts w:hint="eastAsia" w:ascii="宋体" w:hAnsi="宋体" w:cs="宋体"/>
          <w:color w:val="000000" w:themeColor="text1"/>
          <w14:textFill>
            <w14:solidFill>
              <w14:schemeClr w14:val="tx1"/>
            </w14:solidFill>
          </w14:textFill>
        </w:rPr>
        <w:t>经检查确认符合设计要求后方可开挖。</w:t>
      </w:r>
      <w:r>
        <w:rPr>
          <w:rFonts w:hint="eastAsia"/>
          <w:bCs/>
          <w:color w:val="000000" w:themeColor="text1"/>
          <w14:textFill>
            <w14:solidFill>
              <w14:schemeClr w14:val="tx1"/>
            </w14:solidFill>
          </w14:textFill>
        </w:rPr>
        <w:t>洞内渗漏水的处治可采取补充注浆、辅助引排等的综合措施，并应符合下列规定：</w:t>
      </w:r>
    </w:p>
    <w:p>
      <w:pPr>
        <w:adjustRightInd w:val="0"/>
        <w:snapToGrid w:val="0"/>
        <w:spacing w:line="360" w:lineRule="auto"/>
        <w:ind w:firstLine="422" w:firstLineChars="200"/>
        <w:jc w:val="left"/>
        <w:rPr>
          <w:bCs/>
          <w:color w:val="000000" w:themeColor="text1"/>
          <w14:textFill>
            <w14:solidFill>
              <w14:schemeClr w14:val="tx1"/>
            </w14:solidFill>
          </w14:textFill>
        </w:rPr>
      </w:pPr>
      <w:r>
        <w:rPr>
          <w:rFonts w:hint="eastAsia"/>
          <w:b/>
          <w:color w:val="000000" w:themeColor="text1"/>
          <w14:textFill>
            <w14:solidFill>
              <w14:schemeClr w14:val="tx1"/>
            </w14:solidFill>
          </w14:textFill>
        </w:rPr>
        <w:t>1</w:t>
      </w:r>
      <w:r>
        <w:rPr>
          <w:rFonts w:hint="eastAsia"/>
          <w:bCs/>
          <w:color w:val="000000" w:themeColor="text1"/>
          <w14:textFill>
            <w14:solidFill>
              <w14:schemeClr w14:val="tx1"/>
            </w14:solidFill>
          </w14:textFill>
        </w:rPr>
        <w:t xml:space="preserve"> 应优先采取补充注浆封堵的技术措施； </w:t>
      </w:r>
    </w:p>
    <w:p>
      <w:pPr>
        <w:adjustRightInd w:val="0"/>
        <w:snapToGrid w:val="0"/>
        <w:spacing w:line="360" w:lineRule="auto"/>
        <w:ind w:firstLine="422" w:firstLineChars="200"/>
        <w:jc w:val="left"/>
        <w:rPr>
          <w:bCs/>
          <w:color w:val="000000" w:themeColor="text1"/>
          <w14:textFill>
            <w14:solidFill>
              <w14:schemeClr w14:val="tx1"/>
            </w14:solidFill>
          </w14:textFill>
        </w:rPr>
      </w:pPr>
      <w:r>
        <w:rPr>
          <w:rFonts w:hint="eastAsia"/>
          <w:b/>
          <w:color w:val="000000" w:themeColor="text1"/>
          <w14:textFill>
            <w14:solidFill>
              <w14:schemeClr w14:val="tx1"/>
            </w14:solidFill>
          </w14:textFill>
        </w:rPr>
        <w:t>2</w:t>
      </w:r>
      <w:r>
        <w:rPr>
          <w:rFonts w:hint="eastAsia"/>
          <w:bCs/>
          <w:color w:val="000000" w:themeColor="text1"/>
          <w14:textFill>
            <w14:solidFill>
              <w14:schemeClr w14:val="tx1"/>
            </w14:solidFill>
          </w14:textFill>
        </w:rPr>
        <w:t xml:space="preserve"> 补充注浆浆液宜采用改性水玻璃浆液或水泥浆—水玻璃双液浆，浆液的配比和注浆参数等应符合本规程第</w:t>
      </w:r>
      <w:r>
        <w:rPr>
          <w:rFonts w:hint="eastAsia"/>
          <w:b/>
          <w:color w:val="000000" w:themeColor="text1"/>
          <w14:textFill>
            <w14:solidFill>
              <w14:schemeClr w14:val="tx1"/>
            </w14:solidFill>
          </w14:textFill>
        </w:rPr>
        <w:t>6.3</w:t>
      </w:r>
      <w:r>
        <w:rPr>
          <w:rFonts w:hint="eastAsia"/>
          <w:bCs/>
          <w:color w:val="000000" w:themeColor="text1"/>
          <w14:textFill>
            <w14:solidFill>
              <w14:schemeClr w14:val="tx1"/>
            </w14:solidFill>
          </w14:textFill>
        </w:rPr>
        <w:t xml:space="preserve">节的规定； </w:t>
      </w:r>
    </w:p>
    <w:p>
      <w:pPr>
        <w:adjustRightInd w:val="0"/>
        <w:snapToGrid w:val="0"/>
        <w:spacing w:line="360" w:lineRule="auto"/>
        <w:ind w:firstLine="422" w:firstLineChars="200"/>
        <w:jc w:val="left"/>
        <w:rPr>
          <w:bCs/>
          <w:color w:val="000000" w:themeColor="text1"/>
          <w14:textFill>
            <w14:solidFill>
              <w14:schemeClr w14:val="tx1"/>
            </w14:solidFill>
          </w14:textFill>
        </w:rPr>
      </w:pPr>
      <w:r>
        <w:rPr>
          <w:rFonts w:hint="eastAsia"/>
          <w:b/>
          <w:color w:val="000000" w:themeColor="text1"/>
          <w14:textFill>
            <w14:solidFill>
              <w14:schemeClr w14:val="tx1"/>
            </w14:solidFill>
          </w14:textFill>
        </w:rPr>
        <w:t>3</w:t>
      </w:r>
      <w:r>
        <w:rPr>
          <w:rFonts w:hint="eastAsia"/>
          <w:bCs/>
          <w:color w:val="000000" w:themeColor="text1"/>
          <w14:textFill>
            <w14:solidFill>
              <w14:schemeClr w14:val="tx1"/>
            </w14:solidFill>
          </w14:textFill>
        </w:rPr>
        <w:t xml:space="preserve"> 洞内辅助引排应控制排水中的含砂量，并应做好含砂量的测量和记录；</w:t>
      </w:r>
    </w:p>
    <w:p>
      <w:pPr>
        <w:adjustRightInd w:val="0"/>
        <w:snapToGrid w:val="0"/>
        <w:spacing w:line="360" w:lineRule="auto"/>
        <w:ind w:firstLine="422" w:firstLineChars="200"/>
        <w:jc w:val="left"/>
        <w:rPr>
          <w:bCs/>
          <w:color w:val="000000" w:themeColor="text1"/>
          <w14:textFill>
            <w14:solidFill>
              <w14:schemeClr w14:val="tx1"/>
            </w14:solidFill>
          </w14:textFill>
        </w:rPr>
      </w:pPr>
      <w:r>
        <w:rPr>
          <w:rFonts w:hint="eastAsia"/>
          <w:b/>
          <w:color w:val="000000" w:themeColor="text1"/>
          <w14:textFill>
            <w14:solidFill>
              <w14:schemeClr w14:val="tx1"/>
            </w14:solidFill>
          </w14:textFill>
        </w:rPr>
        <w:t>4</w:t>
      </w:r>
      <w:r>
        <w:rPr>
          <w:rFonts w:hint="eastAsia"/>
          <w:bCs/>
          <w:color w:val="000000" w:themeColor="text1"/>
          <w14:textFill>
            <w14:solidFill>
              <w14:schemeClr w14:val="tx1"/>
            </w14:solidFill>
          </w14:textFill>
        </w:rPr>
        <w:t xml:space="preserve"> 排水中的含砂量应符合现行行业标准《建筑基坑支护技术规程》JGJ120的有关规定。</w:t>
      </w:r>
    </w:p>
    <w:p>
      <w:pPr>
        <w:adjustRightInd w:val="0"/>
        <w:snapToGrid w:val="0"/>
        <w:spacing w:line="360" w:lineRule="auto"/>
        <w:jc w:val="left"/>
        <w:rPr>
          <w:bCs/>
          <w:color w:val="000000" w:themeColor="text1"/>
          <w14:textFill>
            <w14:solidFill>
              <w14:schemeClr w14:val="tx1"/>
            </w14:solidFill>
          </w14:textFill>
        </w:rPr>
      </w:pPr>
      <w:r>
        <w:rPr>
          <w:rFonts w:hAnsi="宋体"/>
          <w:b/>
          <w:color w:val="000000" w:themeColor="text1"/>
          <w:szCs w:val="21"/>
          <w14:textFill>
            <w14:solidFill>
              <w14:schemeClr w14:val="tx1"/>
            </w14:solidFill>
          </w14:textFill>
        </w:rPr>
        <w:t>6.</w:t>
      </w:r>
      <w:r>
        <w:rPr>
          <w:rFonts w:hint="eastAsia" w:hAnsi="宋体"/>
          <w:b/>
          <w:color w:val="000000" w:themeColor="text1"/>
          <w:szCs w:val="21"/>
          <w14:textFill>
            <w14:solidFill>
              <w14:schemeClr w14:val="tx1"/>
            </w14:solidFill>
          </w14:textFill>
        </w:rPr>
        <w:t>1</w:t>
      </w:r>
      <w:r>
        <w:rPr>
          <w:rFonts w:hAnsi="宋体"/>
          <w:b/>
          <w:color w:val="000000" w:themeColor="text1"/>
          <w:szCs w:val="21"/>
          <w14:textFill>
            <w14:solidFill>
              <w14:schemeClr w14:val="tx1"/>
            </w14:solidFill>
          </w14:textFill>
        </w:rPr>
        <w:t>.1</w:t>
      </w:r>
      <w:r>
        <w:rPr>
          <w:rFonts w:hint="eastAsia" w:hAnsi="宋体"/>
          <w:b/>
          <w:color w:val="000000" w:themeColor="text1"/>
          <w:szCs w:val="21"/>
          <w14:textFill>
            <w14:solidFill>
              <w14:schemeClr w14:val="tx1"/>
            </w14:solidFill>
          </w14:textFill>
        </w:rPr>
        <w:t>1</w:t>
      </w:r>
      <w:r>
        <w:rPr>
          <w:rFonts w:hAnsi="宋体"/>
          <w:b/>
          <w:color w:val="000000" w:themeColor="text1"/>
          <w:szCs w:val="21"/>
          <w14:textFill>
            <w14:solidFill>
              <w14:schemeClr w14:val="tx1"/>
            </w14:solidFill>
          </w14:textFill>
        </w:rPr>
        <w:t xml:space="preserve"> </w:t>
      </w:r>
      <w:r>
        <w:rPr>
          <w:rFonts w:hint="eastAsia"/>
          <w:bCs/>
          <w:color w:val="000000" w:themeColor="text1"/>
          <w14:textFill>
            <w14:solidFill>
              <w14:schemeClr w14:val="tx1"/>
            </w14:solidFill>
          </w14:textFill>
        </w:rPr>
        <w:t>当地下水丰富、周边环境要求严格时，宜采用冻结法止水措施。</w:t>
      </w:r>
    </w:p>
    <w:p>
      <w:pPr>
        <w:adjustRightInd w:val="0"/>
        <w:snapToGrid w:val="0"/>
        <w:spacing w:line="360" w:lineRule="auto"/>
        <w:jc w:val="left"/>
        <w:rPr>
          <w:bCs/>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6.1.12</w:t>
      </w:r>
      <w:r>
        <w:rPr>
          <w:rFonts w:hint="eastAsia"/>
          <w:bCs/>
          <w:color w:val="000000" w:themeColor="text1"/>
          <w14:textFill>
            <w14:solidFill>
              <w14:schemeClr w14:val="tx1"/>
            </w14:solidFill>
          </w14:textFill>
        </w:rPr>
        <w:t xml:space="preserve"> 洞内止水帷幕施工应符合现行地方标准</w:t>
      </w:r>
      <w:r>
        <w:rPr>
          <w:rFonts w:hint="eastAsia"/>
          <w:color w:val="000000" w:themeColor="text1"/>
          <w14:textFill>
            <w14:solidFill>
              <w14:schemeClr w14:val="tx1"/>
            </w14:solidFill>
          </w14:textFill>
        </w:rPr>
        <w:t>《建筑基坑支护技术规程》DB11/ 489</w:t>
      </w:r>
      <w:r>
        <w:rPr>
          <w:rFonts w:hint="eastAsia"/>
          <w:bCs/>
          <w:color w:val="000000" w:themeColor="text1"/>
          <w14:textFill>
            <w14:solidFill>
              <w14:schemeClr w14:val="tx1"/>
            </w14:solidFill>
          </w14:textFill>
        </w:rPr>
        <w:t xml:space="preserve">的规定。 </w:t>
      </w:r>
    </w:p>
    <w:p>
      <w:pPr>
        <w:pStyle w:val="22"/>
        <w:numPr>
          <w:ilvl w:val="1"/>
          <w:numId w:val="0"/>
        </w:numPr>
        <w:adjustRightInd w:val="0"/>
        <w:snapToGrid w:val="0"/>
        <w:spacing w:before="312" w:beforeLines="100" w:after="312" w:afterLines="100"/>
        <w:ind w:left="578" w:hanging="578"/>
        <w:jc w:val="center"/>
        <w:outlineLvl w:val="1"/>
        <w:rPr>
          <w:rFonts w:hAnsi="宋体"/>
          <w:b/>
          <w:color w:val="000000" w:themeColor="text1"/>
          <w:sz w:val="24"/>
          <w14:textFill>
            <w14:solidFill>
              <w14:schemeClr w14:val="tx1"/>
            </w14:solidFill>
          </w14:textFill>
        </w:rPr>
      </w:pPr>
      <w:bookmarkStart w:id="96" w:name="_Toc16890"/>
      <w:bookmarkStart w:id="97" w:name="_Toc5125"/>
      <w:bookmarkStart w:id="98" w:name="_Toc21506041"/>
      <w:bookmarkStart w:id="99" w:name="_Toc14831"/>
      <w:bookmarkStart w:id="100" w:name="_Toc17277"/>
      <w:bookmarkStart w:id="101" w:name="_Toc25388"/>
      <w:bookmarkStart w:id="102" w:name="_Toc12359"/>
      <w:bookmarkStart w:id="103" w:name="_Toc4295_WPSOffice_Level2"/>
      <w:r>
        <w:rPr>
          <w:rFonts w:hint="eastAsia" w:hAnsi="宋体"/>
          <w:b/>
          <w:color w:val="000000" w:themeColor="text1"/>
          <w:sz w:val="24"/>
          <w14:textFill>
            <w14:solidFill>
              <w14:schemeClr w14:val="tx1"/>
            </w14:solidFill>
          </w14:textFill>
        </w:rPr>
        <w:t>6.2  降、排水</w:t>
      </w:r>
      <w:bookmarkEnd w:id="96"/>
      <w:bookmarkEnd w:id="97"/>
      <w:bookmarkEnd w:id="98"/>
      <w:bookmarkEnd w:id="99"/>
      <w:bookmarkEnd w:id="100"/>
      <w:bookmarkEnd w:id="101"/>
      <w:bookmarkEnd w:id="102"/>
      <w:bookmarkEnd w:id="103"/>
    </w:p>
    <w:p>
      <w:pPr>
        <w:pStyle w:val="22"/>
        <w:tabs>
          <w:tab w:val="left" w:pos="851"/>
          <w:tab w:val="left" w:pos="1440"/>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6.</w:t>
      </w:r>
      <w:r>
        <w:rPr>
          <w:rFonts w:hint="eastAsia" w:hAnsi="宋体"/>
          <w:b/>
          <w:color w:val="000000" w:themeColor="text1"/>
          <w:szCs w:val="21"/>
          <w14:textFill>
            <w14:solidFill>
              <w14:schemeClr w14:val="tx1"/>
            </w14:solidFill>
          </w14:textFill>
        </w:rPr>
        <w:t>2</w:t>
      </w:r>
      <w:r>
        <w:rPr>
          <w:rFonts w:hAnsi="宋体"/>
          <w:b/>
          <w:color w:val="000000" w:themeColor="text1"/>
          <w:szCs w:val="21"/>
          <w14:textFill>
            <w14:solidFill>
              <w14:schemeClr w14:val="tx1"/>
            </w14:solidFill>
          </w14:textFill>
        </w:rPr>
        <w:t xml:space="preserve">.1 </w:t>
      </w:r>
      <w:r>
        <w:rPr>
          <w:rFonts w:hint="eastAsia" w:hAnsi="宋体"/>
          <w:color w:val="000000" w:themeColor="text1"/>
          <w:szCs w:val="21"/>
          <w14:textFill>
            <w14:solidFill>
              <w14:schemeClr w14:val="tx1"/>
            </w14:solidFill>
          </w14:textFill>
        </w:rPr>
        <w:t>隧道外降水井布设应符合设计要求，并应符合下列规定：</w:t>
      </w:r>
    </w:p>
    <w:p>
      <w:pPr>
        <w:adjustRightInd w:val="0"/>
        <w:snapToGrid w:val="0"/>
        <w:spacing w:line="360" w:lineRule="auto"/>
        <w:ind w:firstLine="361" w:firstLineChars="171"/>
        <w:rPr>
          <w:rFonts w:hAnsi="宋体"/>
          <w:b/>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1</w:t>
      </w:r>
      <w:r>
        <w:rPr>
          <w:rFonts w:hint="eastAsia" w:hAnsi="宋体"/>
          <w:b/>
          <w:color w:val="000000" w:themeColor="text1"/>
          <w:szCs w:val="21"/>
          <w14:textFill>
            <w14:solidFill>
              <w14:schemeClr w14:val="tx1"/>
            </w14:solidFill>
          </w14:textFill>
        </w:rPr>
        <w:t xml:space="preserve"> </w:t>
      </w:r>
      <w:r>
        <w:rPr>
          <w:rFonts w:hint="eastAsia"/>
          <w:bCs/>
          <w:color w:val="000000" w:themeColor="text1"/>
          <w14:textFill>
            <w14:solidFill>
              <w14:schemeClr w14:val="tx1"/>
            </w14:solidFill>
          </w14:textFill>
        </w:rPr>
        <w:t>宜采用管井或轻型井点降水，降水井与暗挖隧道、车站的初期支护之间的净距离不宜小于2m，与洞内围护结构的净距离不宜小于1.5m；</w:t>
      </w:r>
    </w:p>
    <w:p>
      <w:pPr>
        <w:adjustRightInd w:val="0"/>
        <w:snapToGrid w:val="0"/>
        <w:spacing w:line="360" w:lineRule="auto"/>
        <w:ind w:firstLine="361" w:firstLineChars="171"/>
        <w:rPr>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2</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降水井布设应符合设计要求，</w:t>
      </w:r>
      <w:r>
        <w:rPr>
          <w:rFonts w:hint="eastAsia"/>
          <w:color w:val="000000" w:themeColor="text1"/>
          <w:szCs w:val="21"/>
          <w14:textFill>
            <w14:solidFill>
              <w14:schemeClr w14:val="tx1"/>
            </w14:solidFill>
          </w14:textFill>
        </w:rPr>
        <w:t>降水井应沿隧道布设，并应成封闭形；当不能封闭时，宜延长1倍以上的隧道宽度；</w:t>
      </w:r>
    </w:p>
    <w:p>
      <w:pPr>
        <w:adjustRightInd w:val="0"/>
        <w:snapToGrid w:val="0"/>
        <w:spacing w:line="360" w:lineRule="auto"/>
        <w:ind w:firstLine="361" w:firstLineChars="171"/>
        <w:rPr>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3</w:t>
      </w:r>
      <w:r>
        <w:rPr>
          <w:rFonts w:hint="eastAsia" w:hAnsi="宋体"/>
          <w:b/>
          <w:color w:val="000000" w:themeColor="text1"/>
          <w:szCs w:val="21"/>
          <w14:textFill>
            <w14:solidFill>
              <w14:schemeClr w14:val="tx1"/>
            </w14:solidFill>
          </w14:textFill>
        </w:rPr>
        <w:t xml:space="preserve"> </w:t>
      </w:r>
      <w:r>
        <w:rPr>
          <w:rFonts w:hint="eastAsia"/>
          <w:color w:val="000000" w:themeColor="text1"/>
          <w:szCs w:val="21"/>
          <w14:textFill>
            <w14:solidFill>
              <w14:schemeClr w14:val="tx1"/>
            </w14:solidFill>
          </w14:textFill>
        </w:rPr>
        <w:t>井点间距应根据隧道涌水量、单井涌水量计算确定，水位降深应满足设计要求；</w:t>
      </w:r>
    </w:p>
    <w:p>
      <w:pPr>
        <w:adjustRightInd w:val="0"/>
        <w:snapToGrid w:val="0"/>
        <w:spacing w:line="360" w:lineRule="auto"/>
        <w:ind w:firstLine="361" w:firstLineChars="171"/>
        <w:rPr>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4 </w:t>
      </w:r>
      <w:r>
        <w:rPr>
          <w:rFonts w:hint="eastAsia"/>
          <w:color w:val="000000" w:themeColor="text1"/>
          <w:szCs w:val="21"/>
          <w14:textFill>
            <w14:solidFill>
              <w14:schemeClr w14:val="tx1"/>
            </w14:solidFill>
          </w14:textFill>
        </w:rPr>
        <w:t>真空井点间距宜为0.8m～2.0m，真空管井间距宜为8.0m~10.0m，喷射井点间距宜为1.5m～3.0m；</w:t>
      </w:r>
    </w:p>
    <w:p>
      <w:pPr>
        <w:adjustRightInd w:val="0"/>
        <w:snapToGrid w:val="0"/>
        <w:spacing w:line="360" w:lineRule="auto"/>
        <w:ind w:firstLine="361" w:firstLineChars="171"/>
        <w:rPr>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5 </w:t>
      </w:r>
      <w:r>
        <w:rPr>
          <w:rFonts w:hint="eastAsia"/>
          <w:bCs/>
          <w:color w:val="000000" w:themeColor="text1"/>
          <w14:textFill>
            <w14:solidFill>
              <w14:schemeClr w14:val="tx1"/>
            </w14:solidFill>
          </w14:textFill>
        </w:rPr>
        <w:t>降水后地下水位应在工作面以下0.5m，且工作面残留水疏干后方可开挖。</w:t>
      </w:r>
    </w:p>
    <w:p>
      <w:pPr>
        <w:adjustRightInd w:val="0"/>
        <w:snapToGrid w:val="0"/>
        <w:spacing w:line="360" w:lineRule="auto"/>
        <w:jc w:val="left"/>
        <w:rPr>
          <w:rFonts w:hAnsi="宋体"/>
          <w:color w:val="000000" w:themeColor="text1"/>
          <w:szCs w:val="21"/>
          <w14:textFill>
            <w14:solidFill>
              <w14:schemeClr w14:val="tx1"/>
            </w14:solidFill>
          </w14:textFill>
        </w:rPr>
      </w:pPr>
      <w:r>
        <w:rPr>
          <w:b/>
          <w:color w:val="000000" w:themeColor="text1"/>
          <w14:textFill>
            <w14:solidFill>
              <w14:schemeClr w14:val="tx1"/>
            </w14:solidFill>
          </w14:textFill>
        </w:rPr>
        <w:t>6.</w:t>
      </w:r>
      <w:r>
        <w:rPr>
          <w:rFonts w:hint="eastAsia"/>
          <w:b/>
          <w:color w:val="000000" w:themeColor="text1"/>
          <w14:textFill>
            <w14:solidFill>
              <w14:schemeClr w14:val="tx1"/>
            </w14:solidFill>
          </w14:textFill>
        </w:rPr>
        <w:t>2</w:t>
      </w:r>
      <w:r>
        <w:rPr>
          <w:b/>
          <w:color w:val="000000" w:themeColor="text1"/>
          <w14:textFill>
            <w14:solidFill>
              <w14:schemeClr w14:val="tx1"/>
            </w14:solidFill>
          </w14:textFill>
        </w:rPr>
        <w:t>.</w:t>
      </w:r>
      <w:r>
        <w:rPr>
          <w:rFonts w:hint="eastAsia"/>
          <w:b/>
          <w:color w:val="000000" w:themeColor="text1"/>
          <w14:textFill>
            <w14:solidFill>
              <w14:schemeClr w14:val="tx1"/>
            </w14:solidFill>
          </w14:textFill>
        </w:rPr>
        <w:t>2</w:t>
      </w:r>
      <w:r>
        <w:rPr>
          <w:b/>
          <w:color w:val="000000" w:themeColor="text1"/>
          <w14:textFill>
            <w14:solidFill>
              <w14:schemeClr w14:val="tx1"/>
            </w14:solidFill>
          </w14:textFill>
        </w:rPr>
        <w:t xml:space="preserve"> </w:t>
      </w:r>
      <w:r>
        <w:rPr>
          <w:rFonts w:hint="eastAsia" w:hAnsi="宋体"/>
          <w:color w:val="000000" w:themeColor="text1"/>
          <w:szCs w:val="21"/>
          <w14:textFill>
            <w14:solidFill>
              <w14:schemeClr w14:val="tx1"/>
            </w14:solidFill>
          </w14:textFill>
        </w:rPr>
        <w:t>当隧道工作面存在残留水时，可采取洞内水平井点、倾斜井点进行降水，井点布置应符合设计要求，并应符合下列规定：</w:t>
      </w:r>
    </w:p>
    <w:p>
      <w:pPr>
        <w:adjustRightInd w:val="0"/>
        <w:snapToGrid w:val="0"/>
        <w:spacing w:line="360" w:lineRule="auto"/>
        <w:ind w:firstLine="422" w:firstLineChars="200"/>
        <w:jc w:val="left"/>
        <w:rPr>
          <w:rFonts w:hAnsi="宋体"/>
          <w:color w:val="000000" w:themeColor="text1"/>
          <w:szCs w:val="21"/>
          <w14:textFill>
            <w14:solidFill>
              <w14:schemeClr w14:val="tx1"/>
            </w14:solidFill>
          </w14:textFill>
        </w:rPr>
      </w:pPr>
      <w:r>
        <w:rPr>
          <w:rFonts w:hint="eastAsia"/>
          <w:b/>
          <w:color w:val="000000" w:themeColor="text1"/>
          <w14:textFill>
            <w14:solidFill>
              <w14:schemeClr w14:val="tx1"/>
            </w14:solidFill>
          </w14:textFill>
        </w:rPr>
        <w:t xml:space="preserve">1 </w:t>
      </w:r>
      <w:r>
        <w:rPr>
          <w:rFonts w:hint="eastAsia" w:hAnsi="宋体"/>
          <w:color w:val="000000" w:themeColor="text1"/>
          <w:szCs w:val="21"/>
          <w14:textFill>
            <w14:solidFill>
              <w14:schemeClr w14:val="tx1"/>
            </w14:solidFill>
          </w14:textFill>
        </w:rPr>
        <w:t>洞内降水井点宜用轻型井点；</w:t>
      </w:r>
    </w:p>
    <w:p>
      <w:pPr>
        <w:adjustRightInd w:val="0"/>
        <w:snapToGrid w:val="0"/>
        <w:spacing w:line="360" w:lineRule="auto"/>
        <w:ind w:firstLine="422" w:firstLineChars="200"/>
        <w:jc w:val="left"/>
        <w:rPr>
          <w:rFonts w:hAnsi="宋体"/>
          <w:color w:val="000000" w:themeColor="text1"/>
          <w:szCs w:val="21"/>
          <w14:textFill>
            <w14:solidFill>
              <w14:schemeClr w14:val="tx1"/>
            </w14:solidFill>
          </w14:textFill>
        </w:rPr>
      </w:pPr>
      <w:r>
        <w:rPr>
          <w:rFonts w:hint="eastAsia"/>
          <w:b/>
          <w:color w:val="000000" w:themeColor="text1"/>
          <w14:textFill>
            <w14:solidFill>
              <w14:schemeClr w14:val="tx1"/>
            </w14:solidFill>
          </w14:textFill>
        </w:rPr>
        <w:t>2</w:t>
      </w:r>
      <w:r>
        <w:rPr>
          <w:rFonts w:hint="eastAsia" w:hAnsi="宋体"/>
          <w:color w:val="000000" w:themeColor="text1"/>
          <w:szCs w:val="21"/>
          <w14:textFill>
            <w14:solidFill>
              <w14:schemeClr w14:val="tx1"/>
            </w14:solidFill>
          </w14:textFill>
        </w:rPr>
        <w:t xml:space="preserve"> 适用于降水井无法在地面布置，且地层为弱透水含水层，无承压水或微承压的情况；</w:t>
      </w:r>
    </w:p>
    <w:p>
      <w:pPr>
        <w:adjustRightInd w:val="0"/>
        <w:snapToGrid w:val="0"/>
        <w:spacing w:line="360" w:lineRule="auto"/>
        <w:ind w:firstLine="422" w:firstLineChars="200"/>
        <w:rPr>
          <w:color w:val="000000" w:themeColor="text1"/>
          <w:szCs w:val="21"/>
          <w14:textFill>
            <w14:solidFill>
              <w14:schemeClr w14:val="tx1"/>
            </w14:solidFill>
          </w14:textFill>
        </w:rPr>
      </w:pPr>
      <w:r>
        <w:rPr>
          <w:rFonts w:hint="eastAsia"/>
          <w:b/>
          <w:color w:val="000000" w:themeColor="text1"/>
          <w14:textFill>
            <w14:solidFill>
              <w14:schemeClr w14:val="tx1"/>
            </w14:solidFill>
          </w14:textFill>
        </w:rPr>
        <w:t xml:space="preserve">3 </w:t>
      </w:r>
      <w:r>
        <w:rPr>
          <w:rFonts w:hint="eastAsia"/>
          <w:color w:val="000000" w:themeColor="text1"/>
          <w:szCs w:val="21"/>
          <w14:textFill>
            <w14:solidFill>
              <w14:schemeClr w14:val="tx1"/>
            </w14:solidFill>
          </w14:textFill>
        </w:rPr>
        <w:t>滤管直径宜采用 38mm～60mm的金属管或PVC管，管壁上渗水孔直径为12mm～18mm，间距宜为25mm，呈梅花状排列，孔隙率应大于15%；管壁外应设两层滤网，内层滤网宜采用30目～80目的金属网或尼龙网，外层滤网宜采用3目～10目的金属网或尼龙网；管壁与滤网间应采用金属丝绕成螺旋形隔开，滤网外应再绕一层粗金属丝；</w:t>
      </w:r>
    </w:p>
    <w:p>
      <w:pPr>
        <w:adjustRightInd w:val="0"/>
        <w:snapToGrid w:val="0"/>
        <w:spacing w:line="360" w:lineRule="auto"/>
        <w:ind w:firstLine="361" w:firstLineChars="171"/>
        <w:rPr>
          <w:color w:val="000000" w:themeColor="text1"/>
          <w:szCs w:val="21"/>
          <w14:textFill>
            <w14:solidFill>
              <w14:schemeClr w14:val="tx1"/>
            </w14:solidFill>
          </w14:textFill>
        </w:rPr>
      </w:pPr>
      <w:r>
        <w:rPr>
          <w:rFonts w:hint="eastAsia"/>
          <w:b/>
          <w:color w:val="000000" w:themeColor="text1"/>
          <w14:textFill>
            <w14:solidFill>
              <w14:schemeClr w14:val="tx1"/>
            </w14:solidFill>
          </w14:textFill>
        </w:rPr>
        <w:t xml:space="preserve">4 </w:t>
      </w:r>
      <w:r>
        <w:rPr>
          <w:rFonts w:hint="eastAsia"/>
          <w:color w:val="000000" w:themeColor="text1"/>
          <w:szCs w:val="21"/>
          <w14:textFill>
            <w14:solidFill>
              <w14:schemeClr w14:val="tx1"/>
            </w14:solidFill>
          </w14:textFill>
        </w:rPr>
        <w:t>井点管的设置可采用射水法、钻孔法和冲孔法成孔，井孔直径不宜大于300mm；</w:t>
      </w:r>
    </w:p>
    <w:p>
      <w:pPr>
        <w:adjustRightInd w:val="0"/>
        <w:snapToGrid w:val="0"/>
        <w:spacing w:line="360" w:lineRule="auto"/>
        <w:ind w:firstLine="361" w:firstLineChars="171"/>
        <w:rPr>
          <w:color w:val="000000" w:themeColor="text1"/>
          <w:szCs w:val="21"/>
          <w14:textFill>
            <w14:solidFill>
              <w14:schemeClr w14:val="tx1"/>
            </w14:solidFill>
          </w14:textFill>
        </w:rPr>
      </w:pPr>
      <w:r>
        <w:rPr>
          <w:rFonts w:hint="eastAsia"/>
          <w:b/>
          <w:color w:val="000000" w:themeColor="text1"/>
          <w14:textFill>
            <w14:solidFill>
              <w14:schemeClr w14:val="tx1"/>
            </w14:solidFill>
          </w14:textFill>
        </w:rPr>
        <w:t xml:space="preserve">5 </w:t>
      </w:r>
      <w:r>
        <w:rPr>
          <w:rFonts w:hint="eastAsia"/>
          <w:color w:val="000000" w:themeColor="text1"/>
          <w:szCs w:val="21"/>
          <w14:textFill>
            <w14:solidFill>
              <w14:schemeClr w14:val="tx1"/>
            </w14:solidFill>
          </w14:textFill>
        </w:rPr>
        <w:t>成孔后应冲洗钻孔，稀释泥浆；在井管与孔壁间及时用洁净中粗砂填灌密实均匀， 投入滤料的数量应大于计算值的 85%；用高压水反冲洗后，再进行黏土封孔；黏土封孔厚度不应小于1m；</w:t>
      </w:r>
    </w:p>
    <w:p>
      <w:pPr>
        <w:adjustRightInd w:val="0"/>
        <w:snapToGrid w:val="0"/>
        <w:spacing w:line="360" w:lineRule="auto"/>
        <w:ind w:firstLine="361" w:firstLineChars="171"/>
        <w:rPr>
          <w:color w:val="000000" w:themeColor="text1"/>
          <w:szCs w:val="21"/>
          <w14:textFill>
            <w14:solidFill>
              <w14:schemeClr w14:val="tx1"/>
            </w14:solidFill>
          </w14:textFill>
        </w:rPr>
      </w:pPr>
      <w:r>
        <w:rPr>
          <w:rFonts w:hint="eastAsia"/>
          <w:b/>
          <w:color w:val="000000" w:themeColor="text1"/>
          <w14:textFill>
            <w14:solidFill>
              <w14:schemeClr w14:val="tx1"/>
            </w14:solidFill>
          </w14:textFill>
        </w:rPr>
        <w:t xml:space="preserve">6 </w:t>
      </w:r>
      <w:r>
        <w:rPr>
          <w:rFonts w:hint="eastAsia" w:hAnsi="宋体"/>
          <w:color w:val="000000" w:themeColor="text1"/>
          <w:szCs w:val="21"/>
          <w14:textFill>
            <w14:solidFill>
              <w14:schemeClr w14:val="tx1"/>
            </w14:solidFill>
          </w14:textFill>
        </w:rPr>
        <w:t>泵组及集水总管</w:t>
      </w:r>
      <w:r>
        <w:rPr>
          <w:rFonts w:hint="eastAsia"/>
          <w:color w:val="000000" w:themeColor="text1"/>
          <w:szCs w:val="21"/>
          <w14:textFill>
            <w14:solidFill>
              <w14:schemeClr w14:val="tx1"/>
            </w14:solidFill>
          </w14:textFill>
        </w:rPr>
        <w:t>应连接严密，不渗不漏。抽水真空度应保持在60kPa 以上。</w:t>
      </w:r>
    </w:p>
    <w:p>
      <w:pPr>
        <w:adjustRightInd w:val="0"/>
        <w:snapToGrid w:val="0"/>
        <w:spacing w:before="78" w:beforeLines="25" w:after="78" w:afterLines="25" w:line="360" w:lineRule="auto"/>
        <w:rPr>
          <w:rFonts w:ascii="宋体" w:hAnsi="宋体" w:cs="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6.</w:t>
      </w:r>
      <w:r>
        <w:rPr>
          <w:rFonts w:hint="eastAsia" w:hAnsi="宋体"/>
          <w:b/>
          <w:color w:val="000000" w:themeColor="text1"/>
          <w:szCs w:val="21"/>
          <w14:textFill>
            <w14:solidFill>
              <w14:schemeClr w14:val="tx1"/>
            </w14:solidFill>
          </w14:textFill>
        </w:rPr>
        <w:t>2</w:t>
      </w:r>
      <w:r>
        <w:rPr>
          <w:rFonts w:hAnsi="宋体"/>
          <w:b/>
          <w:color w:val="000000" w:themeColor="text1"/>
          <w:szCs w:val="21"/>
          <w14:textFill>
            <w14:solidFill>
              <w14:schemeClr w14:val="tx1"/>
            </w14:solidFill>
          </w14:textFill>
        </w:rPr>
        <w:t>.</w:t>
      </w:r>
      <w:r>
        <w:rPr>
          <w:rFonts w:hint="eastAsia" w:hAnsi="宋体"/>
          <w:b/>
          <w:color w:val="000000" w:themeColor="text1"/>
          <w:szCs w:val="21"/>
          <w14:textFill>
            <w14:solidFill>
              <w14:schemeClr w14:val="tx1"/>
            </w14:solidFill>
          </w14:textFill>
        </w:rPr>
        <w:t>3</w:t>
      </w:r>
      <w:r>
        <w:rPr>
          <w:rFonts w:hAnsi="宋体"/>
          <w:b/>
          <w:color w:val="000000" w:themeColor="text1"/>
          <w:szCs w:val="21"/>
          <w14:textFill>
            <w14:solidFill>
              <w14:schemeClr w14:val="tx1"/>
            </w14:solidFill>
          </w14:textFill>
        </w:rPr>
        <w:t xml:space="preserve"> </w:t>
      </w:r>
      <w:r>
        <w:rPr>
          <w:rFonts w:hint="eastAsia"/>
          <w:color w:val="000000" w:themeColor="text1"/>
          <w14:textFill>
            <w14:solidFill>
              <w14:schemeClr w14:val="tx1"/>
            </w14:solidFill>
          </w14:textFill>
        </w:rPr>
        <w:t>当</w:t>
      </w:r>
      <w:r>
        <w:rPr>
          <w:rFonts w:hint="eastAsia" w:hAnsi="宋体"/>
          <w:color w:val="000000" w:themeColor="text1"/>
          <w:szCs w:val="21"/>
          <w14:textFill>
            <w14:solidFill>
              <w14:schemeClr w14:val="tx1"/>
            </w14:solidFill>
          </w14:textFill>
        </w:rPr>
        <w:t>隧道内出现渗水时，宜设置导水管、导水沟或盲沟等明排系统。采用盲沟排水时，盲沟内宜采用集配碎石填充或设置排水管。</w:t>
      </w:r>
      <w:r>
        <w:rPr>
          <w:rFonts w:hint="eastAsia" w:ascii="宋体" w:hAnsi="宋体" w:cs="宋体"/>
          <w:color w:val="000000" w:themeColor="text1"/>
          <w:szCs w:val="21"/>
          <w14:textFill>
            <w14:solidFill>
              <w14:schemeClr w14:val="tx1"/>
            </w14:solidFill>
          </w14:textFill>
        </w:rPr>
        <w:t>排水沟宜布置在隧道单侧或两侧，底部宽宜为 0.2m～0.3m，深度宜为 0.2m～0.50m，集水井应位于隧道或竖井低点，深度宜为0.5m～0.8m。</w:t>
      </w:r>
    </w:p>
    <w:p>
      <w:pPr>
        <w:tabs>
          <w:tab w:val="left" w:pos="576"/>
        </w:tabs>
        <w:adjustRightInd w:val="0"/>
        <w:snapToGrid w:val="0"/>
        <w:spacing w:before="312" w:beforeLines="100" w:after="312" w:afterLines="100"/>
        <w:jc w:val="center"/>
        <w:outlineLvl w:val="1"/>
        <w:rPr>
          <w:rFonts w:hAnsi="宋体"/>
          <w:b/>
          <w:bCs/>
          <w:color w:val="000000" w:themeColor="text1"/>
          <w:sz w:val="24"/>
          <w14:textFill>
            <w14:solidFill>
              <w14:schemeClr w14:val="tx1"/>
            </w14:solidFill>
          </w14:textFill>
        </w:rPr>
      </w:pPr>
      <w:bookmarkStart w:id="104" w:name="_Toc12823"/>
      <w:bookmarkStart w:id="105" w:name="_Toc17146"/>
      <w:bookmarkStart w:id="106" w:name="_Toc23970"/>
      <w:bookmarkStart w:id="107" w:name="_Toc26961"/>
      <w:bookmarkStart w:id="108" w:name="_Toc7583"/>
      <w:bookmarkStart w:id="109" w:name="_Toc32759"/>
      <w:r>
        <w:rPr>
          <w:rFonts w:hint="eastAsia"/>
          <w:b/>
          <w:bCs/>
          <w:color w:val="000000" w:themeColor="text1"/>
          <w:sz w:val="24"/>
          <w14:textFill>
            <w14:solidFill>
              <w14:schemeClr w14:val="tx1"/>
            </w14:solidFill>
          </w14:textFill>
        </w:rPr>
        <w:t>6.3  全断面超前深孔注浆</w:t>
      </w:r>
      <w:bookmarkEnd w:id="104"/>
      <w:bookmarkEnd w:id="105"/>
      <w:bookmarkEnd w:id="106"/>
      <w:bookmarkEnd w:id="107"/>
      <w:bookmarkEnd w:id="108"/>
      <w:bookmarkEnd w:id="109"/>
    </w:p>
    <w:p>
      <w:pPr>
        <w:adjustRightInd w:val="0"/>
        <w:snapToGrid w:val="0"/>
        <w:spacing w:line="360" w:lineRule="auto"/>
        <w:rPr>
          <w:rFonts w:hAnsi="宋体"/>
          <w:bCs/>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6.3.1 </w:t>
      </w:r>
      <w:r>
        <w:rPr>
          <w:rFonts w:hint="eastAsia" w:hAnsi="宋体"/>
          <w:bCs/>
          <w:color w:val="000000" w:themeColor="text1"/>
          <w:szCs w:val="21"/>
          <w14:textFill>
            <w14:solidFill>
              <w14:schemeClr w14:val="tx1"/>
            </w14:solidFill>
          </w14:textFill>
        </w:rPr>
        <w:t>隧道注浆止水应根据地层性质、地下水压、浆液材料、注浆压力等因素确定，确定设计浆液扩散半径。设计浆液扩散半径经验值可按</w:t>
      </w:r>
      <w:r>
        <w:rPr>
          <w:rFonts w:hint="eastAsia" w:ascii="宋体" w:hAnsi="宋体" w:cs="宋体"/>
          <w:bCs/>
          <w:color w:val="000000" w:themeColor="text1"/>
          <w:szCs w:val="21"/>
          <w14:textFill>
            <w14:solidFill>
              <w14:schemeClr w14:val="tx1"/>
            </w14:solidFill>
          </w14:textFill>
        </w:rPr>
        <w:t>表</w:t>
      </w:r>
      <w:r>
        <w:rPr>
          <w:rFonts w:hint="eastAsia" w:hAnsi="宋体"/>
          <w:b/>
          <w:color w:val="000000" w:themeColor="text1"/>
          <w:szCs w:val="21"/>
          <w14:textFill>
            <w14:solidFill>
              <w14:schemeClr w14:val="tx1"/>
            </w14:solidFill>
          </w14:textFill>
        </w:rPr>
        <w:t>6.3.1</w:t>
      </w:r>
      <w:r>
        <w:rPr>
          <w:rFonts w:hint="eastAsia" w:ascii="宋体" w:hAnsi="宋体" w:cs="宋体"/>
          <w:bCs/>
          <w:color w:val="000000" w:themeColor="text1"/>
          <w:szCs w:val="21"/>
          <w14:textFill>
            <w14:solidFill>
              <w14:schemeClr w14:val="tx1"/>
            </w14:solidFill>
          </w14:textFill>
        </w:rPr>
        <w:t>取</w:t>
      </w:r>
      <w:r>
        <w:rPr>
          <w:rFonts w:hint="eastAsia" w:hAnsi="宋体"/>
          <w:bCs/>
          <w:color w:val="000000" w:themeColor="text1"/>
          <w:szCs w:val="21"/>
          <w14:textFill>
            <w14:solidFill>
              <w14:schemeClr w14:val="tx1"/>
            </w14:solidFill>
          </w14:textFill>
        </w:rPr>
        <w:t>值。</w:t>
      </w:r>
    </w:p>
    <w:p>
      <w:pPr>
        <w:adjustRightInd w:val="0"/>
        <w:snapToGrid w:val="0"/>
        <w:spacing w:line="360" w:lineRule="auto"/>
        <w:jc w:val="center"/>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表</w:t>
      </w:r>
      <w:r>
        <w:rPr>
          <w:rFonts w:hint="eastAsia" w:hAnsi="宋体"/>
          <w:b/>
          <w:color w:val="000000" w:themeColor="text1"/>
          <w:szCs w:val="21"/>
          <w14:textFill>
            <w14:solidFill>
              <w14:schemeClr w14:val="tx1"/>
            </w14:solidFill>
          </w14:textFill>
        </w:rPr>
        <w:t>6.3.1</w:t>
      </w:r>
      <w:r>
        <w:rPr>
          <w:rFonts w:hint="eastAsia" w:hAnsi="宋体"/>
          <w:bCs/>
          <w:color w:val="000000" w:themeColor="text1"/>
          <w:szCs w:val="21"/>
          <w14:textFill>
            <w14:solidFill>
              <w14:schemeClr w14:val="tx1"/>
            </w14:solidFill>
          </w14:textFill>
        </w:rPr>
        <w:t xml:space="preserve">  隧道注浆止水设计浆液扩散半径经验取值范围</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5"/>
        <w:gridCol w:w="1500"/>
        <w:gridCol w:w="1589"/>
        <w:gridCol w:w="1222"/>
        <w:gridCol w:w="1267"/>
        <w:gridCol w:w="12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1655" w:type="dxa"/>
            <w:vAlign w:val="center"/>
          </w:tcPr>
          <w:p>
            <w:pPr>
              <w:adjustRightInd w:val="0"/>
              <w:snapToGrid w:val="0"/>
              <w:spacing w:line="240" w:lineRule="atLeast"/>
              <w:jc w:val="center"/>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地层岩性</w:t>
            </w:r>
          </w:p>
        </w:tc>
        <w:tc>
          <w:tcPr>
            <w:tcW w:w="1500" w:type="dxa"/>
            <w:vAlign w:val="center"/>
          </w:tcPr>
          <w:p>
            <w:pPr>
              <w:adjustRightInd w:val="0"/>
              <w:snapToGrid w:val="0"/>
              <w:spacing w:line="240" w:lineRule="atLeast"/>
              <w:jc w:val="center"/>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黏性土、粉土</w:t>
            </w:r>
          </w:p>
        </w:tc>
        <w:tc>
          <w:tcPr>
            <w:tcW w:w="1589" w:type="dxa"/>
            <w:vAlign w:val="center"/>
          </w:tcPr>
          <w:p>
            <w:pPr>
              <w:adjustRightInd w:val="0"/>
              <w:snapToGrid w:val="0"/>
              <w:spacing w:line="240" w:lineRule="atLeast"/>
              <w:jc w:val="center"/>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粉细砂、中砂</w:t>
            </w:r>
          </w:p>
        </w:tc>
        <w:tc>
          <w:tcPr>
            <w:tcW w:w="1222" w:type="dxa"/>
            <w:vAlign w:val="center"/>
          </w:tcPr>
          <w:p>
            <w:pPr>
              <w:adjustRightInd w:val="0"/>
              <w:snapToGrid w:val="0"/>
              <w:spacing w:line="240" w:lineRule="atLeast"/>
              <w:jc w:val="center"/>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粗砂</w:t>
            </w:r>
          </w:p>
        </w:tc>
        <w:tc>
          <w:tcPr>
            <w:tcW w:w="1267" w:type="dxa"/>
            <w:vAlign w:val="center"/>
          </w:tcPr>
          <w:p>
            <w:pPr>
              <w:adjustRightInd w:val="0"/>
              <w:snapToGrid w:val="0"/>
              <w:spacing w:line="240" w:lineRule="atLeast"/>
              <w:jc w:val="center"/>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卵砾石</w:t>
            </w:r>
          </w:p>
        </w:tc>
        <w:tc>
          <w:tcPr>
            <w:tcW w:w="1289" w:type="dxa"/>
            <w:vAlign w:val="center"/>
          </w:tcPr>
          <w:p>
            <w:pPr>
              <w:adjustRightInd w:val="0"/>
              <w:snapToGrid w:val="0"/>
              <w:spacing w:line="240" w:lineRule="atLeast"/>
              <w:jc w:val="center"/>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破碎基岩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 w:hRule="atLeast"/>
        </w:trPr>
        <w:tc>
          <w:tcPr>
            <w:tcW w:w="1655" w:type="dxa"/>
            <w:vAlign w:val="center"/>
          </w:tcPr>
          <w:p>
            <w:pPr>
              <w:adjustRightInd w:val="0"/>
              <w:snapToGrid w:val="0"/>
              <w:spacing w:line="240" w:lineRule="atLeast"/>
              <w:jc w:val="center"/>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扩散半径（m）</w:t>
            </w:r>
          </w:p>
        </w:tc>
        <w:tc>
          <w:tcPr>
            <w:tcW w:w="1500" w:type="dxa"/>
            <w:vAlign w:val="center"/>
          </w:tcPr>
          <w:p>
            <w:pPr>
              <w:adjustRightInd w:val="0"/>
              <w:snapToGrid w:val="0"/>
              <w:spacing w:line="240" w:lineRule="atLeast"/>
              <w:jc w:val="center"/>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0.2～0.4</w:t>
            </w:r>
          </w:p>
        </w:tc>
        <w:tc>
          <w:tcPr>
            <w:tcW w:w="1589" w:type="dxa"/>
            <w:vAlign w:val="center"/>
          </w:tcPr>
          <w:p>
            <w:pPr>
              <w:adjustRightInd w:val="0"/>
              <w:snapToGrid w:val="0"/>
              <w:spacing w:line="240" w:lineRule="atLeast"/>
              <w:jc w:val="center"/>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0.25～0.5</w:t>
            </w:r>
          </w:p>
        </w:tc>
        <w:tc>
          <w:tcPr>
            <w:tcW w:w="1222" w:type="dxa"/>
            <w:vAlign w:val="center"/>
          </w:tcPr>
          <w:p>
            <w:pPr>
              <w:adjustRightInd w:val="0"/>
              <w:snapToGrid w:val="0"/>
              <w:spacing w:line="240" w:lineRule="atLeast"/>
              <w:jc w:val="center"/>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0.3～0.6</w:t>
            </w:r>
          </w:p>
        </w:tc>
        <w:tc>
          <w:tcPr>
            <w:tcW w:w="1267" w:type="dxa"/>
            <w:vAlign w:val="center"/>
          </w:tcPr>
          <w:p>
            <w:pPr>
              <w:adjustRightInd w:val="0"/>
              <w:snapToGrid w:val="0"/>
              <w:spacing w:line="240" w:lineRule="atLeast"/>
              <w:jc w:val="center"/>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0.6～1.0</w:t>
            </w:r>
          </w:p>
        </w:tc>
        <w:tc>
          <w:tcPr>
            <w:tcW w:w="1289" w:type="dxa"/>
            <w:vAlign w:val="center"/>
          </w:tcPr>
          <w:p>
            <w:pPr>
              <w:adjustRightInd w:val="0"/>
              <w:snapToGrid w:val="0"/>
              <w:spacing w:line="240" w:lineRule="atLeast"/>
              <w:jc w:val="center"/>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0.8～1.5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9" w:hRule="atLeast"/>
        </w:trPr>
        <w:tc>
          <w:tcPr>
            <w:tcW w:w="1655" w:type="dxa"/>
            <w:vAlign w:val="center"/>
          </w:tcPr>
          <w:p>
            <w:pPr>
              <w:adjustRightInd w:val="0"/>
              <w:snapToGrid w:val="0"/>
              <w:spacing w:line="240" w:lineRule="atLeast"/>
              <w:jc w:val="center"/>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取值方法</w:t>
            </w:r>
          </w:p>
        </w:tc>
        <w:tc>
          <w:tcPr>
            <w:tcW w:w="6867" w:type="dxa"/>
            <w:gridSpan w:val="5"/>
            <w:vAlign w:val="center"/>
          </w:tcPr>
          <w:p>
            <w:pPr>
              <w:adjustRightInd w:val="0"/>
              <w:snapToGrid w:val="0"/>
              <w:spacing w:line="240" w:lineRule="atLeast"/>
              <w:jc w:val="left"/>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1 地层空隙越大，浆液扩散半径宜取高值；</w:t>
            </w:r>
          </w:p>
          <w:p>
            <w:pPr>
              <w:adjustRightInd w:val="0"/>
              <w:snapToGrid w:val="0"/>
              <w:spacing w:line="240" w:lineRule="atLeast"/>
              <w:jc w:val="left"/>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2 地层水压越高，浆液扩散半径宜取低值；</w:t>
            </w:r>
          </w:p>
          <w:p>
            <w:pPr>
              <w:adjustRightInd w:val="0"/>
              <w:snapToGrid w:val="0"/>
              <w:spacing w:line="240" w:lineRule="atLeast"/>
              <w:jc w:val="left"/>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3 注浆压力越高，浆液扩散半径宜取高值；</w:t>
            </w:r>
          </w:p>
          <w:p>
            <w:pPr>
              <w:adjustRightInd w:val="0"/>
              <w:snapToGrid w:val="0"/>
              <w:spacing w:line="240" w:lineRule="atLeast"/>
              <w:jc w:val="left"/>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4 浆液颗粒越细，浆液扩散半径宜取高值；</w:t>
            </w:r>
          </w:p>
          <w:p>
            <w:pPr>
              <w:adjustRightInd w:val="0"/>
              <w:snapToGrid w:val="0"/>
              <w:spacing w:line="240" w:lineRule="atLeast"/>
              <w:jc w:val="left"/>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5 在不同地层界面处，浆液扩散半径宜取低值。</w:t>
            </w:r>
          </w:p>
        </w:tc>
      </w:tr>
    </w:tbl>
    <w:p>
      <w:pPr>
        <w:pStyle w:val="22"/>
        <w:tabs>
          <w:tab w:val="left" w:pos="851"/>
          <w:tab w:val="left" w:pos="5693"/>
        </w:tabs>
        <w:snapToGrid w:val="0"/>
        <w:spacing w:line="360" w:lineRule="auto"/>
        <w:ind w:firstLine="0" w:firstLineChars="0"/>
        <w:jc w:val="left"/>
        <w:rPr>
          <w:rFonts w:hAnsi="宋体"/>
          <w:bCs/>
          <w:color w:val="000000" w:themeColor="text1"/>
          <w:szCs w:val="21"/>
          <w14:textFill>
            <w14:solidFill>
              <w14:schemeClr w14:val="tx1"/>
            </w14:solidFill>
          </w14:textFill>
        </w:rPr>
      </w:pPr>
    </w:p>
    <w:p>
      <w:pPr>
        <w:pStyle w:val="22"/>
        <w:tabs>
          <w:tab w:val="left" w:pos="851"/>
          <w:tab w:val="left" w:pos="5693"/>
        </w:tabs>
        <w:snapToGrid w:val="0"/>
        <w:spacing w:line="360" w:lineRule="auto"/>
        <w:ind w:firstLine="0" w:firstLineChars="0"/>
        <w:jc w:val="left"/>
        <w:rPr>
          <w:rFonts w:hAnsi="宋体"/>
          <w:bCs/>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6.3.2 </w:t>
      </w:r>
      <w:r>
        <w:rPr>
          <w:rFonts w:hint="eastAsia" w:hAnsi="宋体"/>
          <w:bCs/>
          <w:color w:val="000000" w:themeColor="text1"/>
          <w:szCs w:val="21"/>
          <w14:textFill>
            <w14:solidFill>
              <w14:schemeClr w14:val="tx1"/>
            </w14:solidFill>
          </w14:textFill>
        </w:rPr>
        <w:t>隧道深孔注浆</w:t>
      </w:r>
      <w:r>
        <w:rPr>
          <w:rFonts w:hint="eastAsia" w:hAnsi="宋体"/>
          <w:bCs/>
          <w:color w:val="000000" w:themeColor="text1"/>
          <w:szCs w:val="21"/>
          <w:u w:val="single" w:color="FFFFFF" w:themeColor="background1"/>
          <w14:textFill>
            <w14:solidFill>
              <w14:schemeClr w14:val="tx1"/>
            </w14:solidFill>
          </w14:textFill>
        </w:rPr>
        <w:t>止水宜全断面</w:t>
      </w:r>
      <w:r>
        <w:rPr>
          <w:rFonts w:hint="eastAsia" w:hAnsi="宋体"/>
          <w:bCs/>
          <w:color w:val="000000" w:themeColor="text1"/>
          <w:szCs w:val="21"/>
          <w14:textFill>
            <w14:solidFill>
              <w14:schemeClr w14:val="tx1"/>
            </w14:solidFill>
          </w14:textFill>
        </w:rPr>
        <w:t>进行，止浆墙厚度、注浆范围、分段注浆长度、扩散半径、终孔间距、总注浆量应符合设计要求。</w:t>
      </w:r>
    </w:p>
    <w:p>
      <w:pPr>
        <w:pStyle w:val="22"/>
        <w:tabs>
          <w:tab w:val="left" w:pos="851"/>
          <w:tab w:val="left" w:pos="5693"/>
        </w:tabs>
        <w:snapToGrid w:val="0"/>
        <w:spacing w:line="360" w:lineRule="auto"/>
        <w:ind w:firstLine="0" w:firstLineChars="0"/>
        <w:jc w:val="left"/>
        <w:rPr>
          <w:rFonts w:hAnsi="宋体"/>
          <w:bCs/>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6.3.3 </w:t>
      </w:r>
      <w:r>
        <w:rPr>
          <w:rFonts w:hint="eastAsia" w:hAnsi="宋体"/>
          <w:bCs/>
          <w:color w:val="000000" w:themeColor="text1"/>
          <w:szCs w:val="21"/>
          <w14:textFill>
            <w14:solidFill>
              <w14:schemeClr w14:val="tx1"/>
            </w14:solidFill>
          </w14:textFill>
        </w:rPr>
        <w:t>施工单位应依据地层的特性和设计文件的注浆范围制定注浆孔的布置方案；各相邻注浆孔终端的扩散半径应相互重叠，无盲区；施工过程中，注浆孔的孔位、角度和深度的偏差应符合</w:t>
      </w:r>
      <w:r>
        <w:rPr>
          <w:rFonts w:hint="eastAsia" w:ascii="宋体" w:hAnsi="宋体" w:cs="宋体"/>
          <w:bCs/>
          <w:color w:val="000000" w:themeColor="text1"/>
          <w:szCs w:val="21"/>
          <w14:textFill>
            <w14:solidFill>
              <w14:schemeClr w14:val="tx1"/>
            </w14:solidFill>
          </w14:textFill>
        </w:rPr>
        <w:t>表</w:t>
      </w:r>
      <w:r>
        <w:rPr>
          <w:rFonts w:hint="eastAsia" w:hAnsi="宋体"/>
          <w:b/>
          <w:color w:val="000000" w:themeColor="text1"/>
          <w:szCs w:val="21"/>
          <w14:textFill>
            <w14:solidFill>
              <w14:schemeClr w14:val="tx1"/>
            </w14:solidFill>
          </w14:textFill>
        </w:rPr>
        <w:t>6.3.3</w:t>
      </w:r>
      <w:r>
        <w:rPr>
          <w:rFonts w:hint="eastAsia" w:hAnsi="宋体"/>
          <w:bCs/>
          <w:color w:val="000000" w:themeColor="text1"/>
          <w:szCs w:val="21"/>
          <w14:textFill>
            <w14:solidFill>
              <w14:schemeClr w14:val="tx1"/>
            </w14:solidFill>
          </w14:textFill>
        </w:rPr>
        <w:t xml:space="preserve">的规定。 </w:t>
      </w:r>
    </w:p>
    <w:p>
      <w:pPr>
        <w:pStyle w:val="22"/>
        <w:tabs>
          <w:tab w:val="left" w:pos="851"/>
          <w:tab w:val="left" w:pos="5693"/>
        </w:tabs>
        <w:snapToGrid w:val="0"/>
        <w:spacing w:line="360" w:lineRule="auto"/>
        <w:ind w:firstLine="0" w:firstLineChars="0"/>
        <w:jc w:val="center"/>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 xml:space="preserve">表 </w:t>
      </w:r>
      <w:r>
        <w:rPr>
          <w:rFonts w:hint="eastAsia" w:hAnsi="宋体"/>
          <w:b/>
          <w:color w:val="000000" w:themeColor="text1"/>
          <w:szCs w:val="21"/>
          <w14:textFill>
            <w14:solidFill>
              <w14:schemeClr w14:val="tx1"/>
            </w14:solidFill>
          </w14:textFill>
        </w:rPr>
        <w:t>6.3.3</w:t>
      </w:r>
      <w:r>
        <w:rPr>
          <w:rFonts w:hint="eastAsia" w:hAnsi="宋体"/>
          <w:bCs/>
          <w:color w:val="000000" w:themeColor="text1"/>
          <w:szCs w:val="21"/>
          <w14:textFill>
            <w14:solidFill>
              <w14:schemeClr w14:val="tx1"/>
            </w14:solidFill>
          </w14:textFill>
        </w:rPr>
        <w:t xml:space="preserve">  注浆孔的孔位、角度和深度允许偏差</w:t>
      </w:r>
    </w:p>
    <w:tbl>
      <w:tblPr>
        <w:tblStyle w:val="13"/>
        <w:tblW w:w="0" w:type="auto"/>
        <w:tblInd w:w="143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11"/>
        <w:gridCol w:w="26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trPr>
        <w:tc>
          <w:tcPr>
            <w:tcW w:w="2511" w:type="dxa"/>
            <w:vAlign w:val="center"/>
          </w:tcPr>
          <w:p>
            <w:pPr>
              <w:pStyle w:val="22"/>
              <w:tabs>
                <w:tab w:val="left" w:pos="851"/>
                <w:tab w:val="left" w:pos="5693"/>
              </w:tabs>
              <w:snapToGrid w:val="0"/>
              <w:spacing w:line="240" w:lineRule="atLeast"/>
              <w:ind w:firstLine="0" w:firstLineChars="0"/>
              <w:jc w:val="center"/>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项 目</w:t>
            </w:r>
          </w:p>
        </w:tc>
        <w:tc>
          <w:tcPr>
            <w:tcW w:w="2655" w:type="dxa"/>
            <w:vAlign w:val="center"/>
          </w:tcPr>
          <w:p>
            <w:pPr>
              <w:pStyle w:val="22"/>
              <w:tabs>
                <w:tab w:val="left" w:pos="851"/>
                <w:tab w:val="left" w:pos="5693"/>
              </w:tabs>
              <w:snapToGrid w:val="0"/>
              <w:spacing w:line="240" w:lineRule="atLeast"/>
              <w:ind w:firstLine="0" w:firstLineChars="0"/>
              <w:jc w:val="center"/>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允许偏差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2511" w:type="dxa"/>
            <w:vAlign w:val="center"/>
          </w:tcPr>
          <w:p>
            <w:pPr>
              <w:pStyle w:val="22"/>
              <w:tabs>
                <w:tab w:val="left" w:pos="851"/>
                <w:tab w:val="left" w:pos="5693"/>
              </w:tabs>
              <w:snapToGrid w:val="0"/>
              <w:spacing w:line="240" w:lineRule="atLeast"/>
              <w:ind w:firstLine="0" w:firstLineChars="0"/>
              <w:jc w:val="center"/>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注浆孔孔位</w:t>
            </w:r>
          </w:p>
        </w:tc>
        <w:tc>
          <w:tcPr>
            <w:tcW w:w="2655" w:type="dxa"/>
            <w:vAlign w:val="center"/>
          </w:tcPr>
          <w:p>
            <w:pPr>
              <w:pStyle w:val="22"/>
              <w:tabs>
                <w:tab w:val="left" w:pos="851"/>
                <w:tab w:val="left" w:pos="5693"/>
              </w:tabs>
              <w:snapToGrid w:val="0"/>
              <w:spacing w:line="240" w:lineRule="atLeast"/>
              <w:ind w:firstLine="0" w:firstLineChars="0"/>
              <w:jc w:val="center"/>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3cm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2511" w:type="dxa"/>
            <w:vAlign w:val="center"/>
          </w:tcPr>
          <w:p>
            <w:pPr>
              <w:pStyle w:val="22"/>
              <w:tabs>
                <w:tab w:val="left" w:pos="851"/>
                <w:tab w:val="left" w:pos="5693"/>
              </w:tabs>
              <w:snapToGrid w:val="0"/>
              <w:spacing w:line="240" w:lineRule="atLeast"/>
              <w:ind w:firstLine="0" w:firstLineChars="0"/>
              <w:jc w:val="center"/>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注浆孔角度</w:t>
            </w:r>
          </w:p>
        </w:tc>
        <w:tc>
          <w:tcPr>
            <w:tcW w:w="2655" w:type="dxa"/>
            <w:vAlign w:val="center"/>
          </w:tcPr>
          <w:p>
            <w:pPr>
              <w:pStyle w:val="22"/>
              <w:tabs>
                <w:tab w:val="left" w:pos="851"/>
                <w:tab w:val="left" w:pos="5693"/>
              </w:tabs>
              <w:snapToGrid w:val="0"/>
              <w:spacing w:line="240" w:lineRule="atLeast"/>
              <w:ind w:firstLine="0" w:firstLineChars="0"/>
              <w:jc w:val="center"/>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2511" w:type="dxa"/>
            <w:vAlign w:val="center"/>
          </w:tcPr>
          <w:p>
            <w:pPr>
              <w:pStyle w:val="22"/>
              <w:tabs>
                <w:tab w:val="left" w:pos="851"/>
                <w:tab w:val="left" w:pos="5693"/>
              </w:tabs>
              <w:snapToGrid w:val="0"/>
              <w:spacing w:line="240" w:lineRule="atLeast"/>
              <w:ind w:firstLine="0" w:firstLineChars="0"/>
              <w:jc w:val="center"/>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注浆孔深度</w:t>
            </w:r>
          </w:p>
        </w:tc>
        <w:tc>
          <w:tcPr>
            <w:tcW w:w="2655" w:type="dxa"/>
            <w:vAlign w:val="center"/>
          </w:tcPr>
          <w:p>
            <w:pPr>
              <w:pStyle w:val="22"/>
              <w:tabs>
                <w:tab w:val="left" w:pos="851"/>
                <w:tab w:val="left" w:pos="5693"/>
              </w:tabs>
              <w:snapToGrid w:val="0"/>
              <w:spacing w:line="240" w:lineRule="atLeast"/>
              <w:ind w:firstLine="0" w:firstLineChars="0"/>
              <w:jc w:val="center"/>
              <w:rPr>
                <w:rFonts w:hAnsi="宋体"/>
                <w:bCs/>
                <w:color w:val="000000" w:themeColor="text1"/>
                <w:szCs w:val="21"/>
                <w14:textFill>
                  <w14:solidFill>
                    <w14:schemeClr w14:val="tx1"/>
                  </w14:solidFill>
                </w14:textFill>
              </w:rPr>
            </w:pPr>
            <w:r>
              <w:rPr>
                <w:rFonts w:hint="eastAsia" w:hAnsi="宋体"/>
                <w:bCs/>
                <w:color w:val="000000" w:themeColor="text1"/>
                <w:szCs w:val="21"/>
                <w14:textFill>
                  <w14:solidFill>
                    <w14:schemeClr w14:val="tx1"/>
                  </w14:solidFill>
                </w14:textFill>
              </w:rPr>
              <w:t>不小于设计深度</w:t>
            </w:r>
          </w:p>
        </w:tc>
      </w:tr>
    </w:tbl>
    <w:p>
      <w:pPr>
        <w:pStyle w:val="22"/>
        <w:tabs>
          <w:tab w:val="left" w:pos="851"/>
          <w:tab w:val="left" w:pos="5693"/>
        </w:tabs>
        <w:snapToGrid w:val="0"/>
        <w:spacing w:line="360" w:lineRule="auto"/>
        <w:ind w:firstLine="0" w:firstLineChars="0"/>
        <w:jc w:val="left"/>
        <w:rPr>
          <w:rFonts w:hAnsi="宋体"/>
          <w:b/>
          <w:color w:val="000000" w:themeColor="text1"/>
          <w:szCs w:val="21"/>
          <w14:textFill>
            <w14:solidFill>
              <w14:schemeClr w14:val="tx1"/>
            </w14:solidFill>
          </w14:textFill>
        </w:rPr>
      </w:pPr>
    </w:p>
    <w:p>
      <w:pPr>
        <w:pStyle w:val="22"/>
        <w:tabs>
          <w:tab w:val="left" w:pos="851"/>
          <w:tab w:val="left" w:pos="5693"/>
        </w:tabs>
        <w:snapToGrid w:val="0"/>
        <w:spacing w:line="360" w:lineRule="auto"/>
        <w:ind w:firstLine="0" w:firstLineChars="0"/>
        <w:jc w:val="left"/>
        <w:rPr>
          <w:rFonts w:hAnsi="宋体"/>
          <w:bCs/>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6.3.4 </w:t>
      </w:r>
      <w:r>
        <w:rPr>
          <w:rFonts w:hint="eastAsia" w:hAnsi="宋体"/>
          <w:bCs/>
          <w:color w:val="000000" w:themeColor="text1"/>
          <w:szCs w:val="21"/>
          <w14:textFill>
            <w14:solidFill>
              <w14:schemeClr w14:val="tx1"/>
            </w14:solidFill>
          </w14:textFill>
        </w:rPr>
        <w:t>注浆压力应根据理论计算或现场、室内试验确定，并应符合下列规定：</w:t>
      </w:r>
    </w:p>
    <w:p>
      <w:pPr>
        <w:pStyle w:val="22"/>
        <w:tabs>
          <w:tab w:val="left" w:pos="851"/>
          <w:tab w:val="left" w:pos="5693"/>
        </w:tabs>
        <w:snapToGrid w:val="0"/>
        <w:spacing w:line="360" w:lineRule="auto"/>
        <w:ind w:firstLineChars="0"/>
        <w:jc w:val="left"/>
        <w:rPr>
          <w:bCs/>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w:t>
      </w:r>
      <w:r>
        <w:rPr>
          <w:rFonts w:hint="eastAsia" w:hAnsi="宋体"/>
          <w:bCs/>
          <w:color w:val="000000" w:themeColor="text1"/>
          <w:szCs w:val="21"/>
          <w14:textFill>
            <w14:solidFill>
              <w14:schemeClr w14:val="tx1"/>
            </w14:solidFill>
          </w14:textFill>
        </w:rPr>
        <w:t xml:space="preserve"> 注浆压力宜为0.5MPa</w:t>
      </w:r>
      <w:r>
        <w:rPr>
          <w:rFonts w:hint="eastAsia" w:ascii="宋体" w:hAnsi="宋体" w:cs="宋体"/>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1.5MPa；</w:t>
      </w:r>
    </w:p>
    <w:p>
      <w:pPr>
        <w:pStyle w:val="22"/>
        <w:tabs>
          <w:tab w:val="left" w:pos="851"/>
          <w:tab w:val="left" w:pos="5693"/>
        </w:tabs>
        <w:snapToGrid w:val="0"/>
        <w:spacing w:line="360" w:lineRule="auto"/>
        <w:ind w:firstLineChars="0"/>
        <w:jc w:val="left"/>
        <w:rPr>
          <w:bCs/>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2</w:t>
      </w:r>
      <w:r>
        <w:rPr>
          <w:rFonts w:hint="eastAsia"/>
          <w:bCs/>
          <w:color w:val="000000" w:themeColor="text1"/>
          <w:szCs w:val="21"/>
          <w14:textFill>
            <w14:solidFill>
              <w14:schemeClr w14:val="tx1"/>
            </w14:solidFill>
          </w14:textFill>
        </w:rPr>
        <w:t xml:space="preserve"> 注浆压力应大于孔隙水压力2倍</w:t>
      </w:r>
      <w:r>
        <w:rPr>
          <w:rFonts w:hint="eastAsia" w:ascii="宋体" w:hAnsi="宋体" w:cs="宋体"/>
          <w:bCs/>
          <w:color w:val="000000" w:themeColor="text1"/>
          <w:szCs w:val="21"/>
          <w14:textFill>
            <w14:solidFill>
              <w14:schemeClr w14:val="tx1"/>
            </w14:solidFill>
          </w14:textFill>
        </w:rPr>
        <w:t>～</w:t>
      </w:r>
      <w:r>
        <w:rPr>
          <w:rFonts w:hint="eastAsia"/>
          <w:bCs/>
          <w:color w:val="000000" w:themeColor="text1"/>
          <w:szCs w:val="21"/>
          <w14:textFill>
            <w14:solidFill>
              <w14:schemeClr w14:val="tx1"/>
            </w14:solidFill>
          </w14:textFill>
        </w:rPr>
        <w:t>3倍；</w:t>
      </w:r>
    </w:p>
    <w:p>
      <w:pPr>
        <w:pStyle w:val="22"/>
        <w:tabs>
          <w:tab w:val="left" w:pos="851"/>
          <w:tab w:val="left" w:pos="5693"/>
        </w:tabs>
        <w:snapToGrid w:val="0"/>
        <w:spacing w:line="360" w:lineRule="auto"/>
        <w:ind w:firstLineChars="0"/>
        <w:jc w:val="left"/>
        <w:rPr>
          <w:bCs/>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3</w:t>
      </w:r>
      <w:r>
        <w:rPr>
          <w:rFonts w:hint="eastAsia"/>
          <w:bCs/>
          <w:color w:val="000000" w:themeColor="text1"/>
          <w:szCs w:val="21"/>
          <w14:textFill>
            <w14:solidFill>
              <w14:schemeClr w14:val="tx1"/>
            </w14:solidFill>
          </w14:textFill>
        </w:rPr>
        <w:t xml:space="preserve"> 应分析注浆压力对隧道结构、临近建（构）筑物、地下管线及地表的影响。</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6.3.5</w:t>
      </w:r>
      <w:r>
        <w:rPr>
          <w:rFonts w:hint="eastAsia" w:hAnsi="宋体"/>
          <w:bCs/>
          <w:color w:val="000000" w:themeColor="text1"/>
          <w:szCs w:val="21"/>
          <w14:textFill>
            <w14:solidFill>
              <w14:schemeClr w14:val="tx1"/>
            </w14:solidFill>
          </w14:textFill>
        </w:rPr>
        <w:t xml:space="preserve"> 注浆方式、注浆顺序、注浆材料及配比、注浆参数等应符合设计要求，并应通过现场试验进行优化和确认。</w:t>
      </w:r>
      <w:r>
        <w:rPr>
          <w:rFonts w:hint="eastAsia" w:ascii="宋体" w:hAnsi="宋体" w:cs="宋体"/>
          <w:color w:val="000000" w:themeColor="text1"/>
          <w14:textFill>
            <w14:solidFill>
              <w14:schemeClr w14:val="tx1"/>
            </w14:solidFill>
          </w14:textFill>
        </w:rPr>
        <w:t>现场试验应包括下列内容：</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1 </w:t>
      </w:r>
      <w:r>
        <w:rPr>
          <w:rFonts w:hint="eastAsia" w:ascii="宋体" w:hAnsi="宋体" w:cs="宋体"/>
          <w:color w:val="000000" w:themeColor="text1"/>
          <w14:textFill>
            <w14:solidFill>
              <w14:schemeClr w14:val="tx1"/>
            </w14:solidFill>
          </w14:textFill>
        </w:rPr>
        <w:t>浆液配合比试验：确定各种材料的用量和比例关系；</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2 </w:t>
      </w:r>
      <w:r>
        <w:rPr>
          <w:rFonts w:hint="eastAsia" w:ascii="宋体" w:hAnsi="宋体" w:cs="宋体"/>
          <w:color w:val="000000" w:themeColor="text1"/>
          <w14:textFill>
            <w14:solidFill>
              <w14:schemeClr w14:val="tx1"/>
            </w14:solidFill>
          </w14:textFill>
        </w:rPr>
        <w:t>凝胶时间试验：通过控制和调节凝胶时间确定注浆半径和注浆效果；</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3 </w:t>
      </w:r>
      <w:r>
        <w:rPr>
          <w:rFonts w:hint="eastAsia" w:ascii="宋体" w:hAnsi="宋体" w:cs="宋体"/>
          <w:color w:val="000000" w:themeColor="text1"/>
          <w14:textFill>
            <w14:solidFill>
              <w14:schemeClr w14:val="tx1"/>
            </w14:solidFill>
          </w14:textFill>
        </w:rPr>
        <w:t xml:space="preserve">结石率试验：确定不同浆液成分的结石效果； </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4 </w:t>
      </w:r>
      <w:r>
        <w:rPr>
          <w:rFonts w:hint="eastAsia" w:ascii="宋体" w:hAnsi="宋体" w:cs="宋体"/>
          <w:color w:val="000000" w:themeColor="text1"/>
          <w14:textFill>
            <w14:solidFill>
              <w14:schemeClr w14:val="tx1"/>
            </w14:solidFill>
          </w14:textFill>
        </w:rPr>
        <w:t>抗压强度试验：确定材料品种和使用范围；</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5 </w:t>
      </w:r>
      <w:r>
        <w:rPr>
          <w:rFonts w:hint="eastAsia" w:ascii="宋体" w:hAnsi="宋体" w:cs="宋体"/>
          <w:color w:val="000000" w:themeColor="text1"/>
          <w14:textFill>
            <w14:solidFill>
              <w14:schemeClr w14:val="tx1"/>
            </w14:solidFill>
          </w14:textFill>
        </w:rPr>
        <w:t>渗透性试验：检验浆液的可注性，固结体渗透系数不应大于10</w:t>
      </w:r>
      <w:r>
        <w:rPr>
          <w:rFonts w:hint="eastAsia" w:ascii="宋体" w:hAnsi="宋体" w:cs="宋体"/>
          <w:color w:val="000000" w:themeColor="text1"/>
          <w:vertAlign w:val="superscript"/>
          <w14:textFill>
            <w14:solidFill>
              <w14:schemeClr w14:val="tx1"/>
            </w14:solidFill>
          </w14:textFill>
        </w:rPr>
        <w:t>-4</w:t>
      </w:r>
      <w:r>
        <w:rPr>
          <w:rFonts w:hint="eastAsia" w:ascii="宋体" w:hAnsi="宋体" w:cs="宋体"/>
          <w:color w:val="000000" w:themeColor="text1"/>
          <w14:textFill>
            <w14:solidFill>
              <w14:schemeClr w14:val="tx1"/>
            </w14:solidFill>
          </w14:textFill>
        </w:rPr>
        <w:t>cm/s。</w:t>
      </w:r>
    </w:p>
    <w:p>
      <w:pPr>
        <w:snapToGrid w:val="0"/>
        <w:spacing w:line="360" w:lineRule="auto"/>
        <w:rPr>
          <w:rFonts w:hAnsi="宋体"/>
          <w:bCs/>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6.3.6 </w:t>
      </w:r>
      <w:r>
        <w:rPr>
          <w:rFonts w:hint="eastAsia" w:hAnsi="宋体"/>
          <w:bCs/>
          <w:color w:val="000000" w:themeColor="text1"/>
          <w:szCs w:val="21"/>
          <w14:textFill>
            <w14:solidFill>
              <w14:schemeClr w14:val="tx1"/>
            </w14:solidFill>
          </w14:textFill>
        </w:rPr>
        <w:t>深孔注浆止水应做止浆墙。止浆墙可采用喷射混凝土或模铸筑混凝土，内设可根据需要设置钢筋网片、格栅钢架或型钢，厚度不宜小于50cm。注浆压力大于2.0MPa时，应验算止浆墙的抗剪强度。</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6.3.7 </w:t>
      </w:r>
      <w:r>
        <w:rPr>
          <w:rFonts w:hint="eastAsia" w:hAnsi="宋体"/>
          <w:bCs/>
          <w:color w:val="000000" w:themeColor="text1"/>
          <w:szCs w:val="21"/>
          <w14:textFill>
            <w14:solidFill>
              <w14:schemeClr w14:val="tx1"/>
            </w14:solidFill>
          </w14:textFill>
        </w:rPr>
        <w:t>深孔注浆止水应沿纵向分段实施，</w:t>
      </w:r>
      <w:r>
        <w:rPr>
          <w:rFonts w:hint="eastAsia" w:ascii="宋体" w:hAnsi="宋体" w:cs="宋体"/>
          <w:color w:val="000000" w:themeColor="text1"/>
          <w14:textFill>
            <w14:solidFill>
              <w14:schemeClr w14:val="tx1"/>
            </w14:solidFill>
          </w14:textFill>
        </w:rPr>
        <w:t>分段注浆长度应根据地层条件、地下水状态和钻孔设备的工作能力确定，宜为10m～15m。注浆完成后开挖预留2m～5m作为注浆止水搭接长度。</w:t>
      </w:r>
    </w:p>
    <w:p>
      <w:pPr>
        <w:pStyle w:val="22"/>
        <w:tabs>
          <w:tab w:val="left" w:pos="851"/>
          <w:tab w:val="left" w:pos="5693"/>
        </w:tabs>
        <w:snapToGrid w:val="0"/>
        <w:spacing w:line="360" w:lineRule="auto"/>
        <w:ind w:firstLine="0" w:firstLineChars="0"/>
        <w:jc w:val="left"/>
        <w:rPr>
          <w:rFonts w:hAnsi="宋体"/>
          <w:bCs/>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6.3.8 </w:t>
      </w:r>
      <w:r>
        <w:rPr>
          <w:rFonts w:hint="eastAsia" w:hAnsi="宋体"/>
          <w:bCs/>
          <w:color w:val="000000" w:themeColor="text1"/>
          <w:szCs w:val="21"/>
          <w14:textFill>
            <w14:solidFill>
              <w14:schemeClr w14:val="tx1"/>
            </w14:solidFill>
          </w14:textFill>
        </w:rPr>
        <w:t>隧道注浆止水范围应符合设计要求，宜为隧道初期支护外2m。</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6.3.9 </w:t>
      </w:r>
      <w:r>
        <w:rPr>
          <w:rFonts w:hint="eastAsia" w:ascii="宋体" w:hAnsi="宋体" w:cs="宋体"/>
          <w:color w:val="000000" w:themeColor="text1"/>
          <w14:textFill>
            <w14:solidFill>
              <w14:schemeClr w14:val="tx1"/>
            </w14:solidFill>
          </w14:textFill>
        </w:rPr>
        <w:t>深孔注浆止水可采取前进式分段注浆、后退式分段注浆等方法，并应符合下列规定：</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1 </w:t>
      </w:r>
      <w:r>
        <w:rPr>
          <w:rFonts w:hint="eastAsia" w:ascii="宋体" w:hAnsi="宋体" w:cs="宋体"/>
          <w:color w:val="000000" w:themeColor="text1"/>
          <w14:textFill>
            <w14:solidFill>
              <w14:schemeClr w14:val="tx1"/>
            </w14:solidFill>
          </w14:textFill>
        </w:rPr>
        <w:t>钻孔应按先内圈、后外圈、跳孔施工的顺序进行；</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2</w:t>
      </w:r>
      <w:r>
        <w:rPr>
          <w:rFonts w:hint="eastAsia" w:ascii="宋体" w:hAnsi="宋体" w:cs="宋体"/>
          <w:color w:val="000000" w:themeColor="text1"/>
          <w14:textFill>
            <w14:solidFill>
              <w14:schemeClr w14:val="tx1"/>
            </w14:solidFill>
          </w14:textFill>
        </w:rPr>
        <w:t xml:space="preserve"> 钻孔时，应记录孔号、进尺、时间、地层、涌水位置、涌水量和涌水压力等内容，并应根据现场条件及时调整施工工艺参数；</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3 </w:t>
      </w:r>
      <w:r>
        <w:rPr>
          <w:rFonts w:hint="eastAsia" w:ascii="宋体" w:hAnsi="宋体" w:cs="宋体"/>
          <w:color w:val="000000" w:themeColor="text1"/>
          <w14:textFill>
            <w14:solidFill>
              <w14:schemeClr w14:val="tx1"/>
            </w14:solidFill>
          </w14:textFill>
        </w:rPr>
        <w:t>应采用定量、定压相结合的注浆控制方法，先采取定量注浆，后采取定压注浆。</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4 </w:t>
      </w:r>
      <w:r>
        <w:rPr>
          <w:rFonts w:hint="eastAsia" w:ascii="宋体" w:hAnsi="宋体" w:cs="宋体"/>
          <w:color w:val="000000" w:themeColor="text1"/>
          <w14:textFill>
            <w14:solidFill>
              <w14:schemeClr w14:val="tx1"/>
            </w14:solidFill>
          </w14:textFill>
        </w:rPr>
        <w:t>应根据地层条件和隧道埋深选择注浆终压大小。管线附近施工时应根据相关单位要求适当降低注浆压力，调整钻孔角度和间距。</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6.3.10 </w:t>
      </w:r>
      <w:r>
        <w:rPr>
          <w:rFonts w:hint="eastAsia" w:ascii="宋体" w:hAnsi="宋体" w:cs="宋体"/>
          <w:color w:val="000000" w:themeColor="text1"/>
          <w14:textFill>
            <w14:solidFill>
              <w14:schemeClr w14:val="tx1"/>
            </w14:solidFill>
          </w14:textFill>
        </w:rPr>
        <w:t>施工中应严格控制注浆质量，避免出现注浆盲区。注浆未达到设计要求的区域，应补充注浆，以确保注浆效果。</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6.3.11 </w:t>
      </w:r>
      <w:r>
        <w:rPr>
          <w:rFonts w:hint="eastAsia" w:ascii="宋体" w:hAnsi="宋体" w:cs="宋体"/>
          <w:color w:val="000000" w:themeColor="text1"/>
          <w14:textFill>
            <w14:solidFill>
              <w14:schemeClr w14:val="tx1"/>
            </w14:solidFill>
          </w14:textFill>
        </w:rPr>
        <w:t>单孔结束注浆应符合下列规定：</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1 </w:t>
      </w:r>
      <w:r>
        <w:rPr>
          <w:rFonts w:hint="eastAsia" w:ascii="宋体" w:hAnsi="宋体" w:cs="宋体"/>
          <w:color w:val="000000" w:themeColor="text1"/>
          <w14:textFill>
            <w14:solidFill>
              <w14:schemeClr w14:val="tx1"/>
            </w14:solidFill>
          </w14:textFill>
        </w:rPr>
        <w:t>注浆压力逐步升高至设计终压，并继续注浆10min以上；</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2 </w:t>
      </w:r>
      <w:r>
        <w:rPr>
          <w:rFonts w:hint="eastAsia" w:ascii="宋体" w:hAnsi="宋体" w:cs="宋体"/>
          <w:color w:val="000000" w:themeColor="text1"/>
          <w14:textFill>
            <w14:solidFill>
              <w14:schemeClr w14:val="tx1"/>
            </w14:solidFill>
          </w14:textFill>
        </w:rPr>
        <w:t>注浆结束时的进浆量小于20L/min；</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3</w:t>
      </w:r>
      <w:r>
        <w:rPr>
          <w:rFonts w:hint="eastAsia" w:ascii="宋体" w:hAnsi="宋体" w:cs="宋体"/>
          <w:color w:val="000000" w:themeColor="text1"/>
          <w14:textFill>
            <w14:solidFill>
              <w14:schemeClr w14:val="tx1"/>
            </w14:solidFill>
          </w14:textFill>
        </w:rPr>
        <w:t xml:space="preserve"> 检查孔钻取岩芯，浆液充填饱满。</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6.3.12 </w:t>
      </w:r>
      <w:r>
        <w:rPr>
          <w:rFonts w:hint="eastAsia" w:ascii="宋体" w:hAnsi="宋体" w:cs="宋体"/>
          <w:color w:val="000000" w:themeColor="text1"/>
          <w14:textFill>
            <w14:solidFill>
              <w14:schemeClr w14:val="tx1"/>
            </w14:solidFill>
          </w14:textFill>
        </w:rPr>
        <w:t>全段结束应符合下列规定：</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1 </w:t>
      </w:r>
      <w:r>
        <w:rPr>
          <w:rFonts w:hint="eastAsia" w:ascii="宋体" w:hAnsi="宋体" w:cs="宋体"/>
          <w:color w:val="000000" w:themeColor="text1"/>
          <w14:textFill>
            <w14:solidFill>
              <w14:schemeClr w14:val="tx1"/>
            </w14:solidFill>
          </w14:textFill>
        </w:rPr>
        <w:t>注浆孔均符合单孔结束条件，无漏浆现象；</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2 </w:t>
      </w:r>
      <w:r>
        <w:rPr>
          <w:rFonts w:hint="eastAsia" w:ascii="宋体" w:hAnsi="宋体" w:cs="宋体"/>
          <w:color w:val="000000" w:themeColor="text1"/>
          <w14:textFill>
            <w14:solidFill>
              <w14:schemeClr w14:val="tx1"/>
            </w14:solidFill>
          </w14:textFill>
        </w:rPr>
        <w:t>浆液有效注入范围大于设计值。</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6.3.13 </w:t>
      </w:r>
      <w:r>
        <w:rPr>
          <w:rFonts w:hint="eastAsia" w:ascii="宋体" w:hAnsi="宋体" w:cs="宋体"/>
          <w:color w:val="000000" w:themeColor="text1"/>
          <w14:textFill>
            <w14:solidFill>
              <w14:schemeClr w14:val="tx1"/>
            </w14:solidFill>
          </w14:textFill>
        </w:rPr>
        <w:t>注浆量可按下式计算确定。</w:t>
      </w:r>
    </w:p>
    <w:p>
      <w:pPr>
        <w:snapToGrid w:val="0"/>
        <w:spacing w:line="360" w:lineRule="auto"/>
        <w:ind w:firstLine="1050" w:firstLineChars="5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 xml:space="preserve"> </w:t>
      </w:r>
      <w:r>
        <w:rPr>
          <w:rFonts w:hint="eastAsia" w:ascii="宋体" w:hAnsi="宋体" w:cs="宋体"/>
          <w:color w:val="000000" w:themeColor="text1"/>
          <w:position w:val="-10"/>
          <w14:textFill>
            <w14:solidFill>
              <w14:schemeClr w14:val="tx1"/>
            </w14:solidFill>
          </w14:textFill>
        </w:rPr>
        <w:object>
          <v:shape id="_x0000_i1030" o:spt="75" type="#_x0000_t75" style="height:16.15pt;width:60.2pt;" o:ole="t" filled="f" o:preferrelative="t" stroked="f" coordsize="21600,21600">
            <v:path/>
            <v:fill on="f" focussize="0,0"/>
            <v:stroke on="f" joinstyle="miter"/>
            <v:imagedata r:id="rId19" o:title=""/>
            <o:lock v:ext="edit" aspectratio="t"/>
            <w10:wrap type="none"/>
            <w10:anchorlock/>
          </v:shape>
          <o:OLEObject Type="Embed" ProgID="Equation.KSEE3" ShapeID="_x0000_i1030" DrawAspect="Content" ObjectID="_1468075730" r:id="rId18">
            <o:LockedField>false</o:LockedField>
          </o:OLEObject>
        </w:object>
      </w:r>
      <w:r>
        <w:rPr>
          <w:rFonts w:hint="eastAsia" w:ascii="宋体" w:hAnsi="宋体" w:cs="宋体"/>
          <w:color w:val="000000" w:themeColor="text1"/>
          <w14:textFill>
            <w14:solidFill>
              <w14:schemeClr w14:val="tx1"/>
            </w14:solidFill>
          </w14:textFill>
        </w:rPr>
        <w:t xml:space="preserve">                          （</w:t>
      </w:r>
      <w:r>
        <w:rPr>
          <w:rFonts w:hint="eastAsia" w:ascii="宋体" w:hAnsi="宋体" w:cs="宋体"/>
          <w:b/>
          <w:bCs/>
          <w:color w:val="000000" w:themeColor="text1"/>
          <w:szCs w:val="21"/>
          <w14:textFill>
            <w14:solidFill>
              <w14:schemeClr w14:val="tx1"/>
            </w14:solidFill>
          </w14:textFill>
        </w:rPr>
        <w:t>6.3.13</w:t>
      </w:r>
      <w:r>
        <w:rPr>
          <w:rFonts w:hint="eastAsia" w:ascii="宋体" w:hAnsi="宋体" w:cs="宋体"/>
          <w:color w:val="000000" w:themeColor="text1"/>
          <w14:textFill>
            <w14:solidFill>
              <w14:schemeClr w14:val="tx1"/>
            </w14:solidFill>
          </w14:textFill>
        </w:rPr>
        <w:t>）</w:t>
      </w:r>
    </w:p>
    <w:p>
      <w:pPr>
        <w:snapToGrid w:val="0"/>
        <w:spacing w:line="360" w:lineRule="auto"/>
        <w:ind w:firstLine="420"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 xml:space="preserve">式中  </w:t>
      </w:r>
      <w:r>
        <w:rPr>
          <w:rFonts w:hint="eastAsia" w:ascii="宋体" w:hAnsi="宋体" w:cs="宋体"/>
          <w:color w:val="000000" w:themeColor="text1"/>
          <w:position w:val="-10"/>
          <w14:textFill>
            <w14:solidFill>
              <w14:schemeClr w14:val="tx1"/>
            </w14:solidFill>
          </w14:textFill>
        </w:rPr>
        <w:object>
          <v:shape id="_x0000_i1031" o:spt="75" type="#_x0000_t75" style="height:16.15pt;width:12.2pt;" o:ole="t" filled="f" o:preferrelative="t" stroked="f" coordsize="21600,21600">
            <v:path/>
            <v:fill on="f" focussize="0,0"/>
            <v:stroke on="f" joinstyle="miter"/>
            <v:imagedata r:id="rId21" o:title=""/>
            <o:lock v:ext="edit" aspectratio="t"/>
            <w10:wrap type="none"/>
            <w10:anchorlock/>
          </v:shape>
          <o:OLEObject Type="Embed" ProgID="Equation.KSEE3" ShapeID="_x0000_i1031" DrawAspect="Content" ObjectID="_1468075731" r:id="rId20">
            <o:LockedField>false</o:LockedField>
          </o:OLEObject>
        </w:object>
      </w:r>
      <w:r>
        <w:rPr>
          <w:rFonts w:hint="eastAsia" w:ascii="宋体" w:hAnsi="宋体" w:cs="宋体"/>
          <w:color w:val="000000" w:themeColor="text1"/>
          <w14:textFill>
            <w14:solidFill>
              <w14:schemeClr w14:val="tx1"/>
            </w14:solidFill>
          </w14:textFill>
        </w:rPr>
        <w:t>—设计注浆量；</w:t>
      </w:r>
    </w:p>
    <w:p>
      <w:pPr>
        <w:snapToGrid w:val="0"/>
        <w:spacing w:line="360" w:lineRule="auto"/>
        <w:ind w:firstLine="1050" w:firstLineChars="500"/>
        <w:rPr>
          <w:rFonts w:ascii="宋体" w:hAnsi="宋体" w:cs="宋体"/>
          <w:color w:val="000000" w:themeColor="text1"/>
          <w14:textFill>
            <w14:solidFill>
              <w14:schemeClr w14:val="tx1"/>
            </w14:solidFill>
          </w14:textFill>
        </w:rPr>
      </w:pPr>
      <w:r>
        <w:rPr>
          <w:rFonts w:hint="eastAsia" w:ascii="宋体" w:hAnsi="宋体" w:cs="宋体"/>
          <w:color w:val="000000" w:themeColor="text1"/>
          <w:position w:val="-6"/>
          <w14:textFill>
            <w14:solidFill>
              <w14:schemeClr w14:val="tx1"/>
            </w14:solidFill>
          </w14:textFill>
        </w:rPr>
        <w:object>
          <v:shape id="_x0000_i1032" o:spt="75" type="#_x0000_t75" style="height:13.75pt;width:12.2pt;" o:ole="t" filled="f" o:preferrelative="t" stroked="f" coordsize="21600,21600">
            <v:path/>
            <v:fill on="f" focussize="0,0"/>
            <v:stroke on="f" joinstyle="miter"/>
            <v:imagedata r:id="rId23" o:title=""/>
            <o:lock v:ext="edit" aspectratio="t"/>
            <w10:wrap type="none"/>
            <w10:anchorlock/>
          </v:shape>
          <o:OLEObject Type="Embed" ProgID="Equation.KSEE3" ShapeID="_x0000_i1032" DrawAspect="Content" ObjectID="_1468075732" r:id="rId22">
            <o:LockedField>false</o:LockedField>
          </o:OLEObject>
        </w:object>
      </w:r>
      <w:r>
        <w:rPr>
          <w:rFonts w:hint="eastAsia" w:ascii="宋体" w:hAnsi="宋体" w:cs="宋体"/>
          <w:color w:val="000000" w:themeColor="text1"/>
          <w14:textFill>
            <w14:solidFill>
              <w14:schemeClr w14:val="tx1"/>
            </w14:solidFill>
          </w14:textFill>
        </w:rPr>
        <w:t>—注浆加固地层的体积；</w:t>
      </w:r>
    </w:p>
    <w:p>
      <w:pPr>
        <w:snapToGrid w:val="0"/>
        <w:spacing w:line="360" w:lineRule="auto"/>
        <w:ind w:firstLine="1050" w:firstLineChars="500"/>
        <w:rPr>
          <w:rFonts w:ascii="宋体" w:hAnsi="宋体" w:cs="宋体"/>
          <w:color w:val="000000" w:themeColor="text1"/>
          <w14:textFill>
            <w14:solidFill>
              <w14:schemeClr w14:val="tx1"/>
            </w14:solidFill>
          </w14:textFill>
        </w:rPr>
      </w:pPr>
      <w:r>
        <w:rPr>
          <w:rFonts w:hint="eastAsia" w:ascii="宋体" w:hAnsi="宋体" w:cs="宋体"/>
          <w:color w:val="000000" w:themeColor="text1"/>
          <w:position w:val="-6"/>
          <w14:textFill>
            <w14:solidFill>
              <w14:schemeClr w14:val="tx1"/>
            </w14:solidFill>
          </w14:textFill>
        </w:rPr>
        <w:object>
          <v:shape id="_x0000_i1033" o:spt="75" type="#_x0000_t75" style="height:11pt;width:9.85pt;" o:ole="t" filled="f" o:preferrelative="t" stroked="f" coordsize="21600,21600">
            <v:path/>
            <v:fill on="f" focussize="0,0"/>
            <v:stroke on="f" joinstyle="miter"/>
            <v:imagedata r:id="rId25" o:title=""/>
            <o:lock v:ext="edit" aspectratio="t"/>
            <w10:wrap type="none"/>
            <w10:anchorlock/>
          </v:shape>
          <o:OLEObject Type="Embed" ProgID="Equation.KSEE3" ShapeID="_x0000_i1033" DrawAspect="Content" ObjectID="_1468075733" r:id="rId24">
            <o:LockedField>false</o:LockedField>
          </o:OLEObject>
        </w:object>
      </w:r>
      <w:r>
        <w:rPr>
          <w:rFonts w:hint="eastAsia" w:ascii="宋体" w:hAnsi="宋体" w:cs="宋体"/>
          <w:color w:val="000000" w:themeColor="text1"/>
          <w14:textFill>
            <w14:solidFill>
              <w14:schemeClr w14:val="tx1"/>
            </w14:solidFill>
          </w14:textFill>
        </w:rPr>
        <w:t>—地层孔隙率；冲积中杀、粗砂、砾砂层33%～46%，粉砂、黏性土层33%～49%，砂卵石层50%～60%；</w:t>
      </w:r>
    </w:p>
    <w:p>
      <w:pPr>
        <w:snapToGrid w:val="0"/>
        <w:spacing w:line="360" w:lineRule="auto"/>
        <w:ind w:firstLine="1050" w:firstLineChars="500"/>
        <w:rPr>
          <w:rFonts w:ascii="宋体" w:hAnsi="宋体" w:cs="宋体"/>
          <w:color w:val="000000" w:themeColor="text1"/>
          <w14:textFill>
            <w14:solidFill>
              <w14:schemeClr w14:val="tx1"/>
            </w14:solidFill>
          </w14:textFill>
        </w:rPr>
      </w:pPr>
      <w:r>
        <w:rPr>
          <w:rFonts w:hint="eastAsia" w:ascii="宋体" w:hAnsi="宋体" w:cs="宋体"/>
          <w:color w:val="000000" w:themeColor="text1"/>
          <w:position w:val="-4"/>
          <w14:textFill>
            <w14:solidFill>
              <w14:schemeClr w14:val="tx1"/>
            </w14:solidFill>
          </w14:textFill>
        </w:rPr>
        <w:object>
          <v:shape id="_x0000_i1034" o:spt="75" type="#_x0000_t75" style="height:13pt;width:13pt;" o:ole="t" filled="f" o:preferrelative="t" stroked="f" coordsize="21600,21600">
            <v:path/>
            <v:fill on="f" focussize="0,0"/>
            <v:stroke on="f" joinstyle="miter"/>
            <v:imagedata r:id="rId27" o:title=""/>
            <o:lock v:ext="edit" aspectratio="t"/>
            <w10:wrap type="none"/>
            <w10:anchorlock/>
          </v:shape>
          <o:OLEObject Type="Embed" ProgID="Equation.KSEE3" ShapeID="_x0000_i1034" DrawAspect="Content" ObjectID="_1468075734" r:id="rId26">
            <o:LockedField>false</o:LockedField>
          </o:OLEObject>
        </w:object>
      </w:r>
      <w:r>
        <w:rPr>
          <w:rFonts w:hint="eastAsia" w:ascii="宋体" w:hAnsi="宋体" w:cs="宋体"/>
          <w:color w:val="000000" w:themeColor="text1"/>
          <w14:textFill>
            <w14:solidFill>
              <w14:schemeClr w14:val="tx1"/>
            </w14:solidFill>
          </w14:textFill>
        </w:rPr>
        <w:t>—地层注入率经验系数，一般取0.5～1.0，当出现流砂时，应适当提高。</w:t>
      </w:r>
    </w:p>
    <w:p>
      <w:pPr>
        <w:snapToGrid w:val="0"/>
        <w:spacing w:line="360" w:lineRule="auto"/>
        <w:ind w:firstLine="420"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position w:val="-4"/>
          <w14:textFill>
            <w14:solidFill>
              <w14:schemeClr w14:val="tx1"/>
            </w14:solidFill>
          </w14:textFill>
        </w:rPr>
        <w:object>
          <v:shape id="_x0000_i1035" o:spt="75" type="#_x0000_t75" style="height:13pt;width:13pt;" o:ole="t" filled="f" o:preferrelative="t" stroked="f" coordsize="21600,21600">
            <v:path/>
            <v:fill on="f" focussize="0,0"/>
            <v:stroke on="f" joinstyle="miter"/>
            <v:imagedata r:id="rId29" o:title=""/>
            <o:lock v:ext="edit" aspectratio="t"/>
            <w10:wrap type="none"/>
            <w10:anchorlock/>
          </v:shape>
          <o:OLEObject Type="Embed" ProgID="Equation.KSEE3" ShapeID="_x0000_i1035" DrawAspect="Content" ObjectID="_1468075735" r:id="rId28">
            <o:LockedField>false</o:LockedField>
          </o:OLEObject>
        </w:object>
      </w:r>
      <w:r>
        <w:rPr>
          <w:rFonts w:hint="eastAsia" w:ascii="宋体" w:hAnsi="宋体" w:cs="宋体"/>
          <w:color w:val="000000" w:themeColor="text1"/>
          <w14:textFill>
            <w14:solidFill>
              <w14:schemeClr w14:val="tx1"/>
            </w14:solidFill>
          </w14:textFill>
        </w:rPr>
        <w:t>的参考取值如下：</w:t>
      </w:r>
    </w:p>
    <w:p>
      <w:pPr>
        <w:snapToGrid w:val="0"/>
        <w:spacing w:line="360" w:lineRule="auto"/>
        <w:ind w:firstLine="420"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 xml:space="preserve">软土、黏性土、细砂            </w:t>
      </w:r>
      <w:r>
        <w:rPr>
          <w:rFonts w:hint="eastAsia" w:ascii="宋体" w:hAnsi="宋体" w:cs="宋体"/>
          <w:color w:val="000000" w:themeColor="text1"/>
          <w:position w:val="-4"/>
          <w14:textFill>
            <w14:solidFill>
              <w14:schemeClr w14:val="tx1"/>
            </w14:solidFill>
          </w14:textFill>
        </w:rPr>
        <w:object>
          <v:shape id="_x0000_i1036" o:spt="75" type="#_x0000_t75" style="height:13pt;width:13pt;" o:ole="t" filled="f" o:preferrelative="t" stroked="f" coordsize="21600,21600">
            <v:path/>
            <v:fill on="f" focussize="0,0"/>
            <v:stroke on="f" joinstyle="miter"/>
            <v:imagedata r:id="rId31" o:title=""/>
            <o:lock v:ext="edit" aspectratio="t"/>
            <w10:wrap type="none"/>
            <w10:anchorlock/>
          </v:shape>
          <o:OLEObject Type="Embed" ProgID="Equation.KSEE3" ShapeID="_x0000_i1036" DrawAspect="Content" ObjectID="_1468075736" r:id="rId30">
            <o:LockedField>false</o:LockedField>
          </o:OLEObject>
        </w:object>
      </w:r>
      <w:r>
        <w:rPr>
          <w:rFonts w:hint="eastAsia" w:ascii="宋体" w:hAnsi="宋体" w:cs="宋体"/>
          <w:color w:val="000000" w:themeColor="text1"/>
          <w14:textFill>
            <w14:solidFill>
              <w14:schemeClr w14:val="tx1"/>
            </w14:solidFill>
          </w14:textFill>
        </w:rPr>
        <w:t>=0.3～0.5</w:t>
      </w:r>
    </w:p>
    <w:p>
      <w:pPr>
        <w:snapToGrid w:val="0"/>
        <w:spacing w:line="360" w:lineRule="auto"/>
        <w:ind w:firstLine="420"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 xml:space="preserve">中砂、粗砂                    </w:t>
      </w:r>
      <w:r>
        <w:rPr>
          <w:rFonts w:hint="eastAsia" w:ascii="宋体" w:hAnsi="宋体" w:cs="宋体"/>
          <w:color w:val="000000" w:themeColor="text1"/>
          <w:position w:val="-4"/>
          <w14:textFill>
            <w14:solidFill>
              <w14:schemeClr w14:val="tx1"/>
            </w14:solidFill>
          </w14:textFill>
        </w:rPr>
        <w:object>
          <v:shape id="_x0000_i1037" o:spt="75" type="#_x0000_t75" style="height:13pt;width:13pt;" o:ole="t" filled="f" o:preferrelative="t" stroked="f" coordsize="21600,21600">
            <v:path/>
            <v:fill on="f" focussize="0,0"/>
            <v:stroke on="f" joinstyle="miter"/>
            <v:imagedata r:id="rId33" o:title=""/>
            <o:lock v:ext="edit" aspectratio="t"/>
            <w10:wrap type="none"/>
            <w10:anchorlock/>
          </v:shape>
          <o:OLEObject Type="Embed" ProgID="Equation.KSEE3" ShapeID="_x0000_i1037" DrawAspect="Content" ObjectID="_1468075737" r:id="rId32">
            <o:LockedField>false</o:LockedField>
          </o:OLEObject>
        </w:object>
      </w:r>
      <w:r>
        <w:rPr>
          <w:rFonts w:hint="eastAsia" w:ascii="宋体" w:hAnsi="宋体" w:cs="宋体"/>
          <w:color w:val="000000" w:themeColor="text1"/>
          <w14:textFill>
            <w14:solidFill>
              <w14:schemeClr w14:val="tx1"/>
            </w14:solidFill>
          </w14:textFill>
        </w:rPr>
        <w:t>=0.5～0.7</w:t>
      </w:r>
    </w:p>
    <w:p>
      <w:pPr>
        <w:snapToGrid w:val="0"/>
        <w:spacing w:line="360" w:lineRule="auto"/>
        <w:ind w:firstLine="420"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 xml:space="preserve">砾砂                          </w:t>
      </w:r>
      <w:r>
        <w:rPr>
          <w:rFonts w:hint="eastAsia" w:ascii="宋体" w:hAnsi="宋体" w:cs="宋体"/>
          <w:color w:val="000000" w:themeColor="text1"/>
          <w:position w:val="-4"/>
          <w14:textFill>
            <w14:solidFill>
              <w14:schemeClr w14:val="tx1"/>
            </w14:solidFill>
          </w14:textFill>
        </w:rPr>
        <w:object>
          <v:shape id="_x0000_i1038" o:spt="75" type="#_x0000_t75" style="height:13pt;width:13pt;" o:ole="t" filled="f" o:preferrelative="t" stroked="f" coordsize="21600,21600">
            <v:path/>
            <v:fill on="f" focussize="0,0"/>
            <v:stroke on="f" joinstyle="miter"/>
            <v:imagedata r:id="rId35" o:title=""/>
            <o:lock v:ext="edit" aspectratio="t"/>
            <w10:wrap type="none"/>
            <w10:anchorlock/>
          </v:shape>
          <o:OLEObject Type="Embed" ProgID="Equation.KSEE3" ShapeID="_x0000_i1038" DrawAspect="Content" ObjectID="_1468075738" r:id="rId34">
            <o:LockedField>false</o:LockedField>
          </o:OLEObject>
        </w:object>
      </w:r>
      <w:r>
        <w:rPr>
          <w:rFonts w:hint="eastAsia" w:ascii="宋体" w:hAnsi="宋体" w:cs="宋体"/>
          <w:color w:val="000000" w:themeColor="text1"/>
          <w14:textFill>
            <w14:solidFill>
              <w14:schemeClr w14:val="tx1"/>
            </w14:solidFill>
          </w14:textFill>
        </w:rPr>
        <w:t>=0.7～1.0</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6.3.14 </w:t>
      </w:r>
      <w:r>
        <w:rPr>
          <w:rFonts w:hint="eastAsia" w:ascii="宋体" w:hAnsi="宋体" w:cs="宋体"/>
          <w:color w:val="000000" w:themeColor="text1"/>
          <w14:textFill>
            <w14:solidFill>
              <w14:schemeClr w14:val="tx1"/>
            </w14:solidFill>
          </w14:textFill>
        </w:rPr>
        <w:t>深孔注浆止水完成后，应符合下列规定：</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    1</w:t>
      </w:r>
      <w:r>
        <w:rPr>
          <w:rFonts w:hint="eastAsia" w:ascii="宋体" w:hAnsi="宋体" w:cs="宋体"/>
          <w:color w:val="000000" w:themeColor="text1"/>
          <w14:textFill>
            <w14:solidFill>
              <w14:schemeClr w14:val="tx1"/>
            </w14:solidFill>
          </w14:textFill>
        </w:rPr>
        <w:t xml:space="preserve"> 开挖面浆液充填饱满，无水、能自稳； </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2 </w:t>
      </w:r>
      <w:r>
        <w:rPr>
          <w:rFonts w:hint="eastAsia" w:ascii="宋体" w:hAnsi="宋体" w:cs="宋体"/>
          <w:color w:val="000000" w:themeColor="text1"/>
          <w14:textFill>
            <w14:solidFill>
              <w14:schemeClr w14:val="tx1"/>
            </w14:solidFill>
          </w14:textFill>
        </w:rPr>
        <w:t>注浆后地层的渗透系数应至少降低一个数量级，且应小于10</w:t>
      </w:r>
      <w:r>
        <w:rPr>
          <w:rFonts w:hint="eastAsia" w:ascii="宋体" w:hAnsi="宋体" w:cs="宋体"/>
          <w:color w:val="000000" w:themeColor="text1"/>
          <w:vertAlign w:val="superscript"/>
          <w14:textFill>
            <w14:solidFill>
              <w14:schemeClr w14:val="tx1"/>
            </w14:solidFill>
          </w14:textFill>
        </w:rPr>
        <w:t>-4</w:t>
      </w:r>
      <w:r>
        <w:rPr>
          <w:rFonts w:hint="eastAsia" w:ascii="宋体" w:hAnsi="宋体" w:cs="宋体"/>
          <w:color w:val="000000" w:themeColor="text1"/>
          <w14:textFill>
            <w14:solidFill>
              <w14:schemeClr w14:val="tx1"/>
            </w14:solidFill>
          </w14:textFill>
        </w:rPr>
        <w:t>cm/s；</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3</w:t>
      </w:r>
      <w:r>
        <w:rPr>
          <w:rFonts w:hint="eastAsia" w:ascii="宋体" w:hAnsi="宋体" w:cs="宋体"/>
          <w:color w:val="000000" w:themeColor="text1"/>
          <w14:textFill>
            <w14:solidFill>
              <w14:schemeClr w14:val="tx1"/>
            </w14:solidFill>
          </w14:textFill>
        </w:rPr>
        <w:t xml:space="preserve"> 采用检查孔法检查注浆效果时，应能取出带有浆液的芯样，芯样无侧限抗压强度不宜小于0.2MPa，检查孔应完整，放置1h观察，应无涌砂、涌泥现象，渗水量小于0.2L/（m·min）；</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4</w:t>
      </w:r>
      <w:r>
        <w:rPr>
          <w:rFonts w:hint="eastAsia" w:ascii="宋体" w:hAnsi="宋体" w:cs="宋体"/>
          <w:color w:val="000000" w:themeColor="text1"/>
          <w14:textFill>
            <w14:solidFill>
              <w14:schemeClr w14:val="tx1"/>
            </w14:solidFill>
          </w14:textFill>
        </w:rPr>
        <w:t xml:space="preserve"> 浆液充填率宜达到80%。</w:t>
      </w:r>
    </w:p>
    <w:p>
      <w:pPr>
        <w:tabs>
          <w:tab w:val="left" w:pos="576"/>
        </w:tabs>
        <w:adjustRightInd w:val="0"/>
        <w:snapToGrid w:val="0"/>
        <w:spacing w:before="312" w:beforeLines="100" w:after="312" w:afterLines="100"/>
        <w:jc w:val="center"/>
        <w:outlineLvl w:val="1"/>
        <w:rPr>
          <w:rFonts w:hAnsi="宋体"/>
          <w:b/>
          <w:bCs/>
          <w:color w:val="000000" w:themeColor="text1"/>
          <w:sz w:val="24"/>
          <w14:textFill>
            <w14:solidFill>
              <w14:schemeClr w14:val="tx1"/>
            </w14:solidFill>
          </w14:textFill>
        </w:rPr>
      </w:pPr>
      <w:bookmarkStart w:id="110" w:name="_Toc1907"/>
      <w:bookmarkStart w:id="111" w:name="_Toc7082"/>
      <w:bookmarkStart w:id="112" w:name="_Toc6580"/>
      <w:bookmarkStart w:id="113" w:name="_Toc12130"/>
      <w:bookmarkStart w:id="114" w:name="_Toc12803"/>
      <w:bookmarkStart w:id="115" w:name="_Toc7276"/>
      <w:r>
        <w:rPr>
          <w:rFonts w:hint="eastAsia"/>
          <w:b/>
          <w:bCs/>
          <w:color w:val="000000" w:themeColor="text1"/>
          <w:sz w:val="24"/>
          <w14:textFill>
            <w14:solidFill>
              <w14:schemeClr w14:val="tx1"/>
            </w14:solidFill>
          </w14:textFill>
        </w:rPr>
        <w:t>6.4  水平旋喷注浆止水</w:t>
      </w:r>
      <w:bookmarkEnd w:id="110"/>
      <w:bookmarkEnd w:id="111"/>
      <w:bookmarkEnd w:id="112"/>
      <w:bookmarkEnd w:id="113"/>
      <w:bookmarkEnd w:id="114"/>
      <w:bookmarkEnd w:id="115"/>
    </w:p>
    <w:p>
      <w:pPr>
        <w:adjustRightInd w:val="0"/>
        <w:snapToGrid w:val="0"/>
        <w:spacing w:line="360" w:lineRule="auto"/>
        <w:rPr>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6.4.1 </w:t>
      </w:r>
      <w:r>
        <w:rPr>
          <w:rFonts w:hint="eastAsia" w:ascii="宋体" w:hAnsi="宋体" w:cs="宋体"/>
          <w:color w:val="000000" w:themeColor="text1"/>
          <w14:textFill>
            <w14:solidFill>
              <w14:schemeClr w14:val="tx1"/>
            </w14:solidFill>
          </w14:textFill>
        </w:rPr>
        <w:t>水平旋喷注浆止水所使用水泥的品种、规格应符合设计要求，宜采用等级不低于42.5的普通硅酸盐水泥，不得出现过期、受潮、结板、变质等现象。</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6.4.2</w:t>
      </w:r>
      <w:r>
        <w:rPr>
          <w:rFonts w:hint="eastAsia" w:ascii="宋体" w:hAnsi="宋体" w:cs="宋体"/>
          <w:color w:val="000000" w:themeColor="text1"/>
          <w:kern w:val="0"/>
          <w:szCs w:val="21"/>
          <w:lang w:bidi="ar"/>
          <w14:textFill>
            <w14:solidFill>
              <w14:schemeClr w14:val="tx1"/>
            </w14:solidFill>
          </w14:textFill>
        </w:rPr>
        <w:t xml:space="preserve"> </w:t>
      </w:r>
      <w:r>
        <w:rPr>
          <w:rFonts w:hint="eastAsia" w:ascii="宋体" w:hAnsi="宋体" w:cs="宋体"/>
          <w:color w:val="000000" w:themeColor="text1"/>
          <w14:textFill>
            <w14:solidFill>
              <w14:schemeClr w14:val="tx1"/>
            </w14:solidFill>
          </w14:textFill>
        </w:rPr>
        <w:t>旋喷注浆前，应进行室内配合比试验，确定施工喷浆量、水灰比。水灰比宜为1:1.0～1:1.5。宜适当掺入木质素磺硫钙、三乙醇胺、氯化钙等外加剂。</w:t>
      </w:r>
    </w:p>
    <w:p>
      <w:pPr>
        <w:adjustRightInd w:val="0"/>
        <w:snapToGrid w:val="0"/>
        <w:spacing w:line="360" w:lineRule="auto"/>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6.4.3 </w:t>
      </w:r>
      <w:r>
        <w:rPr>
          <w:rFonts w:hint="eastAsia"/>
          <w:color w:val="000000" w:themeColor="text1"/>
          <w:szCs w:val="21"/>
          <w14:textFill>
            <w14:solidFill>
              <w14:schemeClr w14:val="tx1"/>
            </w14:solidFill>
          </w14:textFill>
        </w:rPr>
        <w:t>水平</w:t>
      </w:r>
      <w:r>
        <w:rPr>
          <w:rFonts w:hint="eastAsia" w:ascii="宋体" w:hAnsi="宋体" w:cs="宋体"/>
          <w:color w:val="000000" w:themeColor="text1"/>
          <w14:textFill>
            <w14:solidFill>
              <w14:schemeClr w14:val="tx1"/>
            </w14:solidFill>
          </w14:textFill>
        </w:rPr>
        <w:t>旋喷</w:t>
      </w:r>
      <w:r>
        <w:rPr>
          <w:rFonts w:hint="eastAsia"/>
          <w:color w:val="000000" w:themeColor="text1"/>
          <w:szCs w:val="21"/>
          <w14:textFill>
            <w14:solidFill>
              <w14:schemeClr w14:val="tx1"/>
            </w14:solidFill>
          </w14:textFill>
        </w:rPr>
        <w:t>注浆应按设计要求和土层选择适宜的喷射方式、喷射压力、注浆流量、提升速度、旋转速度等工艺参数。</w:t>
      </w:r>
      <w:r>
        <w:rPr>
          <w:rFonts w:hint="eastAsia" w:ascii="宋体" w:hAnsi="宋体" w:cs="宋体"/>
          <w:color w:val="000000" w:themeColor="text1"/>
          <w14:textFill>
            <w14:solidFill>
              <w14:schemeClr w14:val="tx1"/>
            </w14:solidFill>
          </w14:textFill>
        </w:rPr>
        <w:t>施工前应进行试桩，数量不应少于3根；通过现场试桩确定适宜的机械设备、浆液配合比、喷射压力、喷浆量、水泥掺量及工艺参数。</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6.4.4 </w:t>
      </w:r>
      <w:r>
        <w:rPr>
          <w:rFonts w:hint="eastAsia" w:ascii="宋体" w:hAnsi="宋体" w:cs="宋体"/>
          <w:color w:val="000000" w:themeColor="text1"/>
          <w14:textFill>
            <w14:solidFill>
              <w14:schemeClr w14:val="tx1"/>
            </w14:solidFill>
          </w14:textFill>
        </w:rPr>
        <w:t>水平旋喷注浆应根据设计止水加固要求，并结合地层条件选择适宜的机械和施工工艺，宜选用二重管法、三重管法、</w:t>
      </w:r>
      <w:r>
        <w:rPr>
          <w:rFonts w:hint="eastAsia" w:hAnsi="宋体"/>
          <w:color w:val="000000" w:themeColor="text1"/>
          <w:szCs w:val="21"/>
          <w14:textFill>
            <w14:solidFill>
              <w14:schemeClr w14:val="tx1"/>
            </w14:solidFill>
          </w14:textFill>
        </w:rPr>
        <w:t>多管反复切割地层、复喷工艺</w:t>
      </w:r>
      <w:r>
        <w:rPr>
          <w:rFonts w:hint="eastAsia" w:ascii="宋体" w:hAnsi="宋体" w:cs="宋体"/>
          <w:color w:val="000000" w:themeColor="text1"/>
          <w14:textFill>
            <w14:solidFill>
              <w14:schemeClr w14:val="tx1"/>
            </w14:solidFill>
          </w14:textFill>
        </w:rPr>
        <w:t>。</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6.4.5 </w:t>
      </w:r>
      <w:r>
        <w:rPr>
          <w:rFonts w:hint="eastAsia" w:ascii="宋体" w:hAnsi="宋体" w:cs="宋体"/>
          <w:color w:val="000000" w:themeColor="text1"/>
          <w14:textFill>
            <w14:solidFill>
              <w14:schemeClr w14:val="tx1"/>
            </w14:solidFill>
          </w14:textFill>
        </w:rPr>
        <w:t>水平旋喷注浆应隔孔实施，相邻旋喷桩施工时间间隔不应少于48h。</w:t>
      </w:r>
    </w:p>
    <w:p>
      <w:pPr>
        <w:adjustRightInd w:val="0"/>
        <w:snapToGrid w:val="0"/>
        <w:spacing w:line="360" w:lineRule="auto"/>
        <w:jc w:val="left"/>
        <w:rPr>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6.4.6 </w:t>
      </w:r>
      <w:r>
        <w:rPr>
          <w:rFonts w:hint="eastAsia"/>
          <w:color w:val="000000" w:themeColor="text1"/>
          <w:szCs w:val="21"/>
          <w14:textFill>
            <w14:solidFill>
              <w14:schemeClr w14:val="tx1"/>
            </w14:solidFill>
          </w14:textFill>
        </w:rPr>
        <w:t>水平旋喷桩孔位允许偏差不应大于50mm，角度偏差不应大于2</w:t>
      </w:r>
      <w:r>
        <w:rPr>
          <w:rFonts w:hint="eastAsia" w:ascii="宋体" w:hAnsi="宋体" w:cs="宋体"/>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，深度不应小于设计要求，桩体搭接长度应符合设计要求，宜为150mm</w:t>
      </w:r>
      <w:r>
        <w:rPr>
          <w:rFonts w:hint="eastAsia" w:ascii="宋体" w:hAnsi="宋体" w:cs="宋体"/>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200mm。</w:t>
      </w:r>
    </w:p>
    <w:p>
      <w:pPr>
        <w:adjustRightInd w:val="0"/>
        <w:snapToGrid w:val="0"/>
        <w:spacing w:line="360" w:lineRule="auto"/>
        <w:jc w:val="left"/>
        <w:rPr>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6.4.7 </w:t>
      </w:r>
      <w:r>
        <w:rPr>
          <w:rFonts w:hint="eastAsia" w:ascii="宋体" w:hAnsi="宋体" w:cs="宋体"/>
          <w:color w:val="000000" w:themeColor="text1"/>
          <w14:textFill>
            <w14:solidFill>
              <w14:schemeClr w14:val="tx1"/>
            </w14:solidFill>
          </w14:textFill>
        </w:rPr>
        <w:t>旋喷时，应严格控制喷浆速度，喷浆过程应连续、均匀；若喷浆过程中出现压力骤然上升或下降，大量冒浆、串浆等异常情况时，应及时提钻出地表排除故障；复喷接桩时，应重复喷射接桩，防止出现断桩。</w:t>
      </w:r>
    </w:p>
    <w:p>
      <w:pPr>
        <w:adjustRightInd w:val="0"/>
        <w:snapToGrid w:val="0"/>
        <w:spacing w:line="360" w:lineRule="auto"/>
        <w:jc w:val="left"/>
        <w:rPr>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6.4.8 </w:t>
      </w:r>
      <w:r>
        <w:rPr>
          <w:rFonts w:hint="eastAsia" w:hAnsi="宋体"/>
          <w:color w:val="000000" w:themeColor="text1"/>
          <w:szCs w:val="21"/>
          <w14:textFill>
            <w14:solidFill>
              <w14:schemeClr w14:val="tx1"/>
            </w14:solidFill>
          </w14:textFill>
        </w:rPr>
        <w:t>水平旋喷注浆宜用于黏性土、砂等细颗粒地层止水，技术参数应符合</w:t>
      </w:r>
      <w:r>
        <w:rPr>
          <w:rFonts w:hint="eastAsia" w:ascii="宋体" w:hAnsi="宋体" w:cs="宋体"/>
          <w:color w:val="000000" w:themeColor="text1"/>
          <w:szCs w:val="21"/>
          <w14:textFill>
            <w14:solidFill>
              <w14:schemeClr w14:val="tx1"/>
            </w14:solidFill>
          </w14:textFill>
        </w:rPr>
        <w:t>表</w:t>
      </w:r>
      <w:r>
        <w:rPr>
          <w:rFonts w:hint="eastAsia" w:hAnsi="宋体"/>
          <w:b/>
          <w:color w:val="000000" w:themeColor="text1"/>
          <w:szCs w:val="21"/>
          <w14:textFill>
            <w14:solidFill>
              <w14:schemeClr w14:val="tx1"/>
            </w14:solidFill>
          </w14:textFill>
        </w:rPr>
        <w:t>6.4.8</w:t>
      </w:r>
      <w:r>
        <w:rPr>
          <w:rFonts w:hint="eastAsia" w:hAnsi="宋体"/>
          <w:color w:val="000000" w:themeColor="text1"/>
          <w:szCs w:val="21"/>
          <w14:textFill>
            <w14:solidFill>
              <w14:schemeClr w14:val="tx1"/>
            </w14:solidFill>
          </w14:textFill>
        </w:rPr>
        <w:t>的规定。</w:t>
      </w:r>
      <w:r>
        <w:rPr>
          <w:rFonts w:hint="eastAsia"/>
          <w:color w:val="000000" w:themeColor="text1"/>
          <w:szCs w:val="21"/>
          <w14:textFill>
            <w14:solidFill>
              <w14:schemeClr w14:val="tx1"/>
            </w14:solidFill>
          </w14:textFill>
        </w:rPr>
        <w:t>对硬塑状态的黏性土、密实的砂土和碎石土宜采用较小的速度和较大的喷射压力。</w:t>
      </w:r>
    </w:p>
    <w:p>
      <w:pPr>
        <w:spacing w:before="78" w:after="78"/>
        <w:ind w:firstLine="630" w:firstLineChars="300"/>
        <w:jc w:val="center"/>
        <w:rPr>
          <w:rFonts w:ascii="宋体" w:hAnsi="宋体" w:cstheme="minorEastAsia"/>
          <w:color w:val="000000" w:themeColor="text1"/>
          <w14:textFill>
            <w14:solidFill>
              <w14:schemeClr w14:val="tx1"/>
            </w14:solidFill>
          </w14:textFill>
        </w:rPr>
      </w:pPr>
      <w:r>
        <w:rPr>
          <w:rFonts w:hint="eastAsia" w:ascii="宋体" w:hAnsi="宋体" w:cstheme="minorEastAsia"/>
          <w:color w:val="000000" w:themeColor="text1"/>
          <w14:textFill>
            <w14:solidFill>
              <w14:schemeClr w14:val="tx1"/>
            </w14:solidFill>
          </w14:textFill>
        </w:rPr>
        <w:t>表</w:t>
      </w:r>
      <w:r>
        <w:rPr>
          <w:rFonts w:hint="eastAsia" w:hAnsi="宋体"/>
          <w:b/>
          <w:color w:val="000000" w:themeColor="text1"/>
          <w:szCs w:val="21"/>
          <w14:textFill>
            <w14:solidFill>
              <w14:schemeClr w14:val="tx1"/>
            </w14:solidFill>
          </w14:textFill>
        </w:rPr>
        <w:t xml:space="preserve">6.4.8  </w:t>
      </w:r>
      <w:r>
        <w:rPr>
          <w:rFonts w:hint="eastAsia" w:ascii="宋体" w:hAnsi="宋体" w:cstheme="minorEastAsia"/>
          <w:bCs/>
          <w:color w:val="000000" w:themeColor="text1"/>
          <w14:textFill>
            <w14:solidFill>
              <w14:schemeClr w14:val="tx1"/>
            </w14:solidFill>
          </w14:textFill>
        </w:rPr>
        <w:t>水平旋喷注浆技术参数表</w:t>
      </w:r>
    </w:p>
    <w:tbl>
      <w:tblPr>
        <w:tblStyle w:val="12"/>
        <w:tblW w:w="76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8"/>
        <w:gridCol w:w="1186"/>
        <w:gridCol w:w="1405"/>
        <w:gridCol w:w="1377"/>
        <w:gridCol w:w="1214"/>
        <w:gridCol w:w="11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695" w:hRule="atLeast"/>
          <w:jc w:val="center"/>
        </w:trPr>
        <w:tc>
          <w:tcPr>
            <w:tcW w:w="1328" w:type="dxa"/>
            <w:vMerge w:val="restart"/>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适用地层</w:t>
            </w:r>
          </w:p>
        </w:tc>
        <w:tc>
          <w:tcPr>
            <w:tcW w:w="1186" w:type="dxa"/>
            <w:vMerge w:val="restart"/>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桩体直径</w:t>
            </w:r>
          </w:p>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（cm）</w:t>
            </w:r>
          </w:p>
        </w:tc>
        <w:tc>
          <w:tcPr>
            <w:tcW w:w="1405" w:type="dxa"/>
            <w:vMerge w:val="restart"/>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桩体咬合</w:t>
            </w:r>
          </w:p>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（cm）</w:t>
            </w:r>
          </w:p>
        </w:tc>
        <w:tc>
          <w:tcPr>
            <w:tcW w:w="1377" w:type="dxa"/>
            <w:vMerge w:val="restart"/>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工作旋喷压力</w:t>
            </w:r>
          </w:p>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(MPa)</w:t>
            </w:r>
          </w:p>
        </w:tc>
        <w:tc>
          <w:tcPr>
            <w:tcW w:w="1214" w:type="dxa"/>
            <w:vMerge w:val="restart"/>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高压泵站工作流量</w:t>
            </w:r>
          </w:p>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（L/min）</w:t>
            </w:r>
          </w:p>
        </w:tc>
        <w:tc>
          <w:tcPr>
            <w:tcW w:w="1116" w:type="dxa"/>
            <w:vMerge w:val="restart"/>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沿隧道纵向旋喷桩搭接长度（cm）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8" w:hRule="atLeast"/>
          <w:jc w:val="center"/>
        </w:trPr>
        <w:tc>
          <w:tcPr>
            <w:tcW w:w="1328" w:type="dxa"/>
            <w:vMerge w:val="continue"/>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p>
        </w:tc>
        <w:tc>
          <w:tcPr>
            <w:tcW w:w="1186" w:type="dxa"/>
            <w:vMerge w:val="continue"/>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p>
        </w:tc>
        <w:tc>
          <w:tcPr>
            <w:tcW w:w="1405" w:type="dxa"/>
            <w:vMerge w:val="continue"/>
            <w:vAlign w:val="center"/>
          </w:tcPr>
          <w:p>
            <w:pPr>
              <w:spacing w:before="78" w:after="78"/>
              <w:ind w:left="180"/>
              <w:jc w:val="center"/>
              <w:rPr>
                <w:rFonts w:ascii="宋体" w:hAnsi="宋体" w:cstheme="minorEastAsia"/>
                <w:color w:val="000000" w:themeColor="text1"/>
                <w:sz w:val="18"/>
                <w:szCs w:val="18"/>
                <w14:textFill>
                  <w14:solidFill>
                    <w14:schemeClr w14:val="tx1"/>
                  </w14:solidFill>
                </w14:textFill>
              </w:rPr>
            </w:pPr>
          </w:p>
        </w:tc>
        <w:tc>
          <w:tcPr>
            <w:tcW w:w="1377" w:type="dxa"/>
            <w:vMerge w:val="continue"/>
            <w:vAlign w:val="center"/>
          </w:tcPr>
          <w:p>
            <w:pPr>
              <w:spacing w:before="78" w:after="78"/>
              <w:ind w:left="180"/>
              <w:jc w:val="center"/>
              <w:rPr>
                <w:rFonts w:ascii="宋体" w:hAnsi="宋体" w:cstheme="minorEastAsia"/>
                <w:color w:val="000000" w:themeColor="text1"/>
                <w:sz w:val="18"/>
                <w:szCs w:val="18"/>
                <w14:textFill>
                  <w14:solidFill>
                    <w14:schemeClr w14:val="tx1"/>
                  </w14:solidFill>
                </w14:textFill>
              </w:rPr>
            </w:pPr>
          </w:p>
        </w:tc>
        <w:tc>
          <w:tcPr>
            <w:tcW w:w="1214" w:type="dxa"/>
            <w:vMerge w:val="continue"/>
            <w:vAlign w:val="center"/>
          </w:tcPr>
          <w:p>
            <w:pPr>
              <w:spacing w:before="78" w:after="78"/>
              <w:ind w:left="180"/>
              <w:jc w:val="center"/>
              <w:rPr>
                <w:rFonts w:ascii="宋体" w:hAnsi="宋体" w:cstheme="minorEastAsia"/>
                <w:color w:val="000000" w:themeColor="text1"/>
                <w:sz w:val="18"/>
                <w:szCs w:val="18"/>
                <w14:textFill>
                  <w14:solidFill>
                    <w14:schemeClr w14:val="tx1"/>
                  </w14:solidFill>
                </w14:textFill>
              </w:rPr>
            </w:pPr>
          </w:p>
        </w:tc>
        <w:tc>
          <w:tcPr>
            <w:tcW w:w="1116" w:type="dxa"/>
            <w:vMerge w:val="continue"/>
            <w:vAlign w:val="center"/>
          </w:tcPr>
          <w:p>
            <w:pPr>
              <w:spacing w:before="78" w:after="78"/>
              <w:ind w:left="180"/>
              <w:jc w:val="center"/>
              <w:rPr>
                <w:rFonts w:ascii="宋体" w:hAnsi="宋体" w:cstheme="minorEastAsia"/>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exact"/>
          <w:jc w:val="center"/>
        </w:trPr>
        <w:tc>
          <w:tcPr>
            <w:tcW w:w="1328" w:type="dxa"/>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黏性土、砂等细颗粒地层</w:t>
            </w:r>
          </w:p>
        </w:tc>
        <w:tc>
          <w:tcPr>
            <w:tcW w:w="1186" w:type="dxa"/>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60～200</w:t>
            </w:r>
          </w:p>
        </w:tc>
        <w:tc>
          <w:tcPr>
            <w:tcW w:w="1405" w:type="dxa"/>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10～50</w:t>
            </w:r>
          </w:p>
        </w:tc>
        <w:tc>
          <w:tcPr>
            <w:tcW w:w="1377" w:type="dxa"/>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45～70</w:t>
            </w:r>
          </w:p>
        </w:tc>
        <w:tc>
          <w:tcPr>
            <w:tcW w:w="1214" w:type="dxa"/>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80～200</w:t>
            </w:r>
          </w:p>
        </w:tc>
        <w:tc>
          <w:tcPr>
            <w:tcW w:w="1116" w:type="dxa"/>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200～500</w:t>
            </w:r>
          </w:p>
        </w:tc>
      </w:tr>
    </w:tbl>
    <w:p>
      <w:p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p>
    <w:p>
      <w:pPr>
        <w:spacing w:line="360" w:lineRule="auto"/>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6.4.9 </w:t>
      </w:r>
      <w:r>
        <w:rPr>
          <w:rFonts w:hint="eastAsia" w:ascii="宋体" w:hAnsi="宋体" w:cs="宋体"/>
          <w:color w:val="000000" w:themeColor="text1"/>
          <w14:textFill>
            <w14:solidFill>
              <w14:schemeClr w14:val="tx1"/>
            </w14:solidFill>
          </w14:textFill>
        </w:rPr>
        <w:t>高喷孔喷射成桩后，应采用含水泥浆较多的孔口返浆回灌，桩顶面不应低于桩顶设计标高。</w:t>
      </w:r>
    </w:p>
    <w:p>
      <w:pPr>
        <w:tabs>
          <w:tab w:val="left" w:pos="851"/>
          <w:tab w:val="left" w:pos="5835"/>
        </w:tabs>
        <w:snapToGrid w:val="0"/>
        <w:spacing w:line="360" w:lineRule="auto"/>
        <w:jc w:val="left"/>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6.4.10 </w:t>
      </w:r>
      <w:r>
        <w:rPr>
          <w:rFonts w:hint="eastAsia" w:hAnsi="宋体"/>
          <w:color w:val="000000" w:themeColor="text1"/>
          <w:szCs w:val="21"/>
          <w14:textFill>
            <w14:solidFill>
              <w14:schemeClr w14:val="tx1"/>
            </w14:solidFill>
          </w14:textFill>
        </w:rPr>
        <w:t>水平旋喷桩桩体外观应平滑、匀称，无断桩、葫芦桩等现象；</w:t>
      </w:r>
      <w:r>
        <w:rPr>
          <w:rFonts w:hint="eastAsia" w:ascii="宋体" w:hAnsi="宋体" w:cs="宋体"/>
          <w:color w:val="000000" w:themeColor="text1"/>
          <w14:textFill>
            <w14:solidFill>
              <w14:schemeClr w14:val="tx1"/>
            </w14:solidFill>
          </w14:textFill>
        </w:rPr>
        <w:t>成桩28d后应抽芯取样检验，检验数量应为旋喷桩数的2%，且不应少于3根；芯样无侧限抗压强度不应小于设计要求，当设计无规定时，无侧限抗压强度</w:t>
      </w:r>
      <w:r>
        <w:rPr>
          <w:rFonts w:hint="eastAsia" w:hAnsi="宋体"/>
          <w:color w:val="000000" w:themeColor="text1"/>
          <w:szCs w:val="21"/>
          <w14:textFill>
            <w14:solidFill>
              <w14:schemeClr w14:val="tx1"/>
            </w14:solidFill>
          </w14:textFill>
        </w:rPr>
        <w:t>不应低于5.0MPa</w:t>
      </w:r>
      <w:r>
        <w:rPr>
          <w:rFonts w:hint="eastAsia" w:ascii="宋体" w:hAnsi="宋体" w:cs="宋体"/>
          <w:color w:val="000000" w:themeColor="text1"/>
          <w14:textFill>
            <w14:solidFill>
              <w14:schemeClr w14:val="tx1"/>
            </w14:solidFill>
          </w14:textFill>
        </w:rPr>
        <w:t>；桩墙止水效果应经现场渗水试验合格，</w:t>
      </w:r>
      <w:r>
        <w:rPr>
          <w:rFonts w:hint="eastAsia" w:hAnsi="宋体"/>
          <w:color w:val="000000" w:themeColor="text1"/>
          <w:szCs w:val="21"/>
          <w14:textFill>
            <w14:solidFill>
              <w14:schemeClr w14:val="tx1"/>
            </w14:solidFill>
          </w14:textFill>
        </w:rPr>
        <w:t>成桩咬合止水效果应符合设计要求</w:t>
      </w:r>
      <w:r>
        <w:rPr>
          <w:rFonts w:hint="eastAsia" w:ascii="宋体" w:hAnsi="宋体" w:cs="宋体"/>
          <w:color w:val="000000" w:themeColor="text1"/>
          <w14:textFill>
            <w14:solidFill>
              <w14:schemeClr w14:val="tx1"/>
            </w14:solidFill>
          </w14:textFill>
        </w:rPr>
        <w:t>。</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6.4.11 </w:t>
      </w:r>
      <w:r>
        <w:rPr>
          <w:rFonts w:hint="eastAsia" w:ascii="宋体" w:hAnsi="宋体" w:cs="宋体"/>
          <w:color w:val="000000" w:themeColor="text1"/>
          <w14:textFill>
            <w14:solidFill>
              <w14:schemeClr w14:val="tx1"/>
            </w14:solidFill>
          </w14:textFill>
        </w:rPr>
        <w:t>喷浆量宜采用体积法和喷量法计算，取较大值作为设计喷射浆量。</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1 </w:t>
      </w:r>
      <w:r>
        <w:rPr>
          <w:rFonts w:hint="eastAsia" w:ascii="宋体" w:hAnsi="宋体" w:cs="宋体"/>
          <w:color w:val="000000" w:themeColor="text1"/>
          <w14:textFill>
            <w14:solidFill>
              <w14:schemeClr w14:val="tx1"/>
            </w14:solidFill>
          </w14:textFill>
        </w:rPr>
        <w:t>体积法：</w:t>
      </w:r>
    </w:p>
    <w:p>
      <w:pPr>
        <w:snapToGrid w:val="0"/>
        <w:spacing w:line="360" w:lineRule="auto"/>
        <w:ind w:firstLine="630" w:firstLineChars="3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 xml:space="preserve"> </w:t>
      </w:r>
      <w:r>
        <w:rPr>
          <w:rFonts w:hint="eastAsia" w:ascii="宋体" w:hAnsi="宋体" w:cs="宋体"/>
          <w:color w:val="000000" w:themeColor="text1"/>
          <w:position w:val="-24"/>
          <w14:textFill>
            <w14:solidFill>
              <w14:schemeClr w14:val="tx1"/>
            </w14:solidFill>
          </w14:textFill>
        </w:rPr>
        <w:object>
          <v:shape id="_x0000_i1039" o:spt="75" type="#_x0000_t75" style="height:33.05pt;width:156.2pt;" o:ole="t" filled="f" o:preferrelative="t" stroked="f" coordsize="21600,21600">
            <v:path/>
            <v:fill on="f" focussize="0,0"/>
            <v:stroke on="f" joinstyle="miter"/>
            <v:imagedata r:id="rId37" o:title=""/>
            <o:lock v:ext="edit" aspectratio="t"/>
            <w10:wrap type="none"/>
            <w10:anchorlock/>
          </v:shape>
          <o:OLEObject Type="Embed" ProgID="Equation.KSEE3" ShapeID="_x0000_i1039" DrawAspect="Content" ObjectID="_1468075739" r:id="rId36">
            <o:LockedField>false</o:LockedField>
          </o:OLEObject>
        </w:object>
      </w:r>
      <w:r>
        <w:rPr>
          <w:rFonts w:hint="eastAsia" w:ascii="宋体" w:hAnsi="宋体" w:cs="宋体"/>
          <w:color w:val="000000" w:themeColor="text1"/>
          <w14:textFill>
            <w14:solidFill>
              <w14:schemeClr w14:val="tx1"/>
            </w14:solidFill>
          </w14:textFill>
        </w:rPr>
        <w:t xml:space="preserve">                  （</w:t>
      </w:r>
      <w:r>
        <w:rPr>
          <w:rFonts w:hint="eastAsia" w:hAnsi="宋体"/>
          <w:b/>
          <w:color w:val="000000" w:themeColor="text1"/>
          <w:szCs w:val="21"/>
          <w14:textFill>
            <w14:solidFill>
              <w14:schemeClr w14:val="tx1"/>
            </w14:solidFill>
          </w14:textFill>
        </w:rPr>
        <w:t>6.4.11-1</w:t>
      </w:r>
      <w:r>
        <w:rPr>
          <w:rFonts w:hint="eastAsia" w:ascii="宋体" w:hAnsi="宋体" w:cs="宋体"/>
          <w:color w:val="000000" w:themeColor="text1"/>
          <w14:textFill>
            <w14:solidFill>
              <w14:schemeClr w14:val="tx1"/>
            </w14:solidFill>
          </w14:textFill>
        </w:rPr>
        <w:t>）</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2 </w:t>
      </w:r>
      <w:r>
        <w:rPr>
          <w:rFonts w:hint="eastAsia" w:ascii="宋体" w:hAnsi="宋体" w:cs="宋体"/>
          <w:color w:val="000000" w:themeColor="text1"/>
          <w14:textFill>
            <w14:solidFill>
              <w14:schemeClr w14:val="tx1"/>
            </w14:solidFill>
          </w14:textFill>
        </w:rPr>
        <w:t>喷量法：</w:t>
      </w:r>
    </w:p>
    <w:p>
      <w:pPr>
        <w:snapToGrid w:val="0"/>
        <w:spacing w:line="360" w:lineRule="auto"/>
        <w:ind w:firstLine="420"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 xml:space="preserve">   </w:t>
      </w:r>
      <w:r>
        <w:rPr>
          <w:rFonts w:hint="eastAsia" w:ascii="宋体" w:hAnsi="宋体" w:cs="宋体"/>
          <w:color w:val="000000" w:themeColor="text1"/>
          <w:position w:val="-24"/>
          <w14:textFill>
            <w14:solidFill>
              <w14:schemeClr w14:val="tx1"/>
            </w14:solidFill>
          </w14:textFill>
        </w:rPr>
        <w:object>
          <v:shape id="_x0000_i1040" o:spt="75" type="#_x0000_t75" style="height:31.1pt;width:75.15pt;" o:ole="t" filled="f" o:preferrelative="t" stroked="f" coordsize="21600,21600">
            <v:path/>
            <v:fill on="f" focussize="0,0"/>
            <v:stroke on="f" joinstyle="miter"/>
            <v:imagedata r:id="rId39" o:title=""/>
            <o:lock v:ext="edit" aspectratio="t"/>
            <w10:wrap type="none"/>
            <w10:anchorlock/>
          </v:shape>
          <o:OLEObject Type="Embed" ProgID="Equation.KSEE3" ShapeID="_x0000_i1040" DrawAspect="Content" ObjectID="_1468075740" r:id="rId38">
            <o:LockedField>false</o:LockedField>
          </o:OLEObject>
        </w:object>
      </w:r>
      <w:r>
        <w:rPr>
          <w:rFonts w:hint="eastAsia" w:ascii="宋体" w:hAnsi="宋体" w:cs="宋体"/>
          <w:color w:val="000000" w:themeColor="text1"/>
          <w14:textFill>
            <w14:solidFill>
              <w14:schemeClr w14:val="tx1"/>
            </w14:solidFill>
          </w14:textFill>
        </w:rPr>
        <w:t xml:space="preserve">                                  （</w:t>
      </w:r>
      <w:r>
        <w:rPr>
          <w:rFonts w:hint="eastAsia" w:hAnsi="宋体"/>
          <w:b/>
          <w:color w:val="000000" w:themeColor="text1"/>
          <w:szCs w:val="21"/>
          <w14:textFill>
            <w14:solidFill>
              <w14:schemeClr w14:val="tx1"/>
            </w14:solidFill>
          </w14:textFill>
        </w:rPr>
        <w:t>6.4.11-2</w:t>
      </w:r>
      <w:r>
        <w:rPr>
          <w:rFonts w:hint="eastAsia" w:ascii="宋体" w:hAnsi="宋体" w:cs="宋体"/>
          <w:color w:val="000000" w:themeColor="text1"/>
          <w14:textFill>
            <w14:solidFill>
              <w14:schemeClr w14:val="tx1"/>
            </w14:solidFill>
          </w14:textFill>
        </w:rPr>
        <w:t>）</w:t>
      </w:r>
    </w:p>
    <w:p>
      <w:pPr>
        <w:snapToGrid w:val="0"/>
        <w:spacing w:line="360" w:lineRule="auto"/>
        <w:ind w:firstLine="420"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 xml:space="preserve">式中  </w:t>
      </w:r>
      <w:r>
        <w:rPr>
          <w:rFonts w:hint="eastAsia" w:ascii="宋体" w:hAnsi="宋体" w:cs="宋体"/>
          <w:color w:val="000000" w:themeColor="text1"/>
          <w:position w:val="-10"/>
          <w14:textFill>
            <w14:solidFill>
              <w14:schemeClr w14:val="tx1"/>
            </w14:solidFill>
          </w14:textFill>
        </w:rPr>
        <w:object>
          <v:shape id="_x0000_i1041" o:spt="75" type="#_x0000_t75" style="height:16.15pt;width:12.2pt;" o:ole="t" filled="f" o:preferrelative="t" stroked="f" coordsize="21600,21600">
            <v:path/>
            <v:fill on="f" focussize="0,0"/>
            <v:stroke on="f" joinstyle="miter"/>
            <v:imagedata r:id="rId41" o:title=""/>
            <o:lock v:ext="edit" aspectratio="t"/>
            <w10:wrap type="none"/>
            <w10:anchorlock/>
          </v:shape>
          <o:OLEObject Type="Embed" ProgID="Equation.KSEE3" ShapeID="_x0000_i1041" DrawAspect="Content" ObjectID="_1468075741" r:id="rId40">
            <o:LockedField>false</o:LockedField>
          </o:OLEObject>
        </w:object>
      </w:r>
      <w:r>
        <w:rPr>
          <w:rFonts w:hint="eastAsia" w:ascii="宋体" w:hAnsi="宋体" w:cs="宋体"/>
          <w:color w:val="000000" w:themeColor="text1"/>
          <w14:textFill>
            <w14:solidFill>
              <w14:schemeClr w14:val="tx1"/>
            </w14:solidFill>
          </w14:textFill>
        </w:rPr>
        <w:t>——需要的喷浆量（m</w:t>
      </w:r>
      <w:r>
        <w:rPr>
          <w:rFonts w:hint="eastAsia" w:ascii="宋体" w:hAnsi="宋体" w:cs="宋体"/>
          <w:color w:val="000000" w:themeColor="text1"/>
          <w:vertAlign w:val="superscript"/>
          <w14:textFill>
            <w14:solidFill>
              <w14:schemeClr w14:val="tx1"/>
            </w14:solidFill>
          </w14:textFill>
        </w:rPr>
        <w:t>3</w:t>
      </w:r>
      <w:r>
        <w:rPr>
          <w:rFonts w:hint="eastAsia" w:ascii="宋体" w:hAnsi="宋体" w:cs="宋体"/>
          <w:color w:val="000000" w:themeColor="text1"/>
          <w14:textFill>
            <w14:solidFill>
              <w14:schemeClr w14:val="tx1"/>
            </w14:solidFill>
          </w14:textFill>
        </w:rPr>
        <w:t>）；</w:t>
      </w:r>
    </w:p>
    <w:p>
      <w:pPr>
        <w:snapToGrid w:val="0"/>
        <w:spacing w:line="360" w:lineRule="auto"/>
        <w:ind w:firstLine="840" w:firstLineChars="4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 xml:space="preserve"> </w:t>
      </w:r>
      <w:r>
        <w:rPr>
          <w:rFonts w:hint="eastAsia" w:ascii="宋体" w:hAnsi="宋体" w:cs="宋体"/>
          <w:color w:val="000000" w:themeColor="text1"/>
          <w:position w:val="-12"/>
          <w14:textFill>
            <w14:solidFill>
              <w14:schemeClr w14:val="tx1"/>
            </w14:solidFill>
          </w14:textFill>
        </w:rPr>
        <w:object>
          <v:shape id="_x0000_i1042" o:spt="75" type="#_x0000_t75" style="height:18.1pt;width:16.15pt;" o:ole="t" filled="f" o:preferrelative="t" stroked="f" coordsize="21600,21600">
            <v:path/>
            <v:fill on="f" focussize="0,0"/>
            <v:stroke on="f" joinstyle="miter"/>
            <v:imagedata r:id="rId43" o:title=""/>
            <o:lock v:ext="edit" aspectratio="t"/>
            <w10:wrap type="none"/>
            <w10:anchorlock/>
          </v:shape>
          <o:OLEObject Type="Embed" ProgID="Equation.KSEE3" ShapeID="_x0000_i1042" DrawAspect="Content" ObjectID="_1468075742" r:id="rId42">
            <o:LockedField>false</o:LockedField>
          </o:OLEObject>
        </w:object>
      </w:r>
      <w:r>
        <w:rPr>
          <w:rFonts w:hint="eastAsia" w:ascii="宋体" w:hAnsi="宋体" w:cs="宋体"/>
          <w:color w:val="000000" w:themeColor="text1"/>
          <w14:textFill>
            <w14:solidFill>
              <w14:schemeClr w14:val="tx1"/>
            </w14:solidFill>
          </w14:textFill>
        </w:rPr>
        <w:t>——旋喷固结体直径（m）；</w:t>
      </w:r>
    </w:p>
    <w:p>
      <w:pPr>
        <w:snapToGrid w:val="0"/>
        <w:spacing w:line="360" w:lineRule="auto"/>
        <w:ind w:firstLine="630" w:firstLineChars="3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 xml:space="preserve">   </w:t>
      </w:r>
      <w:r>
        <w:rPr>
          <w:rFonts w:hint="eastAsia" w:ascii="宋体" w:hAnsi="宋体" w:cs="宋体"/>
          <w:color w:val="000000" w:themeColor="text1"/>
          <w:position w:val="-12"/>
          <w14:textFill>
            <w14:solidFill>
              <w14:schemeClr w14:val="tx1"/>
            </w14:solidFill>
          </w14:textFill>
        </w:rPr>
        <w:object>
          <v:shape id="_x0000_i1043" o:spt="75" type="#_x0000_t75" style="height:18.1pt;width:16.15pt;" o:ole="t" filled="f" o:preferrelative="t" stroked="f" coordsize="21600,21600">
            <v:path/>
            <v:fill on="f" focussize="0,0"/>
            <v:stroke on="f" joinstyle="miter"/>
            <v:imagedata r:id="rId45" o:title=""/>
            <o:lock v:ext="edit" aspectratio="t"/>
            <w10:wrap type="none"/>
            <w10:anchorlock/>
          </v:shape>
          <o:OLEObject Type="Embed" ProgID="Equation.KSEE3" ShapeID="_x0000_i1043" DrawAspect="Content" ObjectID="_1468075743" r:id="rId44">
            <o:LockedField>false</o:LockedField>
          </o:OLEObject>
        </w:object>
      </w:r>
      <w:r>
        <w:rPr>
          <w:rFonts w:hint="eastAsia" w:ascii="宋体" w:hAnsi="宋体" w:cs="宋体"/>
          <w:color w:val="000000" w:themeColor="text1"/>
          <w14:textFill>
            <w14:solidFill>
              <w14:schemeClr w14:val="tx1"/>
            </w14:solidFill>
          </w14:textFill>
        </w:rPr>
        <w:t>——注浆管直径（m）；</w:t>
      </w:r>
    </w:p>
    <w:p>
      <w:pPr>
        <w:snapToGrid w:val="0"/>
        <w:spacing w:line="360" w:lineRule="auto"/>
        <w:ind w:firstLine="630" w:firstLineChars="3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 xml:space="preserve">   </w:t>
      </w:r>
      <w:r>
        <w:rPr>
          <w:rFonts w:hint="eastAsia" w:ascii="宋体" w:hAnsi="宋体" w:cs="宋体"/>
          <w:color w:val="000000" w:themeColor="text1"/>
          <w:position w:val="-10"/>
          <w14:textFill>
            <w14:solidFill>
              <w14:schemeClr w14:val="tx1"/>
            </w14:solidFill>
          </w14:textFill>
        </w:rPr>
        <w:object>
          <v:shape id="_x0000_i1044" o:spt="75" type="#_x0000_t75" style="height:16.9pt;width:14.95pt;" o:ole="t" filled="f" o:preferrelative="t" stroked="f" coordsize="21600,21600">
            <v:path/>
            <v:fill on="f" focussize="0,0"/>
            <v:stroke on="f" joinstyle="miter"/>
            <v:imagedata r:id="rId47" o:title=""/>
            <o:lock v:ext="edit" aspectratio="t"/>
            <w10:wrap type="none"/>
            <w10:anchorlock/>
          </v:shape>
          <o:OLEObject Type="Embed" ProgID="Equation.KSEE3" ShapeID="_x0000_i1044" DrawAspect="Content" ObjectID="_1468075744" r:id="rId46">
            <o:LockedField>false</o:LockedField>
          </o:OLEObject>
        </w:object>
      </w:r>
      <w:r>
        <w:rPr>
          <w:rFonts w:hint="eastAsia" w:ascii="宋体" w:hAnsi="宋体" w:cs="宋体"/>
          <w:color w:val="000000" w:themeColor="text1"/>
          <w14:textFill>
            <w14:solidFill>
              <w14:schemeClr w14:val="tx1"/>
            </w14:solidFill>
          </w14:textFill>
        </w:rPr>
        <w:t>——填充率；</w:t>
      </w:r>
    </w:p>
    <w:p>
      <w:pPr>
        <w:snapToGrid w:val="0"/>
        <w:spacing w:line="360" w:lineRule="auto"/>
        <w:ind w:firstLine="1050" w:firstLineChars="500"/>
        <w:rPr>
          <w:rFonts w:ascii="宋体" w:hAnsi="宋体" w:cs="宋体"/>
          <w:color w:val="000000" w:themeColor="text1"/>
          <w14:textFill>
            <w14:solidFill>
              <w14:schemeClr w14:val="tx1"/>
            </w14:solidFill>
          </w14:textFill>
        </w:rPr>
      </w:pPr>
      <w:r>
        <w:rPr>
          <w:rFonts w:hint="eastAsia" w:ascii="宋体" w:hAnsi="宋体" w:cs="宋体"/>
          <w:color w:val="000000" w:themeColor="text1"/>
          <w:position w:val="-10"/>
          <w14:textFill>
            <w14:solidFill>
              <w14:schemeClr w14:val="tx1"/>
            </w14:solidFill>
          </w14:textFill>
        </w:rPr>
        <w:object>
          <v:shape id="_x0000_i1045" o:spt="75" type="#_x0000_t75" style="height:16.9pt;width:12.2pt;" o:ole="t" filled="f" o:preferrelative="t" stroked="f" coordsize="21600,21600">
            <v:path/>
            <v:fill on="f" focussize="0,0"/>
            <v:stroke on="f" joinstyle="miter"/>
            <v:imagedata r:id="rId49" o:title=""/>
            <o:lock v:ext="edit" aspectratio="t"/>
            <w10:wrap type="none"/>
            <w10:anchorlock/>
          </v:shape>
          <o:OLEObject Type="Embed" ProgID="Equation.KSEE3" ShapeID="_x0000_i1045" DrawAspect="Content" ObjectID="_1468075745" r:id="rId48">
            <o:LockedField>false</o:LockedField>
          </o:OLEObject>
        </w:object>
      </w:r>
      <w:r>
        <w:rPr>
          <w:rFonts w:hint="eastAsia" w:ascii="宋体" w:hAnsi="宋体" w:cs="宋体"/>
          <w:color w:val="000000" w:themeColor="text1"/>
          <w14:textFill>
            <w14:solidFill>
              <w14:schemeClr w14:val="tx1"/>
            </w14:solidFill>
          </w14:textFill>
        </w:rPr>
        <w:t>——旋喷长度（m）；</w:t>
      </w:r>
    </w:p>
    <w:p>
      <w:pPr>
        <w:snapToGrid w:val="0"/>
        <w:spacing w:line="360" w:lineRule="auto"/>
        <w:ind w:firstLine="840" w:firstLineChars="400"/>
        <w:rPr>
          <w:rFonts w:ascii="宋体" w:hAnsi="宋体" w:cs="宋体"/>
          <w:color w:val="000000" w:themeColor="text1"/>
          <w14:textFill>
            <w14:solidFill>
              <w14:schemeClr w14:val="tx1"/>
            </w14:solidFill>
          </w14:textFill>
        </w:rPr>
      </w:pPr>
      <w:r>
        <w:rPr>
          <w:rFonts w:hint="eastAsia" w:ascii="宋体" w:hAnsi="宋体" w:cs="宋体"/>
          <w:color w:val="000000" w:themeColor="text1"/>
          <w:position w:val="-10"/>
          <w14:textFill>
            <w14:solidFill>
              <w14:schemeClr w14:val="tx1"/>
            </w14:solidFill>
          </w14:textFill>
        </w:rPr>
        <w:object>
          <v:shape id="_x0000_i1046" o:spt="75" type="#_x0000_t75" style="height:16.9pt;width:16.9pt;" o:ole="t" filled="f" o:preferrelative="t" stroked="f" coordsize="21600,21600">
            <v:path/>
            <v:fill on="f" focussize="0,0"/>
            <v:stroke on="f" joinstyle="miter"/>
            <v:imagedata r:id="rId51" o:title=""/>
            <o:lock v:ext="edit" aspectratio="t"/>
            <w10:wrap type="none"/>
            <w10:anchorlock/>
          </v:shape>
          <o:OLEObject Type="Embed" ProgID="Equation.KSEE3" ShapeID="_x0000_i1046" DrawAspect="Content" ObjectID="_1468075746" r:id="rId50">
            <o:LockedField>false</o:LockedField>
          </o:OLEObject>
        </w:object>
      </w:r>
      <w:r>
        <w:rPr>
          <w:rFonts w:hint="eastAsia" w:ascii="宋体" w:hAnsi="宋体" w:cs="宋体"/>
          <w:color w:val="000000" w:themeColor="text1"/>
          <w14:textFill>
            <w14:solidFill>
              <w14:schemeClr w14:val="tx1"/>
            </w14:solidFill>
          </w14:textFill>
        </w:rPr>
        <w:t>——未旋喷范围土的填充率；</w:t>
      </w:r>
    </w:p>
    <w:p>
      <w:pPr>
        <w:snapToGrid w:val="0"/>
        <w:spacing w:line="360" w:lineRule="auto"/>
        <w:ind w:firstLine="840" w:firstLineChars="400"/>
        <w:rPr>
          <w:rFonts w:ascii="宋体" w:hAnsi="宋体" w:cs="宋体"/>
          <w:color w:val="000000" w:themeColor="text1"/>
          <w14:textFill>
            <w14:solidFill>
              <w14:schemeClr w14:val="tx1"/>
            </w14:solidFill>
          </w14:textFill>
        </w:rPr>
      </w:pPr>
      <w:r>
        <w:rPr>
          <w:rFonts w:hint="eastAsia" w:ascii="宋体" w:hAnsi="宋体" w:cs="宋体"/>
          <w:color w:val="000000" w:themeColor="text1"/>
          <w:position w:val="-10"/>
          <w14:textFill>
            <w14:solidFill>
              <w14:schemeClr w14:val="tx1"/>
            </w14:solidFill>
          </w14:textFill>
        </w:rPr>
        <w:object>
          <v:shape id="_x0000_i1047" o:spt="75" type="#_x0000_t75" style="height:16.9pt;width:13pt;" o:ole="t" filled="f" o:preferrelative="t" stroked="f" coordsize="21600,21600">
            <v:path/>
            <v:fill on="f" focussize="0,0"/>
            <v:stroke on="f" joinstyle="miter"/>
            <v:imagedata r:id="rId53" o:title=""/>
            <o:lock v:ext="edit" aspectratio="t"/>
            <w10:wrap type="none"/>
            <w10:anchorlock/>
          </v:shape>
          <o:OLEObject Type="Embed" ProgID="Equation.KSEE3" ShapeID="_x0000_i1047" DrawAspect="Content" ObjectID="_1468075747" r:id="rId52">
            <o:LockedField>false</o:LockedField>
          </o:OLEObject>
        </w:object>
      </w:r>
      <w:r>
        <w:rPr>
          <w:rFonts w:hint="eastAsia" w:ascii="宋体" w:hAnsi="宋体" w:cs="宋体"/>
          <w:color w:val="000000" w:themeColor="text1"/>
          <w14:textFill>
            <w14:solidFill>
              <w14:schemeClr w14:val="tx1"/>
            </w14:solidFill>
          </w14:textFill>
        </w:rPr>
        <w:t>——未旋喷长度（m）；</w:t>
      </w:r>
    </w:p>
    <w:p>
      <w:pPr>
        <w:snapToGrid w:val="0"/>
        <w:spacing w:line="360" w:lineRule="auto"/>
        <w:ind w:firstLine="840" w:firstLineChars="400"/>
        <w:rPr>
          <w:rFonts w:ascii="宋体" w:hAnsi="宋体" w:cs="宋体"/>
          <w:color w:val="000000" w:themeColor="text1"/>
          <w14:textFill>
            <w14:solidFill>
              <w14:schemeClr w14:val="tx1"/>
            </w14:solidFill>
          </w14:textFill>
        </w:rPr>
      </w:pPr>
      <w:r>
        <w:rPr>
          <w:rFonts w:hint="eastAsia" w:ascii="宋体" w:hAnsi="宋体" w:cs="宋体"/>
          <w:color w:val="000000" w:themeColor="text1"/>
          <w:position w:val="-10"/>
          <w14:textFill>
            <w14:solidFill>
              <w14:schemeClr w14:val="tx1"/>
            </w14:solidFill>
          </w14:textFill>
        </w:rPr>
        <w:object>
          <v:shape id="_x0000_i1048" o:spt="75" type="#_x0000_t75" style="height:16.15pt;width:12.2pt;" o:ole="t" filled="f" o:preferrelative="t" stroked="f" coordsize="21600,21600">
            <v:path/>
            <v:fill on="f" focussize="0,0"/>
            <v:stroke on="f" joinstyle="miter"/>
            <v:imagedata r:id="rId55" o:title=""/>
            <o:lock v:ext="edit" aspectratio="t"/>
            <w10:wrap type="none"/>
            <w10:anchorlock/>
          </v:shape>
          <o:OLEObject Type="Embed" ProgID="Equation.KSEE3" ShapeID="_x0000_i1048" DrawAspect="Content" ObjectID="_1468075748" r:id="rId54">
            <o:LockedField>false</o:LockedField>
          </o:OLEObject>
        </w:object>
      </w:r>
      <w:r>
        <w:rPr>
          <w:rFonts w:hint="eastAsia" w:ascii="宋体" w:hAnsi="宋体" w:cs="宋体"/>
          <w:color w:val="000000" w:themeColor="text1"/>
          <w14:textFill>
            <w14:solidFill>
              <w14:schemeClr w14:val="tx1"/>
            </w14:solidFill>
          </w14:textFill>
        </w:rPr>
        <w:t>——损失系数；</w:t>
      </w:r>
    </w:p>
    <w:p>
      <w:pPr>
        <w:snapToGrid w:val="0"/>
        <w:spacing w:line="360" w:lineRule="auto"/>
        <w:ind w:firstLine="840" w:firstLineChars="400"/>
        <w:rPr>
          <w:rFonts w:ascii="宋体" w:hAnsi="宋体" w:cs="宋体"/>
          <w:color w:val="000000" w:themeColor="text1"/>
          <w14:textFill>
            <w14:solidFill>
              <w14:schemeClr w14:val="tx1"/>
            </w14:solidFill>
          </w14:textFill>
        </w:rPr>
      </w:pPr>
      <w:r>
        <w:rPr>
          <w:rFonts w:hint="eastAsia" w:ascii="宋体" w:hAnsi="宋体" w:cs="宋体"/>
          <w:color w:val="000000" w:themeColor="text1"/>
          <w:position w:val="-6"/>
          <w14:textFill>
            <w14:solidFill>
              <w14:schemeClr w14:val="tx1"/>
            </w14:solidFill>
          </w14:textFill>
        </w:rPr>
        <w:object>
          <v:shape id="_x0000_i1049" o:spt="75" type="#_x0000_t75" style="height:11pt;width:9.85pt;" o:ole="t" filled="f" o:preferrelative="t" stroked="f" coordsize="21600,21600">
            <v:path/>
            <v:fill on="f" focussize="0,0"/>
            <v:stroke on="f" joinstyle="miter"/>
            <v:imagedata r:id="rId57" o:title=""/>
            <o:lock v:ext="edit" aspectratio="t"/>
            <w10:wrap type="none"/>
            <w10:anchorlock/>
          </v:shape>
          <o:OLEObject Type="Embed" ProgID="Equation.KSEE3" ShapeID="_x0000_i1049" DrawAspect="Content" ObjectID="_1468075749" r:id="rId56">
            <o:LockedField>false</o:LockedField>
          </o:OLEObject>
        </w:object>
      </w:r>
      <w:r>
        <w:rPr>
          <w:rFonts w:hint="eastAsia" w:ascii="宋体" w:hAnsi="宋体" w:cs="宋体"/>
          <w:color w:val="000000" w:themeColor="text1"/>
          <w14:textFill>
            <w14:solidFill>
              <w14:schemeClr w14:val="tx1"/>
            </w14:solidFill>
          </w14:textFill>
        </w:rPr>
        <w:t>——提升速度（m/min）；</w:t>
      </w:r>
    </w:p>
    <w:p>
      <w:pPr>
        <w:snapToGrid w:val="0"/>
        <w:spacing w:line="360" w:lineRule="auto"/>
        <w:ind w:firstLine="840" w:firstLineChars="400"/>
        <w:rPr>
          <w:rFonts w:ascii="宋体" w:hAnsi="宋体" w:cs="宋体"/>
          <w:color w:val="000000" w:themeColor="text1"/>
          <w14:textFill>
            <w14:solidFill>
              <w14:schemeClr w14:val="tx1"/>
            </w14:solidFill>
          </w14:textFill>
        </w:rPr>
      </w:pPr>
      <w:r>
        <w:rPr>
          <w:rFonts w:hint="eastAsia" w:ascii="宋体" w:hAnsi="宋体" w:cs="宋体"/>
          <w:color w:val="000000" w:themeColor="text1"/>
          <w:position w:val="-4"/>
          <w14:textFill>
            <w14:solidFill>
              <w14:schemeClr w14:val="tx1"/>
            </w14:solidFill>
          </w14:textFill>
        </w:rPr>
        <w:object>
          <v:shape id="_x0000_i1050" o:spt="75" type="#_x0000_t75" style="height:13pt;width:13.75pt;" o:ole="t" filled="f" o:preferrelative="t" stroked="f" coordsize="21600,21600">
            <v:path/>
            <v:fill on="f" focussize="0,0"/>
            <v:stroke on="f" joinstyle="miter"/>
            <v:imagedata r:id="rId59" o:title=""/>
            <o:lock v:ext="edit" aspectratio="t"/>
            <w10:wrap type="none"/>
            <w10:anchorlock/>
          </v:shape>
          <o:OLEObject Type="Embed" ProgID="Equation.KSEE3" ShapeID="_x0000_i1050" DrawAspect="Content" ObjectID="_1468075750" r:id="rId58">
            <o:LockedField>false</o:LockedField>
          </o:OLEObject>
        </w:object>
      </w:r>
      <w:r>
        <w:rPr>
          <w:rFonts w:hint="eastAsia" w:ascii="宋体" w:hAnsi="宋体" w:cs="宋体"/>
          <w:color w:val="000000" w:themeColor="text1"/>
          <w14:textFill>
            <w14:solidFill>
              <w14:schemeClr w14:val="tx1"/>
            </w14:solidFill>
          </w14:textFill>
        </w:rPr>
        <w:t>——喷射长度（m）；</w:t>
      </w:r>
    </w:p>
    <w:p>
      <w:pPr>
        <w:snapToGrid w:val="0"/>
        <w:spacing w:line="360" w:lineRule="auto"/>
        <w:ind w:firstLine="840" w:firstLineChars="400"/>
        <w:rPr>
          <w:rFonts w:ascii="宋体" w:hAnsi="宋体" w:cs="宋体"/>
          <w:color w:val="000000" w:themeColor="text1"/>
          <w14:textFill>
            <w14:solidFill>
              <w14:schemeClr w14:val="tx1"/>
            </w14:solidFill>
          </w14:textFill>
        </w:rPr>
      </w:pPr>
      <w:r>
        <w:rPr>
          <w:rFonts w:hint="eastAsia" w:ascii="宋体" w:hAnsi="宋体" w:cs="宋体"/>
          <w:color w:val="000000" w:themeColor="text1"/>
          <w:position w:val="-10"/>
          <w14:textFill>
            <w14:solidFill>
              <w14:schemeClr w14:val="tx1"/>
            </w14:solidFill>
          </w14:textFill>
        </w:rPr>
        <w:object>
          <v:shape id="_x0000_i1051" o:spt="75" type="#_x0000_t75" style="height:13pt;width:9.85pt;" o:ole="t" filled="f" o:preferrelative="t" stroked="f" coordsize="21600,21600">
            <v:path/>
            <v:fill on="f" focussize="0,0"/>
            <v:stroke on="f" joinstyle="miter"/>
            <v:imagedata r:id="rId61" o:title=""/>
            <o:lock v:ext="edit" aspectratio="t"/>
            <w10:wrap type="none"/>
            <w10:anchorlock/>
          </v:shape>
          <o:OLEObject Type="Embed" ProgID="Equation.KSEE3" ShapeID="_x0000_i1051" DrawAspect="Content" ObjectID="_1468075751" r:id="rId60">
            <o:LockedField>false</o:LockedField>
          </o:OLEObject>
        </w:object>
      </w:r>
      <w:r>
        <w:rPr>
          <w:rFonts w:hint="eastAsia" w:ascii="宋体" w:hAnsi="宋体" w:cs="宋体"/>
          <w:color w:val="000000" w:themeColor="text1"/>
          <w14:textFill>
            <w14:solidFill>
              <w14:schemeClr w14:val="tx1"/>
            </w14:solidFill>
          </w14:textFill>
        </w:rPr>
        <w:t>——单位喷浆量（m</w:t>
      </w:r>
      <w:r>
        <w:rPr>
          <w:rFonts w:hint="eastAsia" w:ascii="宋体" w:hAnsi="宋体" w:cs="宋体"/>
          <w:color w:val="000000" w:themeColor="text1"/>
          <w:vertAlign w:val="superscript"/>
          <w14:textFill>
            <w14:solidFill>
              <w14:schemeClr w14:val="tx1"/>
            </w14:solidFill>
          </w14:textFill>
        </w:rPr>
        <w:t>3</w:t>
      </w:r>
      <w:r>
        <w:rPr>
          <w:rFonts w:hint="eastAsia" w:ascii="宋体" w:hAnsi="宋体" w:cs="宋体"/>
          <w:color w:val="000000" w:themeColor="text1"/>
          <w14:textFill>
            <w14:solidFill>
              <w14:schemeClr w14:val="tx1"/>
            </w14:solidFill>
          </w14:textFill>
        </w:rPr>
        <w:t>/min）。</w:t>
      </w:r>
    </w:p>
    <w:p>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br w:type="page"/>
      </w:r>
    </w:p>
    <w:p>
      <w:pPr>
        <w:numPr>
          <w:ilvl w:val="255"/>
          <w:numId w:val="0"/>
        </w:numPr>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116" w:name="_Toc22636"/>
      <w:bookmarkStart w:id="117" w:name="_Toc6716"/>
      <w:bookmarkStart w:id="118" w:name="_Toc2826"/>
      <w:bookmarkStart w:id="119" w:name="_Toc17590"/>
      <w:bookmarkStart w:id="120" w:name="_Toc1462"/>
      <w:bookmarkStart w:id="121" w:name="_Toc20390"/>
      <w:r>
        <w:rPr>
          <w:rFonts w:hint="eastAsia"/>
          <w:b/>
          <w:color w:val="000000" w:themeColor="text1"/>
          <w:sz w:val="28"/>
          <w:szCs w:val="28"/>
          <w14:textFill>
            <w14:solidFill>
              <w14:schemeClr w14:val="tx1"/>
            </w14:solidFill>
          </w14:textFill>
        </w:rPr>
        <w:t>7  超前预支护和地层加固</w:t>
      </w:r>
      <w:bookmarkEnd w:id="116"/>
      <w:bookmarkEnd w:id="117"/>
      <w:bookmarkEnd w:id="118"/>
      <w:bookmarkEnd w:id="119"/>
      <w:bookmarkEnd w:id="120"/>
      <w:bookmarkEnd w:id="121"/>
    </w:p>
    <w:p>
      <w:pPr>
        <w:numPr>
          <w:ilvl w:val="255"/>
          <w:numId w:val="0"/>
        </w:numPr>
        <w:tabs>
          <w:tab w:val="left" w:pos="576"/>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122" w:name="_Toc23766"/>
      <w:bookmarkStart w:id="123" w:name="_Toc15479"/>
      <w:bookmarkStart w:id="124" w:name="_Toc8682"/>
      <w:bookmarkStart w:id="125" w:name="_Toc25128"/>
      <w:bookmarkStart w:id="126" w:name="_Toc5343"/>
      <w:bookmarkStart w:id="127" w:name="_Toc3901"/>
      <w:r>
        <w:rPr>
          <w:rFonts w:hint="eastAsia" w:hAnsi="宋体"/>
          <w:b/>
          <w:color w:val="000000" w:themeColor="text1"/>
          <w:sz w:val="24"/>
          <w14:textFill>
            <w14:solidFill>
              <w14:schemeClr w14:val="tx1"/>
            </w14:solidFill>
          </w14:textFill>
        </w:rPr>
        <w:t>7.1  一般规定</w:t>
      </w:r>
      <w:bookmarkEnd w:id="122"/>
      <w:bookmarkEnd w:id="123"/>
      <w:bookmarkEnd w:id="124"/>
      <w:bookmarkEnd w:id="125"/>
      <w:bookmarkEnd w:id="126"/>
      <w:bookmarkEnd w:id="127"/>
    </w:p>
    <w:p>
      <w:pPr>
        <w:widowControl/>
        <w:spacing w:line="360" w:lineRule="auto"/>
        <w:jc w:val="left"/>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7.1.1 </w:t>
      </w:r>
      <w:r>
        <w:rPr>
          <w:rFonts w:hint="eastAsia" w:ascii="宋体" w:hAnsi="宋体" w:cs="宋体"/>
          <w:color w:val="000000" w:themeColor="text1"/>
          <w:kern w:val="0"/>
          <w:szCs w:val="21"/>
          <w:lang w:bidi="ar"/>
          <w14:textFill>
            <w14:solidFill>
              <w14:schemeClr w14:val="tx1"/>
            </w14:solidFill>
          </w14:textFill>
        </w:rPr>
        <w:t xml:space="preserve">超前预支护和地层加固应符合设计要求，并应与地下水控制统筹考虑。 </w:t>
      </w:r>
    </w:p>
    <w:p>
      <w:pPr>
        <w:pStyle w:val="22"/>
        <w:numPr>
          <w:ilvl w:val="255"/>
          <w:numId w:val="0"/>
        </w:numPr>
        <w:tabs>
          <w:tab w:val="left" w:pos="851"/>
        </w:tabs>
        <w:snapToGrid w:val="0"/>
        <w:spacing w:line="360" w:lineRule="auto"/>
        <w:jc w:val="left"/>
        <w:rPr>
          <w:rFonts w:ascii="宋体" w:hAnsi="宋体" w:cs="宋体"/>
          <w:color w:val="000000" w:themeColor="text1"/>
          <w:kern w:val="0"/>
          <w:szCs w:val="21"/>
          <w:lang w:bidi="ar"/>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7.1.2 </w:t>
      </w:r>
      <w:r>
        <w:rPr>
          <w:rFonts w:hint="eastAsia" w:ascii="宋体" w:hAnsi="宋体" w:cs="宋体"/>
          <w:color w:val="000000" w:themeColor="text1"/>
          <w:kern w:val="0"/>
          <w:szCs w:val="21"/>
          <w:lang w:bidi="ar"/>
          <w14:textFill>
            <w14:solidFill>
              <w14:schemeClr w14:val="tx1"/>
            </w14:solidFill>
          </w14:textFill>
        </w:rPr>
        <w:t>根据地质条件、地下水状况、施工方法以及周围环境条件等因素，超前预支护和地层加固可采取下列措施：</w:t>
      </w:r>
    </w:p>
    <w:p>
      <w:pPr>
        <w:pStyle w:val="22"/>
        <w:numPr>
          <w:ilvl w:val="255"/>
          <w:numId w:val="0"/>
        </w:numPr>
        <w:tabs>
          <w:tab w:val="left" w:pos="851"/>
        </w:tabs>
        <w:snapToGrid w:val="0"/>
        <w:spacing w:line="360" w:lineRule="auto"/>
        <w:ind w:firstLine="422" w:firstLineChars="200"/>
        <w:jc w:val="left"/>
        <w:rPr>
          <w:rFonts w:ascii="宋体" w:hAnsi="宋体" w:cs="宋体"/>
          <w:color w:val="000000" w:themeColor="text1"/>
          <w:kern w:val="0"/>
          <w:szCs w:val="21"/>
          <w:lang w:bidi="ar"/>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宋体"/>
          <w:color w:val="000000" w:themeColor="text1"/>
          <w:kern w:val="0"/>
          <w:szCs w:val="21"/>
          <w:lang w:bidi="ar"/>
          <w14:textFill>
            <w14:solidFill>
              <w14:schemeClr w14:val="tx1"/>
            </w14:solidFill>
          </w14:textFill>
        </w:rPr>
        <w:t xml:space="preserve">超前小导管支护； </w:t>
      </w:r>
    </w:p>
    <w:p>
      <w:pPr>
        <w:pStyle w:val="22"/>
        <w:numPr>
          <w:ilvl w:val="255"/>
          <w:numId w:val="0"/>
        </w:numPr>
        <w:tabs>
          <w:tab w:val="left" w:pos="851"/>
        </w:tabs>
        <w:snapToGrid w:val="0"/>
        <w:spacing w:line="360" w:lineRule="auto"/>
        <w:ind w:firstLine="422" w:firstLineChars="200"/>
        <w:jc w:val="left"/>
        <w:rPr>
          <w:rFonts w:ascii="宋体" w:hAnsi="宋体" w:cs="宋体"/>
          <w:color w:val="000000" w:themeColor="text1"/>
          <w:kern w:val="0"/>
          <w:szCs w:val="21"/>
          <w:lang w:bidi="ar"/>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ascii="宋体" w:hAnsi="宋体" w:cs="宋体"/>
          <w:color w:val="000000" w:themeColor="text1"/>
          <w:kern w:val="0"/>
          <w:szCs w:val="21"/>
          <w:lang w:bidi="ar"/>
          <w14:textFill>
            <w14:solidFill>
              <w14:schemeClr w14:val="tx1"/>
            </w14:solidFill>
          </w14:textFill>
        </w:rPr>
        <w:t xml:space="preserve"> 管棚支护；</w:t>
      </w:r>
    </w:p>
    <w:p>
      <w:pPr>
        <w:pStyle w:val="22"/>
        <w:numPr>
          <w:ilvl w:val="255"/>
          <w:numId w:val="0"/>
        </w:numPr>
        <w:tabs>
          <w:tab w:val="left" w:pos="851"/>
        </w:tabs>
        <w:snapToGrid w:val="0"/>
        <w:spacing w:line="360" w:lineRule="auto"/>
        <w:ind w:firstLine="422" w:firstLineChars="200"/>
        <w:jc w:val="left"/>
        <w:rPr>
          <w:rFonts w:ascii="宋体" w:hAnsi="宋体" w:cs="宋体"/>
          <w:color w:val="000000" w:themeColor="text1"/>
          <w:kern w:val="0"/>
          <w:szCs w:val="21"/>
          <w:lang w:bidi="ar"/>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ascii="宋体" w:hAnsi="宋体" w:cs="宋体"/>
          <w:color w:val="000000" w:themeColor="text1"/>
          <w:kern w:val="0"/>
          <w:szCs w:val="21"/>
          <w:lang w:bidi="ar"/>
          <w14:textFill>
            <w14:solidFill>
              <w14:schemeClr w14:val="tx1"/>
            </w14:solidFill>
          </w14:textFill>
        </w:rPr>
        <w:t xml:space="preserve"> 管幕支护；</w:t>
      </w:r>
    </w:p>
    <w:p>
      <w:pPr>
        <w:pStyle w:val="22"/>
        <w:numPr>
          <w:ilvl w:val="255"/>
          <w:numId w:val="0"/>
        </w:numPr>
        <w:tabs>
          <w:tab w:val="left" w:pos="851"/>
        </w:tabs>
        <w:snapToGrid w:val="0"/>
        <w:spacing w:line="360" w:lineRule="auto"/>
        <w:ind w:firstLine="422" w:firstLineChars="200"/>
        <w:jc w:val="left"/>
        <w:rPr>
          <w:rFonts w:ascii="宋体" w:hAnsi="宋体" w:cs="宋体"/>
          <w:color w:val="000000" w:themeColor="text1"/>
          <w:kern w:val="0"/>
          <w:szCs w:val="21"/>
          <w:lang w:bidi="ar"/>
          <w14:textFill>
            <w14:solidFill>
              <w14:schemeClr w14:val="tx1"/>
            </w14:solidFill>
          </w14:textFill>
        </w:rPr>
      </w:pPr>
      <w:r>
        <w:rPr>
          <w:rFonts w:hint="eastAsia" w:hAnsi="宋体"/>
          <w:b/>
          <w:bCs/>
          <w:color w:val="000000" w:themeColor="text1"/>
          <w:szCs w:val="21"/>
          <w14:textFill>
            <w14:solidFill>
              <w14:schemeClr w14:val="tx1"/>
            </w14:solidFill>
          </w14:textFill>
        </w:rPr>
        <w:t>4</w:t>
      </w:r>
      <w:r>
        <w:rPr>
          <w:rFonts w:hint="eastAsia" w:ascii="宋体" w:hAnsi="宋体" w:cs="宋体"/>
          <w:color w:val="000000" w:themeColor="text1"/>
          <w:kern w:val="0"/>
          <w:szCs w:val="21"/>
          <w:lang w:bidi="ar"/>
          <w14:textFill>
            <w14:solidFill>
              <w14:schemeClr w14:val="tx1"/>
            </w14:solidFill>
          </w14:textFill>
        </w:rPr>
        <w:t xml:space="preserve"> 深孔注浆加固； </w:t>
      </w:r>
    </w:p>
    <w:p>
      <w:pPr>
        <w:pStyle w:val="22"/>
        <w:numPr>
          <w:ilvl w:val="255"/>
          <w:numId w:val="0"/>
        </w:numPr>
        <w:tabs>
          <w:tab w:val="left" w:pos="851"/>
        </w:tabs>
        <w:snapToGrid w:val="0"/>
        <w:spacing w:line="360" w:lineRule="auto"/>
        <w:ind w:firstLine="422" w:firstLineChars="200"/>
        <w:jc w:val="left"/>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5</w:t>
      </w:r>
      <w:r>
        <w:rPr>
          <w:rFonts w:hint="eastAsia" w:ascii="宋体" w:hAnsi="宋体" w:cs="宋体"/>
          <w:color w:val="000000" w:themeColor="text1"/>
          <w:kern w:val="0"/>
          <w:szCs w:val="21"/>
          <w:lang w:bidi="ar"/>
          <w14:textFill>
            <w14:solidFill>
              <w14:schemeClr w14:val="tx1"/>
            </w14:solidFill>
          </w14:textFill>
        </w:rPr>
        <w:t xml:space="preserve"> 旋喷注浆加固。</w:t>
      </w:r>
      <w:r>
        <w:rPr>
          <w:rFonts w:hint="eastAsia" w:hAnsi="宋体"/>
          <w:b/>
          <w:bCs/>
          <w:color w:val="000000" w:themeColor="text1"/>
          <w:szCs w:val="21"/>
          <w14:textFill>
            <w14:solidFill>
              <w14:schemeClr w14:val="tx1"/>
            </w14:solidFill>
          </w14:textFill>
        </w:rPr>
        <w:t xml:space="preserve"> </w:t>
      </w:r>
    </w:p>
    <w:p>
      <w:pPr>
        <w:pStyle w:val="22"/>
        <w:numPr>
          <w:ilvl w:val="255"/>
          <w:numId w:val="0"/>
        </w:numPr>
        <w:tabs>
          <w:tab w:val="left" w:pos="851"/>
        </w:tabs>
        <w:snapToGrid w:val="0"/>
        <w:spacing w:line="360" w:lineRule="auto"/>
        <w:jc w:val="left"/>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7.1.3 </w:t>
      </w:r>
      <w:r>
        <w:rPr>
          <w:rFonts w:hint="eastAsia" w:ascii="宋体" w:hAnsi="宋体" w:cs="宋体"/>
          <w:color w:val="000000" w:themeColor="text1"/>
          <w:kern w:val="0"/>
          <w:szCs w:val="21"/>
          <w:lang w:bidi="ar"/>
          <w14:textFill>
            <w14:solidFill>
              <w14:schemeClr w14:val="tx1"/>
            </w14:solidFill>
          </w14:textFill>
        </w:rPr>
        <w:t>当地质条件、地下水状况与勘察报告不符时，应由设计单位变更超前预支护、地层加固或地下水控制设计。穿越重大风险源采取管幕支护等措施应符合设计要求。</w:t>
      </w:r>
    </w:p>
    <w:p>
      <w:pPr>
        <w:widowControl/>
        <w:spacing w:line="360" w:lineRule="auto"/>
        <w:jc w:val="left"/>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7.1.4 </w:t>
      </w:r>
      <w:r>
        <w:rPr>
          <w:rFonts w:hint="eastAsia" w:ascii="宋体" w:hAnsi="宋体" w:cs="宋体"/>
          <w:color w:val="000000" w:themeColor="text1"/>
          <w:kern w:val="0"/>
          <w:szCs w:val="21"/>
          <w:lang w:bidi="ar"/>
          <w14:textFill>
            <w14:solidFill>
              <w14:schemeClr w14:val="tx1"/>
            </w14:solidFill>
          </w14:textFill>
        </w:rPr>
        <w:t xml:space="preserve">在地层预加固及预支护措施实施前，应先探明地下管线和地下建（构）筑物等的位置；实施过程中，严禁破坏地下管线和地下建（构）筑物。 </w:t>
      </w:r>
    </w:p>
    <w:p>
      <w:pPr>
        <w:widowControl/>
        <w:snapToGrid w:val="0"/>
        <w:spacing w:line="360" w:lineRule="auto"/>
        <w:jc w:val="left"/>
        <w:rPr>
          <w:rFonts w:ascii="宋体" w:hAnsi="宋体" w:cs="宋体"/>
          <w:color w:val="000000" w:themeColor="text1"/>
          <w:kern w:val="0"/>
          <w:szCs w:val="21"/>
          <w:lang w:bidi="ar"/>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7.1.5 </w:t>
      </w:r>
      <w:r>
        <w:rPr>
          <w:rFonts w:hint="eastAsia" w:ascii="宋体" w:hAnsi="宋体" w:cs="宋体"/>
          <w:color w:val="000000" w:themeColor="text1"/>
          <w:kern w:val="0"/>
          <w:szCs w:val="21"/>
          <w:lang w:bidi="ar"/>
          <w14:textFill>
            <w14:solidFill>
              <w14:schemeClr w14:val="tx1"/>
            </w14:solidFill>
          </w14:textFill>
        </w:rPr>
        <w:t>在深孔注浆过程中和管棚施作过程中，应对地面沉降/隆起、地下管线和周边建（构）筑物的变形进行监测与巡查。</w:t>
      </w:r>
    </w:p>
    <w:p>
      <w:pPr>
        <w:pStyle w:val="22"/>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7.1.6 </w:t>
      </w:r>
      <w:r>
        <w:rPr>
          <w:rFonts w:hint="eastAsia" w:hAnsi="宋体"/>
          <w:color w:val="000000" w:themeColor="text1"/>
          <w:szCs w:val="21"/>
          <w14:textFill>
            <w14:solidFill>
              <w14:schemeClr w14:val="tx1"/>
            </w14:solidFill>
          </w14:textFill>
        </w:rPr>
        <w:t>注浆材料不得污染环境，并应符合下列规定：</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 </w:t>
      </w:r>
      <w:r>
        <w:rPr>
          <w:rFonts w:hint="eastAsia" w:hAnsi="宋体" w:cstheme="minorEastAsia"/>
          <w:color w:val="000000" w:themeColor="text1"/>
          <w:sz w:val="21"/>
          <w:szCs w:val="21"/>
          <w14:textFill>
            <w14:solidFill>
              <w14:schemeClr w14:val="tx1"/>
            </w14:solidFill>
          </w14:textFill>
        </w:rPr>
        <w:t>具有良好的可注性；</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2 </w:t>
      </w:r>
      <w:r>
        <w:rPr>
          <w:rFonts w:hint="eastAsia" w:hAnsi="宋体" w:cstheme="minorEastAsia"/>
          <w:color w:val="000000" w:themeColor="text1"/>
          <w:sz w:val="21"/>
          <w:szCs w:val="21"/>
          <w14:textFill>
            <w14:solidFill>
              <w14:schemeClr w14:val="tx1"/>
            </w14:solidFill>
          </w14:textFill>
        </w:rPr>
        <w:t>固结后体积收缩小，具有良好的粘结力和一定强度、抗渗、耐久和稳定性，当地下水有侵蚀作用时，应采用耐侵蚀性的材料；</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3 </w:t>
      </w:r>
      <w:r>
        <w:rPr>
          <w:rFonts w:hint="eastAsia" w:hAnsi="宋体" w:cstheme="minorEastAsia"/>
          <w:color w:val="000000" w:themeColor="text1"/>
          <w:sz w:val="21"/>
          <w:szCs w:val="21"/>
          <w14:textFill>
            <w14:solidFill>
              <w14:schemeClr w14:val="tx1"/>
            </w14:solidFill>
          </w14:textFill>
        </w:rPr>
        <w:t>无毒并对环境污染小；</w:t>
      </w:r>
    </w:p>
    <w:p>
      <w:pPr>
        <w:pStyle w:val="21"/>
        <w:snapToGrid w:val="0"/>
        <w:spacing w:line="360" w:lineRule="auto"/>
        <w:ind w:left="420" w:left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4 </w:t>
      </w:r>
      <w:r>
        <w:rPr>
          <w:rFonts w:hint="eastAsia" w:hAnsi="宋体" w:cstheme="minorEastAsia"/>
          <w:color w:val="000000" w:themeColor="text1"/>
          <w:sz w:val="21"/>
          <w:szCs w:val="21"/>
          <w14:textFill>
            <w14:solidFill>
              <w14:schemeClr w14:val="tx1"/>
            </w14:solidFill>
          </w14:textFill>
        </w:rPr>
        <w:t>注浆工艺简单，操作方便、安全。</w:t>
      </w:r>
    </w:p>
    <w:p>
      <w:pPr>
        <w:pStyle w:val="21"/>
        <w:snapToGrid w:val="0"/>
        <w:spacing w:line="360" w:lineRule="auto"/>
        <w:jc w:val="both"/>
        <w:rPr>
          <w:rFonts w:hAnsi="宋体"/>
          <w:color w:val="000000" w:themeColor="text1"/>
          <w:sz w:val="21"/>
          <w:szCs w:val="21"/>
          <w:lang w:bidi="ar"/>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7.1.7 </w:t>
      </w:r>
      <w:r>
        <w:rPr>
          <w:rFonts w:hint="eastAsia" w:hAnsi="宋体"/>
          <w:color w:val="000000" w:themeColor="text1"/>
          <w:sz w:val="21"/>
          <w:szCs w:val="21"/>
          <w:lang w:bidi="ar"/>
          <w14:textFill>
            <w14:solidFill>
              <w14:schemeClr w14:val="tx1"/>
            </w14:solidFill>
          </w14:textFill>
        </w:rPr>
        <w:t>隧道内进行超前预支护和地层加固前，应按设计要求封闭工作面。</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7.1.8 </w:t>
      </w:r>
      <w:r>
        <w:rPr>
          <w:rFonts w:hint="eastAsia" w:ascii="宋体" w:hAnsi="宋体" w:cs="宋体"/>
          <w:color w:val="000000" w:themeColor="text1"/>
          <w:kern w:val="0"/>
          <w:szCs w:val="21"/>
          <w:lang w:bidi="ar"/>
          <w14:textFill>
            <w14:solidFill>
              <w14:schemeClr w14:val="tx1"/>
            </w14:solidFill>
          </w14:textFill>
        </w:rPr>
        <w:t>超前预支护和地层加固</w:t>
      </w:r>
      <w:r>
        <w:rPr>
          <w:rFonts w:hint="eastAsia" w:ascii="宋体" w:hAnsi="宋体" w:cs="宋体"/>
          <w:color w:val="000000" w:themeColor="text1"/>
          <w14:textFill>
            <w14:solidFill>
              <w14:schemeClr w14:val="tx1"/>
            </w14:solidFill>
          </w14:textFill>
        </w:rPr>
        <w:t>注浆完成后，应按检查加固效果，符合设计要求方可进行开挖。</w:t>
      </w:r>
    </w:p>
    <w:p>
      <w:pPr>
        <w:numPr>
          <w:ilvl w:val="255"/>
          <w:numId w:val="0"/>
        </w:numPr>
        <w:tabs>
          <w:tab w:val="left" w:pos="576"/>
        </w:tabs>
        <w:adjustRightInd w:val="0"/>
        <w:snapToGrid w:val="0"/>
        <w:spacing w:before="312" w:beforeLines="100" w:after="312" w:afterLines="100" w:line="360" w:lineRule="auto"/>
        <w:jc w:val="center"/>
        <w:outlineLvl w:val="1"/>
        <w:rPr>
          <w:rFonts w:hAnsi="宋体"/>
          <w:color w:val="000000" w:themeColor="text1"/>
          <w:szCs w:val="21"/>
          <w14:textFill>
            <w14:solidFill>
              <w14:schemeClr w14:val="tx1"/>
            </w14:solidFill>
          </w14:textFill>
        </w:rPr>
      </w:pPr>
      <w:bookmarkStart w:id="128" w:name="_Toc32450"/>
      <w:bookmarkStart w:id="129" w:name="_Toc8485"/>
      <w:bookmarkStart w:id="130" w:name="_Toc2715"/>
      <w:bookmarkStart w:id="131" w:name="_Toc1789"/>
      <w:bookmarkStart w:id="132" w:name="_Toc16022"/>
      <w:bookmarkStart w:id="133" w:name="_Toc3194"/>
      <w:r>
        <w:rPr>
          <w:rFonts w:hint="eastAsia" w:hAnsi="宋体"/>
          <w:b/>
          <w:color w:val="000000" w:themeColor="text1"/>
          <w:sz w:val="24"/>
          <w14:textFill>
            <w14:solidFill>
              <w14:schemeClr w14:val="tx1"/>
            </w14:solidFill>
          </w14:textFill>
        </w:rPr>
        <w:t>7.2  超前小导管支护</w:t>
      </w:r>
      <w:bookmarkEnd w:id="128"/>
      <w:bookmarkEnd w:id="129"/>
      <w:bookmarkEnd w:id="130"/>
      <w:bookmarkEnd w:id="131"/>
      <w:bookmarkEnd w:id="132"/>
      <w:bookmarkEnd w:id="133"/>
      <w:r>
        <w:rPr>
          <w:rFonts w:hint="eastAsia" w:hAnsi="宋体"/>
          <w:b/>
          <w:bCs/>
          <w:color w:val="000000" w:themeColor="text1"/>
          <w:szCs w:val="21"/>
          <w14:textFill>
            <w14:solidFill>
              <w14:schemeClr w14:val="tx1"/>
            </w14:solidFill>
          </w14:textFill>
        </w:rPr>
        <w:t xml:space="preserve"> </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7.2.1 </w:t>
      </w:r>
      <w:r>
        <w:rPr>
          <w:rFonts w:hint="eastAsia" w:ascii="宋体" w:hAnsi="宋体" w:cs="宋体"/>
          <w:color w:val="000000" w:themeColor="text1"/>
          <w14:textFill>
            <w14:solidFill>
              <w14:schemeClr w14:val="tx1"/>
            </w14:solidFill>
          </w14:textFill>
        </w:rPr>
        <w:t>超前小导管应沿隧道拱部轮廓线外侧打设，根据地层条件可采用单层、双层超前小导管；超前小导管支护的范围、孔深及孔径应符合设计要求。</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7.2.2 </w:t>
      </w:r>
      <w:r>
        <w:rPr>
          <w:rFonts w:hint="eastAsia" w:ascii="宋体" w:hAnsi="宋体" w:cs="宋体"/>
          <w:color w:val="000000" w:themeColor="text1"/>
          <w14:textFill>
            <w14:solidFill>
              <w14:schemeClr w14:val="tx1"/>
            </w14:solidFill>
          </w14:textFill>
        </w:rPr>
        <w:t>超前小导管的成孔应根据地层条件进行选择成孔方法，成孔间距、孔深、孔径和角度应符合设计要求，并应采取防塌孔技术措施。卵砾石地层宜采用钻机成孔，砂层宜采用吹管法成孔。</w:t>
      </w:r>
    </w:p>
    <w:p>
      <w:pPr>
        <w:snapToGrid w:val="0"/>
        <w:spacing w:line="360" w:lineRule="auto"/>
        <w:rPr>
          <w:rFonts w:ascii="宋体" w:hAnsi="宋体"/>
          <w:color w:val="000000" w:themeColor="text1"/>
          <w:sz w:val="24"/>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7.2.3 </w:t>
      </w:r>
      <w:r>
        <w:rPr>
          <w:rFonts w:hint="eastAsia" w:ascii="宋体" w:hAnsi="宋体" w:cs="宋体"/>
          <w:color w:val="000000" w:themeColor="text1"/>
          <w14:textFill>
            <w14:solidFill>
              <w14:schemeClr w14:val="tx1"/>
            </w14:solidFill>
          </w14:textFill>
        </w:rPr>
        <w:t>超前小导管应选用直径为25mm～50mm的钢管或水煤气管；小导管的长度宜为1.5m～3.0m；小导管的长度、直径应符合设计要求。小导管端头应封闭并制成锥状,尾端应设钢筋加强箍,管身应梅花型布设φ6mm～φ8mm的溢浆孔，加工制作见图</w:t>
      </w:r>
      <w:r>
        <w:rPr>
          <w:rFonts w:hint="eastAsia" w:hAnsi="宋体"/>
          <w:b/>
          <w:bCs/>
          <w:color w:val="000000" w:themeColor="text1"/>
          <w:szCs w:val="21"/>
          <w14:textFill>
            <w14:solidFill>
              <w14:schemeClr w14:val="tx1"/>
            </w14:solidFill>
          </w14:textFill>
        </w:rPr>
        <w:t>7.2.3</w:t>
      </w:r>
      <w:r>
        <w:rPr>
          <w:rFonts w:hint="eastAsia" w:ascii="宋体" w:hAnsi="宋体" w:cs="宋体"/>
          <w:color w:val="000000" w:themeColor="text1"/>
          <w14:textFill>
            <w14:solidFill>
              <w14:schemeClr w14:val="tx1"/>
            </w14:solidFill>
          </w14:textFill>
        </w:rPr>
        <w:t>。</w:t>
      </w:r>
    </w:p>
    <w:p>
      <w:pPr>
        <w:spacing w:line="360" w:lineRule="auto"/>
        <w:jc w:val="center"/>
        <w:rPr>
          <w:rFonts w:ascii="宋体" w:hAnsi="宋体"/>
          <w:color w:val="000000" w:themeColor="text1"/>
          <w:sz w:val="24"/>
          <w14:textFill>
            <w14:solidFill>
              <w14:schemeClr w14:val="tx1"/>
            </w14:solidFill>
          </w14:textFill>
        </w:rPr>
      </w:pPr>
      <w:r>
        <w:rPr>
          <w:color w:val="000000" w:themeColor="text1"/>
          <w14:textFill>
            <w14:solidFill>
              <w14:schemeClr w14:val="tx1"/>
            </w14:solidFill>
          </w14:textFill>
        </w:rPr>
        <w:drawing>
          <wp:inline distT="0" distB="0" distL="114300" distR="114300">
            <wp:extent cx="4105910" cy="866775"/>
            <wp:effectExtent l="0" t="0" r="8890" b="9525"/>
            <wp:docPr id="3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0"/>
                    <pic:cNvPicPr>
                      <a:picLocks noChangeAspect="1"/>
                    </pic:cNvPicPr>
                  </pic:nvPicPr>
                  <pic:blipFill>
                    <a:blip r:embed="rId62"/>
                    <a:stretch>
                      <a:fillRect/>
                    </a:stretch>
                  </pic:blipFill>
                  <pic:spPr>
                    <a:xfrm>
                      <a:off x="0" y="0"/>
                      <a:ext cx="4105910" cy="866775"/>
                    </a:xfrm>
                    <a:prstGeom prst="rect">
                      <a:avLst/>
                    </a:prstGeom>
                    <a:noFill/>
                    <a:ln>
                      <a:noFill/>
                    </a:ln>
                  </pic:spPr>
                </pic:pic>
              </a:graphicData>
            </a:graphic>
          </wp:inline>
        </w:drawing>
      </w:r>
    </w:p>
    <w:p>
      <w:pPr>
        <w:pStyle w:val="32"/>
        <w:widowControl w:val="0"/>
        <w:pBdr>
          <w:bottom w:val="none" w:color="auto" w:sz="0" w:space="0"/>
          <w:right w:val="none" w:color="auto" w:sz="0" w:space="0"/>
        </w:pBdr>
        <w:adjustRightInd/>
        <w:snapToGrid/>
        <w:spacing w:before="0" w:beforeAutospacing="0" w:after="0" w:afterAutospacing="0" w:line="360" w:lineRule="auto"/>
        <w:ind w:firstLine="0" w:firstLineChars="0"/>
        <w:textAlignment w:val="auto"/>
        <w:rPr>
          <w:rFonts w:eastAsia="宋体"/>
          <w:bCs/>
          <w:snapToGrid/>
          <w:color w:val="000000" w:themeColor="text1"/>
          <w:kern w:val="2"/>
          <w:sz w:val="21"/>
          <w:szCs w:val="21"/>
          <w14:textFill>
            <w14:solidFill>
              <w14:schemeClr w14:val="tx1"/>
            </w14:solidFill>
          </w14:textFill>
        </w:rPr>
      </w:pPr>
      <w:r>
        <w:rPr>
          <w:rFonts w:hint="eastAsia" w:eastAsia="宋体"/>
          <w:bCs/>
          <w:snapToGrid/>
          <w:color w:val="000000" w:themeColor="text1"/>
          <w:kern w:val="2"/>
          <w:sz w:val="21"/>
          <w:szCs w:val="21"/>
          <w14:textFill>
            <w14:solidFill>
              <w14:schemeClr w14:val="tx1"/>
            </w14:solidFill>
          </w14:textFill>
        </w:rPr>
        <w:t>图</w:t>
      </w:r>
      <w:r>
        <w:rPr>
          <w:rFonts w:hint="eastAsia" w:ascii="Times New Roman" w:eastAsia="宋体"/>
          <w:b/>
          <w:bCs/>
          <w:snapToGrid/>
          <w:color w:val="000000" w:themeColor="text1"/>
          <w:kern w:val="2"/>
          <w:sz w:val="21"/>
          <w:szCs w:val="21"/>
          <w14:textFill>
            <w14:solidFill>
              <w14:schemeClr w14:val="tx1"/>
            </w14:solidFill>
          </w14:textFill>
        </w:rPr>
        <w:t>7.2.3</w:t>
      </w:r>
      <w:r>
        <w:rPr>
          <w:rFonts w:hint="eastAsia" w:ascii="Times New Roman" w:eastAsia="宋体"/>
          <w:bCs/>
          <w:snapToGrid/>
          <w:color w:val="000000" w:themeColor="text1"/>
          <w:kern w:val="2"/>
          <w:sz w:val="21"/>
          <w:szCs w:val="21"/>
          <w14:textFill>
            <w14:solidFill>
              <w14:schemeClr w14:val="tx1"/>
            </w14:solidFill>
          </w14:textFill>
        </w:rPr>
        <w:t xml:space="preserve"> </w:t>
      </w:r>
      <w:r>
        <w:rPr>
          <w:rFonts w:hint="eastAsia" w:eastAsia="宋体"/>
          <w:bCs/>
          <w:snapToGrid/>
          <w:color w:val="000000" w:themeColor="text1"/>
          <w:kern w:val="2"/>
          <w:sz w:val="21"/>
          <w:szCs w:val="21"/>
          <w14:textFill>
            <w14:solidFill>
              <w14:schemeClr w14:val="tx1"/>
            </w14:solidFill>
          </w14:textFill>
        </w:rPr>
        <w:t xml:space="preserve"> 小导管构造和形状图</w:t>
      </w:r>
    </w:p>
    <w:p>
      <w:pPr>
        <w:snapToGrid w:val="0"/>
        <w:spacing w:line="360" w:lineRule="auto"/>
        <w:rPr>
          <w:rFonts w:ascii="宋体" w:hAnsi="宋体" w:cs="宋体"/>
          <w:color w:val="000000" w:themeColor="text1"/>
          <w14:textFill>
            <w14:solidFill>
              <w14:schemeClr w14:val="tx1"/>
            </w14:solidFill>
          </w14:textFill>
        </w:rPr>
      </w:pPr>
    </w:p>
    <w:p>
      <w:pPr>
        <w:pStyle w:val="32"/>
        <w:widowControl w:val="0"/>
        <w:pBdr>
          <w:bottom w:val="none" w:color="auto" w:sz="0" w:space="0"/>
          <w:right w:val="none" w:color="auto" w:sz="0" w:space="0"/>
        </w:pBdr>
        <w:adjustRightInd/>
        <w:snapToGrid/>
        <w:spacing w:before="0" w:beforeAutospacing="0" w:after="0" w:afterAutospacing="0" w:line="360" w:lineRule="auto"/>
        <w:ind w:firstLine="0" w:firstLineChars="0"/>
        <w:jc w:val="both"/>
        <w:textAlignment w:val="auto"/>
        <w:rPr>
          <w:rFonts w:eastAsia="宋体" w:cs="宋体"/>
          <w:snapToGrid/>
          <w:color w:val="000000" w:themeColor="text1"/>
          <w:kern w:val="2"/>
          <w:sz w:val="21"/>
          <w14:textFill>
            <w14:solidFill>
              <w14:schemeClr w14:val="tx1"/>
            </w14:solidFill>
          </w14:textFill>
        </w:rPr>
      </w:pPr>
      <w:r>
        <w:rPr>
          <w:rFonts w:hint="eastAsia" w:ascii="Times New Roman" w:eastAsia="宋体"/>
          <w:b/>
          <w:bCs/>
          <w:color w:val="000000" w:themeColor="text1"/>
          <w:kern w:val="2"/>
          <w:sz w:val="21"/>
          <w:szCs w:val="21"/>
          <w14:textFill>
            <w14:solidFill>
              <w14:schemeClr w14:val="tx1"/>
            </w14:solidFill>
          </w14:textFill>
        </w:rPr>
        <w:t xml:space="preserve">7.2.4 </w:t>
      </w:r>
      <w:r>
        <w:rPr>
          <w:rFonts w:hint="eastAsia" w:eastAsia="宋体" w:cs="宋体"/>
          <w:snapToGrid/>
          <w:color w:val="000000" w:themeColor="text1"/>
          <w:kern w:val="2"/>
          <w:sz w:val="21"/>
          <w14:textFill>
            <w14:solidFill>
              <w14:schemeClr w14:val="tx1"/>
            </w14:solidFill>
          </w14:textFill>
        </w:rPr>
        <w:t>成孔后应及时安装超前小导管。超前小导管应从格栅钢架腹部穿过，端部应与格栅钢架焊接牢固，前、后排小导管的搭接长度不应小于1.0m，环向间距、角度应符合设计要求。</w:t>
      </w:r>
    </w:p>
    <w:p>
      <w:pPr>
        <w:pStyle w:val="22"/>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7.2.5 </w:t>
      </w:r>
      <w:r>
        <w:rPr>
          <w:rFonts w:hint="eastAsia" w:hAnsi="宋体"/>
          <w:color w:val="000000" w:themeColor="text1"/>
          <w:szCs w:val="21"/>
          <w14:textFill>
            <w14:solidFill>
              <w14:schemeClr w14:val="tx1"/>
            </w14:solidFill>
          </w14:textFill>
        </w:rPr>
        <w:t>超前小导管应根据地质条件合理选择注浆材料，</w:t>
      </w:r>
      <w:r>
        <w:rPr>
          <w:rFonts w:hint="eastAsia" w:ascii="宋体" w:hAnsi="宋体" w:cs="宋体"/>
          <w:color w:val="000000" w:themeColor="text1"/>
          <w14:textFill>
            <w14:solidFill>
              <w14:schemeClr w14:val="tx1"/>
            </w14:solidFill>
          </w14:textFill>
        </w:rPr>
        <w:t>浆液配合比、注浆压力和注浆设备应经现场试验确定，并应</w:t>
      </w:r>
      <w:r>
        <w:rPr>
          <w:rFonts w:hint="eastAsia" w:hAnsi="宋体"/>
          <w:color w:val="000000" w:themeColor="text1"/>
          <w:szCs w:val="21"/>
          <w14:textFill>
            <w14:solidFill>
              <w14:schemeClr w14:val="tx1"/>
            </w14:solidFill>
          </w14:textFill>
        </w:rPr>
        <w:t>符合下列规定：</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 </w:t>
      </w:r>
      <w:r>
        <w:rPr>
          <w:rFonts w:hint="eastAsia" w:hAnsi="宋体" w:cstheme="minorEastAsia"/>
          <w:color w:val="000000" w:themeColor="text1"/>
          <w:sz w:val="21"/>
          <w:szCs w:val="21"/>
          <w14:textFill>
            <w14:solidFill>
              <w14:schemeClr w14:val="tx1"/>
            </w14:solidFill>
          </w14:textFill>
        </w:rPr>
        <w:t>无水粗砂及砂砾（卵）石地层宜选择单液水泥浆；</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2 </w:t>
      </w:r>
      <w:r>
        <w:rPr>
          <w:rFonts w:hint="eastAsia" w:hAnsi="宋体" w:cstheme="minorEastAsia"/>
          <w:color w:val="000000" w:themeColor="text1"/>
          <w:sz w:val="21"/>
          <w:szCs w:val="21"/>
          <w14:textFill>
            <w14:solidFill>
              <w14:schemeClr w14:val="tx1"/>
            </w14:solidFill>
          </w14:textFill>
        </w:rPr>
        <w:t>无水的中砂及粉细砂地层宜选择改性水玻璃浆液；</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3 </w:t>
      </w:r>
      <w:r>
        <w:rPr>
          <w:rFonts w:hint="eastAsia" w:hAnsi="宋体" w:cstheme="minorEastAsia"/>
          <w:color w:val="000000" w:themeColor="text1"/>
          <w:sz w:val="21"/>
          <w:szCs w:val="21"/>
          <w14:textFill>
            <w14:solidFill>
              <w14:schemeClr w14:val="tx1"/>
            </w14:solidFill>
          </w14:textFill>
        </w:rPr>
        <w:t>有水的粗砂及砾石地层，宜选择水泥+水玻璃双液浆；</w:t>
      </w:r>
    </w:p>
    <w:p>
      <w:pPr>
        <w:pStyle w:val="21"/>
        <w:snapToGrid w:val="0"/>
        <w:spacing w:line="360" w:lineRule="auto"/>
        <w:ind w:firstLine="361" w:firstLineChars="171"/>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4 </w:t>
      </w:r>
      <w:r>
        <w:rPr>
          <w:rFonts w:hint="eastAsia" w:hAnsi="宋体" w:cstheme="minorEastAsia"/>
          <w:color w:val="000000" w:themeColor="text1"/>
          <w:sz w:val="21"/>
          <w:szCs w:val="21"/>
          <w14:textFill>
            <w14:solidFill>
              <w14:schemeClr w14:val="tx1"/>
            </w14:solidFill>
          </w14:textFill>
        </w:rPr>
        <w:t>粘土和粉细砂地层、需要止水地层，宜选用超细水泥浆液；</w:t>
      </w:r>
    </w:p>
    <w:p>
      <w:pPr>
        <w:pStyle w:val="21"/>
        <w:snapToGrid w:val="0"/>
        <w:spacing w:line="360" w:lineRule="auto"/>
        <w:ind w:firstLine="361" w:firstLineChars="171"/>
        <w:rPr>
          <w:rFonts w:hAnsi="宋体"/>
          <w:color w:val="000000" w:themeColor="text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5 </w:t>
      </w:r>
      <w:r>
        <w:rPr>
          <w:rFonts w:hint="eastAsia" w:hAnsi="宋体" w:cstheme="minorEastAsia"/>
          <w:color w:val="000000" w:themeColor="text1"/>
          <w:sz w:val="21"/>
          <w:szCs w:val="21"/>
          <w14:textFill>
            <w14:solidFill>
              <w14:schemeClr w14:val="tx1"/>
            </w14:solidFill>
          </w14:textFill>
        </w:rPr>
        <w:t>强度要求高的地层，可选择硫铝酸盐水泥类（TGRM、HSC）浆液。</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7.2.6 </w:t>
      </w:r>
      <w:r>
        <w:rPr>
          <w:rFonts w:hint="eastAsia" w:ascii="宋体" w:hAnsi="宋体" w:cs="宋体"/>
          <w:color w:val="000000" w:themeColor="text1"/>
          <w14:textFill>
            <w14:solidFill>
              <w14:schemeClr w14:val="tx1"/>
            </w14:solidFill>
          </w14:textFill>
        </w:rPr>
        <w:t>浆液的原材料应符合下列规定：</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宋体"/>
          <w:color w:val="000000" w:themeColor="text1"/>
          <w14:textFill>
            <w14:solidFill>
              <w14:schemeClr w14:val="tx1"/>
            </w14:solidFill>
          </w14:textFill>
        </w:rPr>
        <w:t>水泥：强度等级不低于42.5的普通硅酸盐水泥；</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宋体"/>
          <w:color w:val="000000" w:themeColor="text1"/>
          <w14:textFill>
            <w14:solidFill>
              <w14:schemeClr w14:val="tx1"/>
            </w14:solidFill>
          </w14:textFill>
        </w:rPr>
        <w:t>水玻璃：模数2.4～3.4，浓度30Be′～40Be′；</w:t>
      </w:r>
    </w:p>
    <w:p>
      <w:pPr>
        <w:pStyle w:val="21"/>
        <w:snapToGrid w:val="0"/>
        <w:spacing w:line="360" w:lineRule="auto"/>
        <w:ind w:firstLine="422" w:firstLineChars="200"/>
        <w:rPr>
          <w:rFonts w:hAnsi="宋体"/>
          <w:color w:val="000000" w:themeColor="text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3 </w:t>
      </w:r>
      <w:r>
        <w:rPr>
          <w:rFonts w:hint="eastAsia" w:hAnsi="宋体"/>
          <w:color w:val="000000" w:themeColor="text1"/>
          <w:kern w:val="2"/>
          <w:sz w:val="21"/>
          <w14:textFill>
            <w14:solidFill>
              <w14:schemeClr w14:val="tx1"/>
            </w14:solidFill>
          </w14:textFill>
        </w:rPr>
        <w:t>改性剂：宜采用浓度98%以上浓硫酸或磷酸。</w:t>
      </w:r>
    </w:p>
    <w:p>
      <w:pPr>
        <w:pStyle w:val="22"/>
        <w:numPr>
          <w:ilvl w:val="255"/>
          <w:numId w:val="0"/>
        </w:numPr>
        <w:tabs>
          <w:tab w:val="left" w:pos="851"/>
        </w:tabs>
        <w:snapToGrid w:val="0"/>
        <w:spacing w:line="360" w:lineRule="auto"/>
        <w:jc w:val="left"/>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7.2.7 </w:t>
      </w:r>
      <w:r>
        <w:rPr>
          <w:rFonts w:hint="eastAsia" w:ascii="宋体" w:hAnsi="宋体" w:cs="宋体"/>
          <w:color w:val="000000" w:themeColor="text1"/>
          <w14:textFill>
            <w14:solidFill>
              <w14:schemeClr w14:val="tx1"/>
            </w14:solidFill>
          </w14:textFill>
        </w:rPr>
        <w:t>改性水玻璃浆液配制应符合下列规定：</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1</w:t>
      </w:r>
      <w:r>
        <w:rPr>
          <w:rFonts w:hint="eastAsia" w:ascii="宋体" w:hAnsi="宋体" w:cs="宋体"/>
          <w:color w:val="000000" w:themeColor="text1"/>
          <w14:textFill>
            <w14:solidFill>
              <w14:schemeClr w14:val="tx1"/>
            </w14:solidFill>
          </w14:textFill>
        </w:rPr>
        <w:t xml:space="preserve"> 采用磷酸与水玻璃配制成改性水玻璃溶液时，磷酸的PH值宜控制在2.4～4.0；</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宋体"/>
          <w:color w:val="000000" w:themeColor="text1"/>
          <w14:textFill>
            <w14:solidFill>
              <w14:schemeClr w14:val="tx1"/>
            </w14:solidFill>
          </w14:textFill>
        </w:rPr>
        <w:t>改性水玻璃浆液应根据现场地质条件和凝结时间要求配制，可掺加速凝剂、缓凝剂调节凝结时间，初凝时间宜控制在30min左右。</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7.2.8 </w:t>
      </w:r>
      <w:r>
        <w:rPr>
          <w:rFonts w:hint="eastAsia" w:ascii="宋体" w:hAnsi="宋体" w:cs="宋体"/>
          <w:color w:val="000000" w:themeColor="text1"/>
          <w14:textFill>
            <w14:solidFill>
              <w14:schemeClr w14:val="tx1"/>
            </w14:solidFill>
          </w14:textFill>
        </w:rPr>
        <w:t>水泥-水玻璃双液浆的配合比应符合下列规定：</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宋体"/>
          <w:color w:val="000000" w:themeColor="text1"/>
          <w14:textFill>
            <w14:solidFill>
              <w14:schemeClr w14:val="tx1"/>
            </w14:solidFill>
          </w14:textFill>
        </w:rPr>
        <w:t>水泥浆水灰比宜为1：1～1.5：1；</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宋体"/>
          <w:color w:val="000000" w:themeColor="text1"/>
          <w14:textFill>
            <w14:solidFill>
              <w14:schemeClr w14:val="tx1"/>
            </w14:solidFill>
          </w14:textFill>
        </w:rPr>
        <w:t>水泥浆与改性水玻璃浆液体积比宜为1：1～1：0.5。</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7.2.9 </w:t>
      </w:r>
      <w:r>
        <w:rPr>
          <w:rFonts w:hint="eastAsia" w:ascii="宋体" w:hAnsi="宋体" w:cs="宋体"/>
          <w:color w:val="000000" w:themeColor="text1"/>
          <w14:textFill>
            <w14:solidFill>
              <w14:schemeClr w14:val="tx1"/>
            </w14:solidFill>
          </w14:textFill>
        </w:rPr>
        <w:t>超前小导管注浆施工应符合下列规定：</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宋体"/>
          <w:color w:val="000000" w:themeColor="text1"/>
          <w14:textFill>
            <w14:solidFill>
              <w14:schemeClr w14:val="tx1"/>
            </w14:solidFill>
          </w14:textFill>
        </w:rPr>
        <w:t>注浆顺序：应由下而上、由内而外、间隔对称进行；相邻孔位应错开、交叉进行；</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宋体"/>
          <w:color w:val="000000" w:themeColor="text1"/>
          <w14:textFill>
            <w14:solidFill>
              <w14:schemeClr w14:val="tx1"/>
            </w14:solidFill>
          </w14:textFill>
        </w:rPr>
        <w:t>注浆压力：应根据地质条件、注浆目的合理确定，宜为0.1MPa～0.4MPa，注浆终压不宜大于0.5MPa，稳压时间不小于2min；</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宋体"/>
          <w:color w:val="000000" w:themeColor="text1"/>
          <w14:textFill>
            <w14:solidFill>
              <w14:schemeClr w14:val="tx1"/>
            </w14:solidFill>
          </w14:textFill>
        </w:rPr>
        <w:t>注浆速度不应大于30L/min；</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ascii="宋体" w:hAnsi="宋体" w:cs="宋体"/>
          <w:color w:val="000000" w:themeColor="text1"/>
          <w14:textFill>
            <w14:solidFill>
              <w14:schemeClr w14:val="tx1"/>
            </w14:solidFill>
          </w14:textFill>
        </w:rPr>
        <w:t>应采取措施防止浆液溢出地面或超出有效注浆范围。</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7.2.10 </w:t>
      </w:r>
      <w:r>
        <w:rPr>
          <w:rFonts w:hint="eastAsia" w:ascii="宋体" w:hAnsi="宋体" w:cs="宋体"/>
          <w:color w:val="000000" w:themeColor="text1"/>
          <w14:textFill>
            <w14:solidFill>
              <w14:schemeClr w14:val="tx1"/>
            </w14:solidFill>
          </w14:textFill>
        </w:rPr>
        <w:t>单根小导管注浆量可按下式进行计算。</w:t>
      </w:r>
    </w:p>
    <w:p>
      <w:pPr>
        <w:snapToGrid w:val="0"/>
        <w:spacing w:line="360" w:lineRule="auto"/>
        <w:ind w:firstLine="420"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 xml:space="preserve">        </w:t>
      </w:r>
      <w:r>
        <w:rPr>
          <w:rFonts w:hint="eastAsia" w:ascii="宋体" w:hAnsi="宋体" w:cs="宋体"/>
          <w:color w:val="000000" w:themeColor="text1"/>
          <w:position w:val="-12"/>
          <w14:textFill>
            <w14:solidFill>
              <w14:schemeClr w14:val="tx1"/>
            </w14:solidFill>
          </w14:textFill>
        </w:rPr>
        <w:object>
          <v:shape id="_x0000_i1052" o:spt="75" type="#_x0000_t75" style="height:18.9pt;width:73.2pt;" o:ole="t" filled="f" o:preferrelative="t" stroked="f" coordsize="21600,21600">
            <v:path/>
            <v:fill on="f" focussize="0,0"/>
            <v:stroke on="f" joinstyle="miter"/>
            <v:imagedata r:id="rId64" o:title=""/>
            <o:lock v:ext="edit" aspectratio="t"/>
            <w10:wrap type="none"/>
            <w10:anchorlock/>
          </v:shape>
          <o:OLEObject Type="Embed" ProgID="Equation.KSEE3" ShapeID="_x0000_i1052" DrawAspect="Content" ObjectID="_1468075752" r:id="rId63">
            <o:LockedField>false</o:LockedField>
          </o:OLEObject>
        </w:object>
      </w:r>
      <w:r>
        <w:rPr>
          <w:rFonts w:hint="eastAsia" w:ascii="宋体" w:hAnsi="宋体" w:cs="宋体"/>
          <w:color w:val="000000" w:themeColor="text1"/>
          <w14:textFill>
            <w14:solidFill>
              <w14:schemeClr w14:val="tx1"/>
            </w14:solidFill>
          </w14:textFill>
        </w:rPr>
        <w:t xml:space="preserve">                       (</w:t>
      </w:r>
      <w:r>
        <w:rPr>
          <w:rFonts w:hint="eastAsia" w:hAnsi="宋体"/>
          <w:b/>
          <w:bCs/>
          <w:color w:val="000000" w:themeColor="text1"/>
          <w:szCs w:val="21"/>
          <w14:textFill>
            <w14:solidFill>
              <w14:schemeClr w14:val="tx1"/>
            </w14:solidFill>
          </w14:textFill>
        </w:rPr>
        <w:t>7.2.10</w:t>
      </w:r>
      <w:r>
        <w:rPr>
          <w:rFonts w:hint="eastAsia" w:ascii="宋体" w:hAnsi="宋体" w:cs="宋体"/>
          <w:color w:val="000000" w:themeColor="text1"/>
          <w14:textFill>
            <w14:solidFill>
              <w14:schemeClr w14:val="tx1"/>
            </w14:solidFill>
          </w14:textFill>
        </w:rPr>
        <w:t xml:space="preserve">)     </w:t>
      </w:r>
    </w:p>
    <w:p>
      <w:pPr>
        <w:snapToGrid w:val="0"/>
        <w:spacing w:line="360" w:lineRule="auto"/>
        <w:ind w:firstLine="420"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 xml:space="preserve">式中  </w:t>
      </w:r>
      <w:r>
        <w:rPr>
          <w:rFonts w:hint="eastAsia" w:ascii="宋体" w:hAnsi="宋体" w:cs="宋体"/>
          <w:color w:val="000000" w:themeColor="text1"/>
          <w:position w:val="-12"/>
          <w14:textFill>
            <w14:solidFill>
              <w14:schemeClr w14:val="tx1"/>
            </w14:solidFill>
          </w14:textFill>
        </w:rPr>
        <w:object>
          <v:shape id="_x0000_i1053" o:spt="75" type="#_x0000_t75" style="height:18.1pt;width:13.75pt;" o:ole="t" filled="f" o:preferrelative="t" stroked="f" coordsize="21600,21600">
            <v:path/>
            <v:fill on="f" focussize="0,0"/>
            <v:stroke on="f" joinstyle="miter"/>
            <v:imagedata r:id="rId66" o:title=""/>
            <o:lock v:ext="edit" aspectratio="t"/>
            <w10:wrap type="none"/>
            <w10:anchorlock/>
          </v:shape>
          <o:OLEObject Type="Embed" ProgID="Equation.KSEE3" ShapeID="_x0000_i1053" DrawAspect="Content" ObjectID="_1468075753" r:id="rId65">
            <o:LockedField>false</o:LockedField>
          </o:OLEObject>
        </w:object>
      </w:r>
      <w:r>
        <w:rPr>
          <w:rFonts w:hint="eastAsia" w:ascii="宋体" w:hAnsi="宋体" w:cs="宋体"/>
          <w:color w:val="000000" w:themeColor="text1"/>
          <w14:textFill>
            <w14:solidFill>
              <w14:schemeClr w14:val="tx1"/>
            </w14:solidFill>
          </w14:textFill>
        </w:rPr>
        <w:t>—单根小导管注浆量；</w:t>
      </w:r>
    </w:p>
    <w:p>
      <w:pPr>
        <w:snapToGrid w:val="0"/>
        <w:spacing w:line="360" w:lineRule="auto"/>
        <w:ind w:firstLine="1050" w:firstLineChars="500"/>
        <w:rPr>
          <w:rFonts w:ascii="宋体" w:hAnsi="宋体" w:cs="宋体"/>
          <w:color w:val="000000" w:themeColor="text1"/>
          <w14:textFill>
            <w14:solidFill>
              <w14:schemeClr w14:val="tx1"/>
            </w14:solidFill>
          </w14:textFill>
        </w:rPr>
      </w:pPr>
      <w:r>
        <w:rPr>
          <w:rFonts w:hint="eastAsia" w:ascii="宋体" w:hAnsi="宋体" w:cs="宋体"/>
          <w:color w:val="000000" w:themeColor="text1"/>
          <w:position w:val="-4"/>
          <w14:textFill>
            <w14:solidFill>
              <w14:schemeClr w14:val="tx1"/>
            </w14:solidFill>
          </w14:textFill>
        </w:rPr>
        <w:object>
          <v:shape id="_x0000_i1054" o:spt="75" type="#_x0000_t75" style="height:13pt;width:12.2pt;" o:ole="t" filled="f" o:preferrelative="t" stroked="f" coordsize="21600,21600">
            <v:path/>
            <v:fill on="f" focussize="0,0"/>
            <v:stroke on="f" joinstyle="miter"/>
            <v:imagedata r:id="rId68" o:title=""/>
            <o:lock v:ext="edit" aspectratio="t"/>
            <w10:wrap type="none"/>
            <w10:anchorlock/>
          </v:shape>
          <o:OLEObject Type="Embed" ProgID="Equation.KSEE3" ShapeID="_x0000_i1054" DrawAspect="Content" ObjectID="_1468075754" r:id="rId67">
            <o:LockedField>false</o:LockedField>
          </o:OLEObject>
        </w:object>
      </w:r>
      <w:r>
        <w:rPr>
          <w:rFonts w:hint="eastAsia" w:ascii="宋体" w:hAnsi="宋体" w:cs="宋体"/>
          <w:color w:val="000000" w:themeColor="text1"/>
          <w14:textFill>
            <w14:solidFill>
              <w14:schemeClr w14:val="tx1"/>
            </w14:solidFill>
          </w14:textFill>
        </w:rPr>
        <w:t>—浆液扩散半径；根据现场试验和导管间距确定，</w:t>
      </w:r>
      <w:r>
        <w:rPr>
          <w:rFonts w:hint="eastAsia" w:ascii="宋体" w:hAnsi="宋体" w:cs="宋体"/>
          <w:color w:val="000000" w:themeColor="text1"/>
          <w:position w:val="-12"/>
          <w14:textFill>
            <w14:solidFill>
              <w14:schemeClr w14:val="tx1"/>
            </w14:solidFill>
          </w14:textFill>
        </w:rPr>
        <w:object>
          <v:shape id="_x0000_i1055" o:spt="75" type="#_x0000_t75" style="height:18.1pt;width:83pt;" o:ole="t" filled="f" o:preferrelative="t" stroked="f" coordsize="21600,21600">
            <v:path/>
            <v:fill on="f" focussize="0,0"/>
            <v:stroke on="f" joinstyle="miter"/>
            <v:imagedata r:id="rId70" o:title=""/>
            <o:lock v:ext="edit" aspectratio="t"/>
            <w10:wrap type="none"/>
            <w10:anchorlock/>
          </v:shape>
          <o:OLEObject Type="Embed" ProgID="Equation.KSEE3" ShapeID="_x0000_i1055" DrawAspect="Content" ObjectID="_1468075755" r:id="rId69">
            <o:LockedField>false</o:LockedField>
          </o:OLEObject>
        </w:object>
      </w:r>
      <w:r>
        <w:rPr>
          <w:rFonts w:hint="eastAsia" w:ascii="宋体" w:hAnsi="宋体" w:cs="宋体"/>
          <w:color w:val="000000" w:themeColor="text1"/>
          <w14:textFill>
            <w14:solidFill>
              <w14:schemeClr w14:val="tx1"/>
            </w14:solidFill>
          </w14:textFill>
        </w:rPr>
        <w:t>，</w:t>
      </w:r>
      <w:r>
        <w:rPr>
          <w:rFonts w:hint="eastAsia" w:ascii="宋体" w:hAnsi="宋体" w:cs="宋体"/>
          <w:color w:val="000000" w:themeColor="text1"/>
          <w:position w:val="-12"/>
          <w14:textFill>
            <w14:solidFill>
              <w14:schemeClr w14:val="tx1"/>
            </w14:solidFill>
          </w14:textFill>
        </w:rPr>
        <w:object>
          <v:shape id="_x0000_i1056" o:spt="75" type="#_x0000_t75" style="height:18.1pt;width:13.75pt;" o:ole="t" filled="f" o:preferrelative="t" stroked="f" coordsize="21600,21600">
            <v:path/>
            <v:fill on="f" focussize="0,0"/>
            <v:stroke on="f" joinstyle="miter"/>
            <v:imagedata r:id="rId72" o:title=""/>
            <o:lock v:ext="edit" aspectratio="t"/>
            <w10:wrap type="none"/>
            <w10:anchorlock/>
          </v:shape>
          <o:OLEObject Type="Embed" ProgID="Equation.KSEE3" ShapeID="_x0000_i1056" DrawAspect="Content" ObjectID="_1468075756" r:id="rId71">
            <o:LockedField>false</o:LockedField>
          </o:OLEObject>
        </w:object>
      </w:r>
      <w:r>
        <w:rPr>
          <w:rFonts w:hint="eastAsia" w:ascii="宋体" w:hAnsi="宋体" w:cs="宋体"/>
          <w:color w:val="000000" w:themeColor="text1"/>
          <w14:textFill>
            <w14:solidFill>
              <w14:schemeClr w14:val="tx1"/>
            </w14:solidFill>
          </w14:textFill>
        </w:rPr>
        <w:t>为导管中心间距；</w:t>
      </w:r>
    </w:p>
    <w:p>
      <w:pPr>
        <w:snapToGrid w:val="0"/>
        <w:spacing w:line="360" w:lineRule="auto"/>
        <w:ind w:firstLine="1050" w:firstLineChars="500"/>
        <w:rPr>
          <w:rFonts w:ascii="宋体" w:hAnsi="宋体" w:cs="宋体"/>
          <w:color w:val="000000" w:themeColor="text1"/>
          <w14:textFill>
            <w14:solidFill>
              <w14:schemeClr w14:val="tx1"/>
            </w14:solidFill>
          </w14:textFill>
        </w:rPr>
      </w:pPr>
      <w:r>
        <w:rPr>
          <w:rFonts w:hint="eastAsia" w:ascii="宋体" w:hAnsi="宋体" w:cs="宋体"/>
          <w:color w:val="000000" w:themeColor="text1"/>
          <w:position w:val="-4"/>
          <w14:textFill>
            <w14:solidFill>
              <w14:schemeClr w14:val="tx1"/>
            </w14:solidFill>
          </w14:textFill>
        </w:rPr>
        <w:object>
          <v:shape id="_x0000_i1057" o:spt="75" type="#_x0000_t75" style="height:13pt;width:11pt;" o:ole="t" filled="f" o:preferrelative="t" stroked="f" coordsize="21600,21600">
            <v:path/>
            <v:fill on="f" focussize="0,0"/>
            <v:stroke on="f" joinstyle="miter"/>
            <v:imagedata r:id="rId74" o:title=""/>
            <o:lock v:ext="edit" aspectratio="t"/>
            <w10:wrap type="none"/>
            <w10:anchorlock/>
          </v:shape>
          <o:OLEObject Type="Embed" ProgID="Equation.KSEE3" ShapeID="_x0000_i1057" DrawAspect="Content" ObjectID="_1468075757" r:id="rId73">
            <o:LockedField>false</o:LockedField>
          </o:OLEObject>
        </w:object>
      </w:r>
      <w:r>
        <w:rPr>
          <w:rFonts w:hint="eastAsia" w:ascii="宋体" w:hAnsi="宋体" w:cs="宋体"/>
          <w:color w:val="000000" w:themeColor="text1"/>
          <w14:textFill>
            <w14:solidFill>
              <w14:schemeClr w14:val="tx1"/>
            </w14:solidFill>
          </w14:textFill>
        </w:rPr>
        <w:t>—小导管长度；</w:t>
      </w:r>
    </w:p>
    <w:p>
      <w:pPr>
        <w:snapToGrid w:val="0"/>
        <w:spacing w:line="360" w:lineRule="auto"/>
        <w:ind w:firstLine="1050" w:firstLineChars="500"/>
        <w:rPr>
          <w:rFonts w:ascii="宋体" w:hAnsi="宋体" w:cs="宋体"/>
          <w:color w:val="000000" w:themeColor="text1"/>
          <w14:textFill>
            <w14:solidFill>
              <w14:schemeClr w14:val="tx1"/>
            </w14:solidFill>
          </w14:textFill>
        </w:rPr>
      </w:pPr>
      <w:r>
        <w:rPr>
          <w:rFonts w:hint="eastAsia" w:ascii="宋体" w:hAnsi="宋体" w:cs="宋体"/>
          <w:color w:val="000000" w:themeColor="text1"/>
          <w:position w:val="-6"/>
          <w14:textFill>
            <w14:solidFill>
              <w14:schemeClr w14:val="tx1"/>
            </w14:solidFill>
          </w14:textFill>
        </w:rPr>
        <w:object>
          <v:shape id="_x0000_i1058" o:spt="75" type="#_x0000_t75" style="height:11pt;width:9.85pt;" o:ole="t" filled="f" o:preferrelative="t" stroked="f" coordsize="21600,21600">
            <v:path/>
            <v:fill on="f" focussize="0,0"/>
            <v:stroke on="f" joinstyle="miter"/>
            <v:imagedata r:id="rId76" o:title=""/>
            <o:lock v:ext="edit" aspectratio="t"/>
            <w10:wrap type="none"/>
            <w10:anchorlock/>
          </v:shape>
          <o:OLEObject Type="Embed" ProgID="Equation.KSEE3" ShapeID="_x0000_i1058" DrawAspect="Content" ObjectID="_1468075758" r:id="rId75">
            <o:LockedField>false</o:LockedField>
          </o:OLEObject>
        </w:object>
      </w:r>
      <w:r>
        <w:rPr>
          <w:rFonts w:hint="eastAsia" w:ascii="宋体" w:hAnsi="宋体" w:cs="宋体"/>
          <w:color w:val="000000" w:themeColor="text1"/>
          <w14:textFill>
            <w14:solidFill>
              <w14:schemeClr w14:val="tx1"/>
            </w14:solidFill>
          </w14:textFill>
        </w:rPr>
        <w:t>—地层孔隙率；</w:t>
      </w:r>
    </w:p>
    <w:p>
      <w:pPr>
        <w:snapToGrid w:val="0"/>
        <w:spacing w:line="360" w:lineRule="auto"/>
        <w:ind w:firstLine="1050" w:firstLineChars="500"/>
        <w:rPr>
          <w:rFonts w:ascii="宋体" w:hAnsi="宋体" w:cs="宋体"/>
          <w:color w:val="000000" w:themeColor="text1"/>
          <w14:textFill>
            <w14:solidFill>
              <w14:schemeClr w14:val="tx1"/>
            </w14:solidFill>
          </w14:textFill>
        </w:rPr>
      </w:pPr>
      <w:r>
        <w:rPr>
          <w:rFonts w:hint="eastAsia" w:ascii="宋体" w:hAnsi="宋体" w:cs="宋体"/>
          <w:color w:val="000000" w:themeColor="text1"/>
          <w:position w:val="-6"/>
          <w14:textFill>
            <w14:solidFill>
              <w14:schemeClr w14:val="tx1"/>
            </w14:solidFill>
          </w14:textFill>
        </w:rPr>
        <w:object>
          <v:shape id="_x0000_i1059" o:spt="75" type="#_x0000_t75" style="height:11pt;width:12.2pt;" o:ole="t" filled="f" o:preferrelative="t" stroked="f" coordsize="21600,21600">
            <v:path/>
            <v:fill on="f" focussize="0,0"/>
            <v:stroke on="f" joinstyle="miter"/>
            <v:imagedata r:id="rId78" o:title=""/>
            <o:lock v:ext="edit" aspectratio="t"/>
            <w10:wrap type="none"/>
            <w10:anchorlock/>
          </v:shape>
          <o:OLEObject Type="Embed" ProgID="Equation.KSEE3" ShapeID="_x0000_i1059" DrawAspect="Content" ObjectID="_1468075759" r:id="rId77">
            <o:LockedField>false</o:LockedField>
          </o:OLEObject>
        </w:object>
      </w:r>
      <w:r>
        <w:rPr>
          <w:rFonts w:hint="eastAsia" w:ascii="宋体" w:hAnsi="宋体" w:cs="宋体"/>
          <w:color w:val="000000" w:themeColor="text1"/>
          <w14:textFill>
            <w14:solidFill>
              <w14:schemeClr w14:val="tx1"/>
            </w14:solidFill>
          </w14:textFill>
        </w:rPr>
        <w:t>—地层填充系数；</w:t>
      </w:r>
    </w:p>
    <w:p>
      <w:pPr>
        <w:snapToGrid w:val="0"/>
        <w:spacing w:line="360" w:lineRule="auto"/>
        <w:ind w:firstLine="1050" w:firstLineChars="500"/>
        <w:rPr>
          <w:rFonts w:ascii="宋体" w:hAnsi="宋体" w:cs="宋体"/>
          <w:color w:val="000000" w:themeColor="text1"/>
          <w14:textFill>
            <w14:solidFill>
              <w14:schemeClr w14:val="tx1"/>
            </w14:solidFill>
          </w14:textFill>
        </w:rPr>
      </w:pPr>
      <w:r>
        <w:rPr>
          <w:rFonts w:hint="eastAsia" w:ascii="宋体" w:hAnsi="宋体" w:cs="宋体"/>
          <w:color w:val="000000" w:themeColor="text1"/>
          <w:position w:val="-10"/>
          <w14:textFill>
            <w14:solidFill>
              <w14:schemeClr w14:val="tx1"/>
            </w14:solidFill>
          </w14:textFill>
        </w:rPr>
        <w:object>
          <v:shape id="_x0000_i1060" o:spt="75" type="#_x0000_t75" style="height:16.15pt;width:12.2pt;" o:ole="t" filled="f" o:preferrelative="t" stroked="f" coordsize="21600,21600">
            <v:path/>
            <v:fill on="f" focussize="0,0"/>
            <v:stroke on="f" joinstyle="miter"/>
            <v:imagedata r:id="rId80" o:title=""/>
            <o:lock v:ext="edit" aspectratio="t"/>
            <w10:wrap type="none"/>
            <w10:anchorlock/>
          </v:shape>
          <o:OLEObject Type="Embed" ProgID="Equation.KSEE3" ShapeID="_x0000_i1060" DrawAspect="Content" ObjectID="_1468075760" r:id="rId79">
            <o:LockedField>false</o:LockedField>
          </o:OLEObject>
        </w:object>
      </w:r>
      <w:r>
        <w:rPr>
          <w:rFonts w:hint="eastAsia" w:ascii="宋体" w:hAnsi="宋体" w:cs="宋体"/>
          <w:color w:val="000000" w:themeColor="text1"/>
          <w14:textFill>
            <w14:solidFill>
              <w14:schemeClr w14:val="tx1"/>
            </w14:solidFill>
          </w14:textFill>
        </w:rPr>
        <w:t>—浆液损耗系数，一般取1.1～1.2。</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7.2.11</w:t>
      </w:r>
      <w:r>
        <w:rPr>
          <w:rFonts w:hint="eastAsia" w:ascii="宋体" w:hAnsi="宋体" w:cs="宋体"/>
          <w:color w:val="000000" w:themeColor="text1"/>
          <w14:textFill>
            <w14:solidFill>
              <w14:schemeClr w14:val="tx1"/>
            </w14:solidFill>
          </w14:textFill>
        </w:rPr>
        <w:t xml:space="preserve"> </w:t>
      </w:r>
      <w:r>
        <w:rPr>
          <w:rFonts w:hint="eastAsia" w:hAnsi="宋体"/>
          <w:color w:val="000000" w:themeColor="text1"/>
          <w:szCs w:val="21"/>
          <w14:textFill>
            <w14:solidFill>
              <w14:schemeClr w14:val="tx1"/>
            </w14:solidFill>
          </w14:textFill>
        </w:rPr>
        <w:t>注浆结束后，注浆孔应封填密实。</w:t>
      </w:r>
    </w:p>
    <w:p>
      <w:pPr>
        <w:numPr>
          <w:ilvl w:val="255"/>
          <w:numId w:val="0"/>
        </w:numPr>
        <w:tabs>
          <w:tab w:val="left" w:pos="576"/>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134" w:name="_Toc14400"/>
      <w:bookmarkStart w:id="135" w:name="_Toc3122"/>
      <w:bookmarkStart w:id="136" w:name="_Toc22385"/>
      <w:bookmarkStart w:id="137" w:name="_Toc24065"/>
      <w:bookmarkStart w:id="138" w:name="_Toc21550"/>
      <w:bookmarkStart w:id="139" w:name="_Toc11271"/>
      <w:r>
        <w:rPr>
          <w:rFonts w:hint="eastAsia" w:hAnsi="宋体"/>
          <w:b/>
          <w:color w:val="000000" w:themeColor="text1"/>
          <w:sz w:val="24"/>
          <w14:textFill>
            <w14:solidFill>
              <w14:schemeClr w14:val="tx1"/>
            </w14:solidFill>
          </w14:textFill>
        </w:rPr>
        <w:t>7.3  管棚支护</w:t>
      </w:r>
      <w:bookmarkEnd w:id="134"/>
      <w:bookmarkEnd w:id="135"/>
      <w:bookmarkEnd w:id="136"/>
      <w:bookmarkEnd w:id="137"/>
      <w:bookmarkEnd w:id="138"/>
      <w:bookmarkEnd w:id="139"/>
    </w:p>
    <w:p>
      <w:pPr>
        <w:snapToGrid w:val="0"/>
        <w:spacing w:line="360" w:lineRule="auto"/>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7.3.1 </w:t>
      </w:r>
      <w:r>
        <w:rPr>
          <w:rFonts w:hint="eastAsia" w:ascii="宋体" w:hAnsi="宋体" w:cs="宋体"/>
          <w:color w:val="000000" w:themeColor="text1"/>
          <w14:textFill>
            <w14:solidFill>
              <w14:schemeClr w14:val="tx1"/>
            </w14:solidFill>
          </w14:textFill>
        </w:rPr>
        <w:t>暗挖隧道穿越下列地层时宜采用管棚支护：</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1</w:t>
      </w:r>
      <w:r>
        <w:rPr>
          <w:rFonts w:hint="eastAsia" w:ascii="宋体" w:hAnsi="宋体" w:cs="宋体"/>
          <w:color w:val="000000" w:themeColor="text1"/>
          <w14:textFill>
            <w14:solidFill>
              <w14:schemeClr w14:val="tx1"/>
            </w14:solidFill>
          </w14:textFill>
        </w:rPr>
        <w:t xml:space="preserve"> 塌方体；</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宋体"/>
          <w:color w:val="000000" w:themeColor="text1"/>
          <w14:textFill>
            <w14:solidFill>
              <w14:schemeClr w14:val="tx1"/>
            </w14:solidFill>
          </w14:textFill>
        </w:rPr>
        <w:t>松散卵砾石层、砂层；</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ascii="宋体" w:hAnsi="宋体" w:cs="宋体"/>
          <w:color w:val="000000" w:themeColor="text1"/>
          <w14:textFill>
            <w14:solidFill>
              <w14:schemeClr w14:val="tx1"/>
            </w14:solidFill>
          </w14:textFill>
        </w:rPr>
        <w:t xml:space="preserve"> 强膨胀性地层；</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4</w:t>
      </w:r>
      <w:r>
        <w:rPr>
          <w:rFonts w:hint="eastAsia" w:ascii="宋体" w:hAnsi="宋体" w:cs="宋体"/>
          <w:color w:val="000000" w:themeColor="text1"/>
          <w14:textFill>
            <w14:solidFill>
              <w14:schemeClr w14:val="tx1"/>
            </w14:solidFill>
          </w14:textFill>
        </w:rPr>
        <w:t xml:space="preserve"> 软土、流砂层或含水地层；</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5</w:t>
      </w:r>
      <w:r>
        <w:rPr>
          <w:rFonts w:hint="eastAsia" w:ascii="宋体" w:hAnsi="宋体" w:cs="宋体"/>
          <w:color w:val="000000" w:themeColor="text1"/>
          <w14:textFill>
            <w14:solidFill>
              <w14:schemeClr w14:val="tx1"/>
            </w14:solidFill>
          </w14:textFill>
        </w:rPr>
        <w:t xml:space="preserve"> 周边建（构）筑物或地下管线需要保护、变形要求严格。</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7.3.2 </w:t>
      </w:r>
      <w:r>
        <w:rPr>
          <w:rFonts w:hint="eastAsia" w:ascii="宋体" w:hAnsi="宋体" w:cs="宋体"/>
          <w:color w:val="000000" w:themeColor="text1"/>
          <w14:textFill>
            <w14:solidFill>
              <w14:schemeClr w14:val="tx1"/>
            </w14:solidFill>
          </w14:textFill>
        </w:rPr>
        <w:t>管棚钢架应按设计要求制作、安装，安装精度应满足管棚施工要求，并与管棚连接牢固。</w:t>
      </w:r>
    </w:p>
    <w:p>
      <w:pPr>
        <w:snapToGrid w:val="0"/>
        <w:spacing w:line="360" w:lineRule="auto"/>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7.3.3 </w:t>
      </w:r>
      <w:r>
        <w:rPr>
          <w:rFonts w:hint="eastAsia" w:ascii="宋体" w:hAnsi="宋体" w:cs="宋体"/>
          <w:color w:val="000000" w:themeColor="text1"/>
          <w14:textFill>
            <w14:solidFill>
              <w14:schemeClr w14:val="tx1"/>
            </w14:solidFill>
          </w14:textFill>
        </w:rPr>
        <w:t>管棚宜在洞口实施。在洞内施工时，应根据钻机操作施工的空间要求设置加高段。</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7.3.4 </w:t>
      </w:r>
      <w:r>
        <w:rPr>
          <w:rFonts w:hint="eastAsia" w:ascii="宋体" w:hAnsi="宋体" w:cs="宋体"/>
          <w:color w:val="000000" w:themeColor="text1"/>
          <w14:textFill>
            <w14:solidFill>
              <w14:schemeClr w14:val="tx1"/>
            </w14:solidFill>
          </w14:textFill>
        </w:rPr>
        <w:t>管棚钻孔应根据地层情况、施工条件和环境要求选用适宜方法，并应符合下列规定：</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1</w:t>
      </w:r>
      <w:r>
        <w:rPr>
          <w:rFonts w:hint="eastAsia" w:ascii="宋体" w:hAnsi="宋体" w:cs="宋体"/>
          <w:color w:val="000000" w:themeColor="text1"/>
          <w14:textFill>
            <w14:solidFill>
              <w14:schemeClr w14:val="tx1"/>
            </w14:solidFill>
          </w14:textFill>
        </w:rPr>
        <w:t xml:space="preserve"> 钻孔应由高向低进行；</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ascii="宋体" w:hAnsi="宋体" w:cs="宋体"/>
          <w:color w:val="000000" w:themeColor="text1"/>
          <w14:textFill>
            <w14:solidFill>
              <w14:schemeClr w14:val="tx1"/>
            </w14:solidFill>
          </w14:textFill>
        </w:rPr>
        <w:t xml:space="preserve"> 钻孔直径宜比设计管棚直径大</w:t>
      </w:r>
      <w:r>
        <w:rPr>
          <w:rFonts w:hint="eastAsia" w:hAnsi="宋体" w:cstheme="minorEastAsia"/>
          <w:color w:val="000000" w:themeColor="text1"/>
          <w:szCs w:val="21"/>
          <w14:textFill>
            <w14:solidFill>
              <w14:schemeClr w14:val="tx1"/>
            </w14:solidFill>
          </w14:textFill>
        </w:rPr>
        <w:t>30mm～40mm</w:t>
      </w:r>
      <w:r>
        <w:rPr>
          <w:rFonts w:hint="eastAsia" w:ascii="宋体" w:hAnsi="宋体" w:cs="宋体"/>
          <w:color w:val="000000" w:themeColor="text1"/>
          <w14:textFill>
            <w14:solidFill>
              <w14:schemeClr w14:val="tx1"/>
            </w14:solidFill>
          </w14:textFill>
        </w:rPr>
        <w:t>；</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ascii="宋体" w:hAnsi="宋体" w:cs="宋体"/>
          <w:color w:val="000000" w:themeColor="text1"/>
          <w14:textFill>
            <w14:solidFill>
              <w14:schemeClr w14:val="tx1"/>
            </w14:solidFill>
          </w14:textFill>
        </w:rPr>
        <w:t xml:space="preserve"> 钻进过程中应控制方向，钻杆方向及角度应符合设计要求，</w:t>
      </w:r>
      <w:r>
        <w:rPr>
          <w:rFonts w:hint="eastAsia" w:hAnsi="宋体" w:cstheme="minorEastAsia"/>
          <w:color w:val="000000" w:themeColor="text1"/>
          <w:szCs w:val="21"/>
          <w14:textFill>
            <w14:solidFill>
              <w14:schemeClr w14:val="tx1"/>
            </w14:solidFill>
          </w14:textFill>
        </w:rPr>
        <w:t>钻孔允许偏差为5‰</w:t>
      </w:r>
      <w:r>
        <w:rPr>
          <w:rFonts w:hint="eastAsia" w:ascii="宋体" w:hAnsi="宋体" w:cs="宋体"/>
          <w:color w:val="000000" w:themeColor="text1"/>
          <w14:textFill>
            <w14:solidFill>
              <w14:schemeClr w14:val="tx1"/>
            </w14:solidFill>
          </w14:textFill>
        </w:rPr>
        <w:t>；</w:t>
      </w:r>
    </w:p>
    <w:p>
      <w:pPr>
        <w:snapToGrid w:val="0"/>
        <w:spacing w:line="360" w:lineRule="auto"/>
        <w:ind w:firstLine="422" w:firstLineChars="200"/>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4</w:t>
      </w:r>
      <w:r>
        <w:rPr>
          <w:rFonts w:hint="eastAsia" w:ascii="宋体" w:hAnsi="宋体" w:cs="宋体"/>
          <w:color w:val="000000" w:themeColor="text1"/>
          <w14:textFill>
            <w14:solidFill>
              <w14:schemeClr w14:val="tx1"/>
            </w14:solidFill>
          </w14:textFill>
        </w:rPr>
        <w:t xml:space="preserve"> </w:t>
      </w:r>
      <w:r>
        <w:rPr>
          <w:rFonts w:hint="eastAsia" w:hAnsi="宋体"/>
          <w:color w:val="000000" w:themeColor="text1"/>
          <w:szCs w:val="21"/>
          <w14:textFill>
            <w14:solidFill>
              <w14:schemeClr w14:val="tx1"/>
            </w14:solidFill>
          </w14:textFill>
        </w:rPr>
        <w:t>遇卡钻、塌孔时应注浆后重钻。</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7.3.5 </w:t>
      </w:r>
      <w:r>
        <w:rPr>
          <w:rFonts w:hint="eastAsia" w:ascii="宋体" w:hAnsi="宋体" w:cs="宋体"/>
          <w:color w:val="000000" w:themeColor="text1"/>
          <w14:textFill>
            <w14:solidFill>
              <w14:schemeClr w14:val="tx1"/>
            </w14:solidFill>
          </w14:textFill>
        </w:rPr>
        <w:t>管棚应选用加厚的φ50mm～φ150mm焊接钢管或无缝钢管制作，宜采用φ108×8mm钢管，相应的孔口管宜采用φ127×8mm钢管。</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7.3.6 </w:t>
      </w:r>
      <w:r>
        <w:rPr>
          <w:rFonts w:hint="eastAsia" w:ascii="宋体" w:hAnsi="宋体" w:cs="宋体"/>
          <w:color w:val="000000" w:themeColor="text1"/>
          <w14:textFill>
            <w14:solidFill>
              <w14:schemeClr w14:val="tx1"/>
            </w14:solidFill>
          </w14:textFill>
        </w:rPr>
        <w:t>管棚钢管安装前应逐孔、逐根编号，按顺序接管推进、不得混接。在顶进过程中，应用测斜仪控制上仰角度。顶进完毕后应对每根管进行清孔处理。</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7.3.7 </w:t>
      </w:r>
      <w:r>
        <w:rPr>
          <w:rFonts w:hint="eastAsia" w:hAnsi="宋体"/>
          <w:color w:val="000000" w:themeColor="text1"/>
          <w:szCs w:val="21"/>
          <w14:textFill>
            <w14:solidFill>
              <w14:schemeClr w14:val="tx1"/>
            </w14:solidFill>
          </w14:textFill>
        </w:rPr>
        <w:t>管棚钢管宜采用丝扣连接，连接长度不宜小于150mm，管箍应采用厚壁钢管制作，长度不宜小于200mm；</w:t>
      </w:r>
      <w:r>
        <w:rPr>
          <w:rFonts w:hint="eastAsia" w:ascii="宋体" w:hAnsi="宋体" w:cs="宋体"/>
          <w:color w:val="000000" w:themeColor="text1"/>
          <w14:textFill>
            <w14:solidFill>
              <w14:schemeClr w14:val="tx1"/>
            </w14:solidFill>
          </w14:textFill>
        </w:rPr>
        <w:t>钢管接头应相互错开，错开长度不宜小于3m。</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7.3.8 </w:t>
      </w:r>
      <w:r>
        <w:rPr>
          <w:rFonts w:hint="eastAsia" w:ascii="宋体" w:hAnsi="宋体" w:cs="宋体"/>
          <w:color w:val="000000" w:themeColor="text1"/>
          <w14:textFill>
            <w14:solidFill>
              <w14:schemeClr w14:val="tx1"/>
            </w14:solidFill>
          </w14:textFill>
        </w:rPr>
        <w:t>管棚钢管宜沿隧道开挖轮廓线纵向近水平方向或按纵坡要求设置，间距宜为300～500mm。</w:t>
      </w:r>
    </w:p>
    <w:p>
      <w:pPr>
        <w:pStyle w:val="22"/>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7.3.9 </w:t>
      </w:r>
      <w:r>
        <w:rPr>
          <w:rFonts w:hint="eastAsia" w:ascii="宋体" w:hAnsi="宋体" w:cs="宋体"/>
          <w:color w:val="000000" w:themeColor="text1"/>
          <w14:textFill>
            <w14:solidFill>
              <w14:schemeClr w14:val="tx1"/>
            </w14:solidFill>
          </w14:textFill>
        </w:rPr>
        <w:t>管棚</w:t>
      </w:r>
      <w:r>
        <w:rPr>
          <w:rFonts w:hint="eastAsia" w:hAnsi="宋体"/>
          <w:color w:val="000000" w:themeColor="text1"/>
          <w:szCs w:val="21"/>
          <w14:textFill>
            <w14:solidFill>
              <w14:schemeClr w14:val="tx1"/>
            </w14:solidFill>
          </w14:textFill>
        </w:rPr>
        <w:t>注浆应符合下列规定：</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 </w:t>
      </w:r>
      <w:r>
        <w:rPr>
          <w:rFonts w:hint="eastAsia" w:hAnsi="宋体" w:cstheme="minorEastAsia"/>
          <w:color w:val="000000" w:themeColor="text1"/>
          <w:sz w:val="21"/>
          <w:szCs w:val="21"/>
          <w14:textFill>
            <w14:solidFill>
              <w14:schemeClr w14:val="tx1"/>
            </w14:solidFill>
          </w14:textFill>
        </w:rPr>
        <w:t>注浆浆液宜采用水泥净浆或水泥砂浆，水泥浆水灰比宜为1:0.5～1:1，水泥砂浆配合比宜为1:0.5～1:3；</w:t>
      </w:r>
    </w:p>
    <w:p>
      <w:pPr>
        <w:snapToGrid w:val="0"/>
        <w:spacing w:line="360" w:lineRule="auto"/>
        <w:ind w:firstLine="422" w:firstLineChars="200"/>
        <w:rPr>
          <w:rFonts w:hAnsi="宋体" w:cstheme="minorEastAsia"/>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宋体"/>
          <w:color w:val="000000" w:themeColor="text1"/>
          <w14:textFill>
            <w14:solidFill>
              <w14:schemeClr w14:val="tx1"/>
            </w14:solidFill>
          </w14:textFill>
        </w:rPr>
        <w:t>宜采用分段注浆方法，</w:t>
      </w:r>
      <w:r>
        <w:rPr>
          <w:rFonts w:hint="eastAsia" w:hAnsi="宋体" w:cstheme="minorEastAsia"/>
          <w:color w:val="000000" w:themeColor="text1"/>
          <w:szCs w:val="21"/>
          <w14:textFill>
            <w14:solidFill>
              <w14:schemeClr w14:val="tx1"/>
            </w14:solidFill>
          </w14:textFill>
        </w:rPr>
        <w:t>管棚尾部应采用粘性材料封堵；浆液应充满钢管及周围的空隙；</w:t>
      </w:r>
    </w:p>
    <w:p>
      <w:pPr>
        <w:snapToGrid w:val="0"/>
        <w:spacing w:line="360" w:lineRule="auto"/>
        <w:ind w:firstLine="422" w:firstLineChars="200"/>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hAnsi="宋体" w:cstheme="minorEastAsia"/>
          <w:color w:val="000000" w:themeColor="text1"/>
          <w:szCs w:val="21"/>
          <w14:textFill>
            <w14:solidFill>
              <w14:schemeClr w14:val="tx1"/>
            </w14:solidFill>
          </w14:textFill>
        </w:rPr>
        <w:t>注浆量和压力应符合设计要求，并根据现场试验确定，</w:t>
      </w:r>
      <w:r>
        <w:rPr>
          <w:rFonts w:hint="eastAsia" w:ascii="宋体" w:hAnsi="宋体" w:cs="宋体"/>
          <w:color w:val="000000" w:themeColor="text1"/>
          <w14:textFill>
            <w14:solidFill>
              <w14:schemeClr w14:val="tx1"/>
            </w14:solidFill>
          </w14:textFill>
        </w:rPr>
        <w:t>注浆压力达到2.0MPa，稳压时间不小于5min，注浆量达到设计注浆量的80%时，方可停止注浆。</w:t>
      </w:r>
    </w:p>
    <w:p>
      <w:pPr>
        <w:numPr>
          <w:ilvl w:val="255"/>
          <w:numId w:val="0"/>
        </w:numPr>
        <w:tabs>
          <w:tab w:val="left" w:pos="576"/>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140" w:name="_Toc26683"/>
      <w:bookmarkStart w:id="141" w:name="_Toc20161"/>
      <w:bookmarkStart w:id="142" w:name="_Toc7891"/>
      <w:bookmarkStart w:id="143" w:name="_Toc26677"/>
      <w:bookmarkStart w:id="144" w:name="_Toc8233"/>
      <w:bookmarkStart w:id="145" w:name="_Toc12704"/>
      <w:r>
        <w:rPr>
          <w:rFonts w:hint="eastAsia" w:hAnsi="宋体"/>
          <w:b/>
          <w:color w:val="000000" w:themeColor="text1"/>
          <w:sz w:val="24"/>
          <w14:textFill>
            <w14:solidFill>
              <w14:schemeClr w14:val="tx1"/>
            </w14:solidFill>
          </w14:textFill>
        </w:rPr>
        <w:t>7.4  管幕支护</w:t>
      </w:r>
      <w:bookmarkEnd w:id="140"/>
      <w:bookmarkEnd w:id="141"/>
      <w:bookmarkEnd w:id="142"/>
      <w:bookmarkEnd w:id="143"/>
      <w:bookmarkEnd w:id="144"/>
      <w:bookmarkEnd w:id="145"/>
    </w:p>
    <w:p>
      <w:pPr>
        <w:pStyle w:val="21"/>
        <w:snapToGrid w:val="0"/>
        <w:spacing w:line="360" w:lineRule="auto"/>
        <w:jc w:val="both"/>
        <w:rPr>
          <w:rFonts w:hAnsi="宋体"/>
          <w:color w:val="000000" w:themeColor="text1"/>
          <w:kern w:val="2"/>
          <w:sz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7.4.1 </w:t>
      </w:r>
      <w:r>
        <w:rPr>
          <w:rFonts w:hint="eastAsia" w:hAnsi="宋体"/>
          <w:color w:val="000000" w:themeColor="text1"/>
          <w:kern w:val="2"/>
          <w:sz w:val="21"/>
          <w14:textFill>
            <w14:solidFill>
              <w14:schemeClr w14:val="tx1"/>
            </w14:solidFill>
          </w14:textFill>
        </w:rPr>
        <w:t>管幕支护钢管材质、规格和型号应符合设计要求，钢管应采用焊接连接，钢管锁扣、注浆管焊接应符合设计要求，相邻钢管焊接接头错开距离不应小于1.0m。</w:t>
      </w:r>
    </w:p>
    <w:p>
      <w:pPr>
        <w:pStyle w:val="21"/>
        <w:snapToGrid w:val="0"/>
        <w:spacing w:line="360" w:lineRule="auto"/>
        <w:jc w:val="both"/>
        <w:rPr>
          <w:rFonts w:hAnsi="宋体"/>
          <w:color w:val="000000" w:themeColor="text1"/>
          <w:kern w:val="2"/>
          <w:sz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7.4.2 </w:t>
      </w:r>
      <w:r>
        <w:rPr>
          <w:rFonts w:hint="eastAsia" w:hAnsi="宋体"/>
          <w:color w:val="000000" w:themeColor="text1"/>
          <w:kern w:val="2"/>
          <w:sz w:val="21"/>
          <w14:textFill>
            <w14:solidFill>
              <w14:schemeClr w14:val="tx1"/>
            </w14:solidFill>
          </w14:textFill>
        </w:rPr>
        <w:t>管幕支护钢管应采用顶管机按顺序、分节顶进就位，顶进与出土应同步进行，并应符合现行地方标准《非开挖地下管线铺设工程施工及验收技术规程 第2部分》DB11/T 594.2的规定。钢管之间应通过锁扣彼此搭接。</w:t>
      </w:r>
    </w:p>
    <w:p>
      <w:pPr>
        <w:pStyle w:val="21"/>
        <w:snapToGrid w:val="0"/>
        <w:spacing w:line="360" w:lineRule="auto"/>
        <w:jc w:val="both"/>
        <w:rPr>
          <w:rFonts w:hAnsi="宋体"/>
          <w:color w:val="000000" w:themeColor="text1"/>
          <w:kern w:val="2"/>
          <w:sz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7.4.3 </w:t>
      </w:r>
      <w:r>
        <w:rPr>
          <w:rFonts w:hint="eastAsia" w:hAnsi="宋体"/>
          <w:color w:val="000000" w:themeColor="text1"/>
          <w:kern w:val="2"/>
          <w:sz w:val="21"/>
          <w14:textFill>
            <w14:solidFill>
              <w14:schemeClr w14:val="tx1"/>
            </w14:solidFill>
          </w14:textFill>
        </w:rPr>
        <w:t>首根钢管定位和轴线应准确，顶进过程应采用自动测量设备，勤测勤纠，孔位允许偏差±20mm，轨迹偏差不应大于0.3%。</w:t>
      </w:r>
    </w:p>
    <w:p>
      <w:pPr>
        <w:pStyle w:val="21"/>
        <w:snapToGrid w:val="0"/>
        <w:spacing w:line="360" w:lineRule="auto"/>
        <w:jc w:val="both"/>
        <w:rPr>
          <w:rFonts w:hAnsi="宋体"/>
          <w:color w:val="000000" w:themeColor="text1"/>
          <w:kern w:val="2"/>
          <w:sz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7.4.4 </w:t>
      </w:r>
      <w:r>
        <w:rPr>
          <w:rFonts w:hint="eastAsia" w:hAnsi="宋体"/>
          <w:color w:val="000000" w:themeColor="text1"/>
          <w:kern w:val="2"/>
          <w:sz w:val="21"/>
          <w14:textFill>
            <w14:solidFill>
              <w14:schemeClr w14:val="tx1"/>
            </w14:solidFill>
          </w14:textFill>
        </w:rPr>
        <w:t>管幕支护应先施工带“门”式母扣的钢管，后施工带“T”形子扣的钢管，“T”形子扣应居中对准“门”形母扣，顶管机机头尾端应设置可伸缩锁扣保护装置。</w:t>
      </w:r>
    </w:p>
    <w:p>
      <w:pPr>
        <w:pStyle w:val="21"/>
        <w:snapToGrid w:val="0"/>
        <w:spacing w:line="360" w:lineRule="auto"/>
        <w:jc w:val="both"/>
        <w:rPr>
          <w:rFonts w:hAnsi="宋体"/>
          <w:color w:val="000000" w:themeColor="text1"/>
          <w:kern w:val="2"/>
          <w:sz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7.4.5 </w:t>
      </w:r>
      <w:r>
        <w:rPr>
          <w:rFonts w:hint="eastAsia" w:hAnsi="宋体"/>
          <w:color w:val="000000" w:themeColor="text1"/>
          <w:kern w:val="2"/>
          <w:sz w:val="21"/>
          <w14:textFill>
            <w14:solidFill>
              <w14:schemeClr w14:val="tx1"/>
            </w14:solidFill>
          </w14:textFill>
        </w:rPr>
        <w:t>钢管锁扣处应涂刷止水润滑剂，钢管左右侧锁扣高差不应大于±2mm。</w:t>
      </w:r>
    </w:p>
    <w:p>
      <w:pPr>
        <w:pStyle w:val="21"/>
        <w:snapToGrid w:val="0"/>
        <w:spacing w:line="360" w:lineRule="auto"/>
        <w:jc w:val="both"/>
        <w:rPr>
          <w:rFonts w:hAnsi="宋体"/>
          <w:color w:val="000000" w:themeColor="text1"/>
          <w:kern w:val="2"/>
          <w:sz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7.4.6 </w:t>
      </w:r>
      <w:r>
        <w:rPr>
          <w:rFonts w:hint="eastAsia" w:hAnsi="宋体"/>
          <w:color w:val="000000" w:themeColor="text1"/>
          <w:kern w:val="2"/>
          <w:sz w:val="21"/>
          <w14:textFill>
            <w14:solidFill>
              <w14:schemeClr w14:val="tx1"/>
            </w14:solidFill>
          </w14:textFill>
        </w:rPr>
        <w:t>钢管锁扣止水剂宜通过预埋注浆管在钢管接头处注入，浆液应充满锁口处的间隙；顶进过程中出土过多时，可通过预埋注浆管补偿注浆。</w:t>
      </w:r>
    </w:p>
    <w:p>
      <w:pPr>
        <w:pStyle w:val="21"/>
        <w:snapToGrid w:val="0"/>
        <w:spacing w:line="360" w:lineRule="auto"/>
        <w:jc w:val="both"/>
        <w:rPr>
          <w:rFonts w:hAnsi="宋体"/>
          <w:color w:val="000000" w:themeColor="text1"/>
          <w:kern w:val="2"/>
          <w:sz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7.4.7 </w:t>
      </w:r>
      <w:r>
        <w:rPr>
          <w:rFonts w:hint="eastAsia" w:hAnsi="宋体"/>
          <w:color w:val="000000" w:themeColor="text1"/>
          <w:kern w:val="2"/>
          <w:sz w:val="21"/>
          <w14:textFill>
            <w14:solidFill>
              <w14:schemeClr w14:val="tx1"/>
            </w14:solidFill>
          </w14:textFill>
        </w:rPr>
        <w:t>锁扣采用油脂密封止水时，应符合下列规定：</w:t>
      </w:r>
    </w:p>
    <w:p>
      <w:pPr>
        <w:pStyle w:val="21"/>
        <w:snapToGrid w:val="0"/>
        <w:spacing w:line="360" w:lineRule="auto"/>
        <w:ind w:firstLine="422" w:firstLineChars="200"/>
        <w:jc w:val="both"/>
        <w:rPr>
          <w:rFonts w:hAnsi="宋体"/>
          <w:color w:val="000000" w:themeColor="text1"/>
          <w:kern w:val="2"/>
          <w:sz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 </w:t>
      </w:r>
      <w:r>
        <w:rPr>
          <w:rFonts w:hint="eastAsia" w:hAnsi="宋体"/>
          <w:color w:val="000000" w:themeColor="text1"/>
          <w:kern w:val="2"/>
          <w:sz w:val="21"/>
          <w14:textFill>
            <w14:solidFill>
              <w14:schemeClr w14:val="tx1"/>
            </w14:solidFill>
          </w14:textFill>
        </w:rPr>
        <w:t>应随母扣的顶进同步进行油脂充填，并应采取措施防止油脂溢出；</w:t>
      </w:r>
    </w:p>
    <w:p>
      <w:pPr>
        <w:pStyle w:val="21"/>
        <w:snapToGrid w:val="0"/>
        <w:spacing w:line="360" w:lineRule="auto"/>
        <w:ind w:firstLine="422" w:firstLineChars="200"/>
        <w:jc w:val="both"/>
        <w:rPr>
          <w:rFonts w:hAnsi="宋体"/>
          <w:color w:val="000000" w:themeColor="text1"/>
          <w:kern w:val="2"/>
          <w:sz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2 </w:t>
      </w:r>
      <w:r>
        <w:rPr>
          <w:rFonts w:hint="eastAsia" w:hAnsi="宋体"/>
          <w:color w:val="000000" w:themeColor="text1"/>
          <w:kern w:val="2"/>
          <w:sz w:val="21"/>
          <w14:textFill>
            <w14:solidFill>
              <w14:schemeClr w14:val="tx1"/>
            </w14:solidFill>
          </w14:textFill>
        </w:rPr>
        <w:t>母扣腔体事先充填密封油脂时，管节焊接后，应对接头处的空隙补充油脂；</w:t>
      </w:r>
    </w:p>
    <w:p>
      <w:pPr>
        <w:pStyle w:val="21"/>
        <w:snapToGrid w:val="0"/>
        <w:spacing w:line="360" w:lineRule="auto"/>
        <w:ind w:firstLine="422" w:firstLineChars="200"/>
        <w:jc w:val="both"/>
        <w:rPr>
          <w:rFonts w:hAnsi="宋体"/>
          <w:color w:val="000000" w:themeColor="text1"/>
          <w:kern w:val="2"/>
          <w:sz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3 </w:t>
      </w:r>
      <w:r>
        <w:rPr>
          <w:rFonts w:hint="eastAsia" w:hAnsi="宋体"/>
          <w:color w:val="000000" w:themeColor="text1"/>
          <w:kern w:val="2"/>
          <w:sz w:val="21"/>
          <w14:textFill>
            <w14:solidFill>
              <w14:schemeClr w14:val="tx1"/>
            </w14:solidFill>
          </w14:textFill>
        </w:rPr>
        <w:t>锁扣密封所用的油脂材料应符合设计要求，质量合格，充填密实。</w:t>
      </w:r>
    </w:p>
    <w:p>
      <w:pPr>
        <w:pStyle w:val="21"/>
        <w:snapToGrid w:val="0"/>
        <w:spacing w:line="360" w:lineRule="auto"/>
        <w:jc w:val="both"/>
        <w:rPr>
          <w:rFonts w:hAnsi="宋体"/>
          <w:color w:val="000000" w:themeColor="text1"/>
          <w:kern w:val="2"/>
          <w:sz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7.4.8 </w:t>
      </w:r>
      <w:r>
        <w:rPr>
          <w:rFonts w:hint="eastAsia" w:hAnsi="宋体"/>
          <w:color w:val="000000" w:themeColor="text1"/>
          <w:kern w:val="2"/>
          <w:sz w:val="21"/>
          <w14:textFill>
            <w14:solidFill>
              <w14:schemeClr w14:val="tx1"/>
            </w14:solidFill>
          </w14:textFill>
        </w:rPr>
        <w:t>钢管内型钢安装应符合设计要求，钢管内应采用水泥浆或水泥砂浆填充饱满，注浆压力宜为0.4MPa～0.6MPa。</w:t>
      </w:r>
    </w:p>
    <w:p>
      <w:pPr>
        <w:numPr>
          <w:ilvl w:val="255"/>
          <w:numId w:val="0"/>
        </w:numPr>
        <w:tabs>
          <w:tab w:val="left" w:pos="576"/>
        </w:tabs>
        <w:adjustRightInd w:val="0"/>
        <w:snapToGrid w:val="0"/>
        <w:spacing w:before="312" w:beforeLines="100" w:after="312" w:afterLines="100"/>
        <w:jc w:val="center"/>
        <w:outlineLvl w:val="1"/>
        <w:rPr>
          <w:rFonts w:hAnsi="宋体" w:cstheme="minorEastAsia"/>
          <w:color w:val="000000" w:themeColor="text1"/>
          <w:szCs w:val="21"/>
          <w14:textFill>
            <w14:solidFill>
              <w14:schemeClr w14:val="tx1"/>
            </w14:solidFill>
          </w14:textFill>
        </w:rPr>
      </w:pPr>
      <w:bookmarkStart w:id="146" w:name="_Toc7965"/>
      <w:bookmarkStart w:id="147" w:name="_Toc30838"/>
      <w:bookmarkStart w:id="148" w:name="_Toc16802"/>
      <w:bookmarkStart w:id="149" w:name="_Toc12960"/>
      <w:bookmarkStart w:id="150" w:name="_Toc4540"/>
      <w:bookmarkStart w:id="151" w:name="_Toc13913"/>
      <w:r>
        <w:rPr>
          <w:rFonts w:hint="eastAsia" w:hAnsi="宋体"/>
          <w:b/>
          <w:color w:val="000000" w:themeColor="text1"/>
          <w:sz w:val="24"/>
          <w14:textFill>
            <w14:solidFill>
              <w14:schemeClr w14:val="tx1"/>
            </w14:solidFill>
          </w14:textFill>
        </w:rPr>
        <w:t>7.5  深孔注浆加固</w:t>
      </w:r>
      <w:bookmarkEnd w:id="146"/>
      <w:bookmarkEnd w:id="147"/>
      <w:bookmarkEnd w:id="148"/>
      <w:bookmarkEnd w:id="149"/>
      <w:bookmarkEnd w:id="150"/>
      <w:bookmarkEnd w:id="151"/>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7.5.1</w:t>
      </w:r>
      <w:r>
        <w:rPr>
          <w:rFonts w:hint="eastAsia" w:hAnsi="宋体"/>
          <w:color w:val="000000" w:themeColor="text1"/>
          <w:szCs w:val="21"/>
          <w14:textFill>
            <w14:solidFill>
              <w14:schemeClr w14:val="tx1"/>
            </w14:solidFill>
          </w14:textFill>
        </w:rPr>
        <w:t xml:space="preserve"> </w:t>
      </w:r>
      <w:r>
        <w:rPr>
          <w:rFonts w:hint="eastAsia" w:ascii="宋体" w:hAnsi="宋体" w:cs="宋体"/>
          <w:color w:val="000000" w:themeColor="text1"/>
          <w14:textFill>
            <w14:solidFill>
              <w14:schemeClr w14:val="tx1"/>
            </w14:solidFill>
          </w14:textFill>
        </w:rPr>
        <w:t>深孔注浆加固应依据设计文件，考虑地下水、地质条件和浆液类型等因素在地面或隧道内进行，并应与洞内止水措施相结合。</w:t>
      </w:r>
    </w:p>
    <w:p>
      <w:pPr>
        <w:pStyle w:val="22"/>
        <w:tabs>
          <w:tab w:val="left" w:pos="851"/>
          <w:tab w:val="left" w:pos="5693"/>
        </w:tabs>
        <w:snapToGrid w:val="0"/>
        <w:spacing w:line="360" w:lineRule="auto"/>
        <w:ind w:firstLine="0" w:firstLineChars="0"/>
        <w:jc w:val="left"/>
        <w:rPr>
          <w:rFonts w:ascii="宋体" w:hAnsi="宋体"/>
          <w:color w:val="000000" w:themeColor="text1"/>
          <w:sz w:val="24"/>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7.5.2 </w:t>
      </w:r>
      <w:r>
        <w:rPr>
          <w:rFonts w:hint="eastAsia" w:ascii="宋体" w:hAnsi="宋体" w:cs="宋体"/>
          <w:color w:val="000000" w:themeColor="text1"/>
          <w14:textFill>
            <w14:solidFill>
              <w14:schemeClr w14:val="tx1"/>
            </w14:solidFill>
          </w14:textFill>
        </w:rPr>
        <w:t>浆液的材料和类型应考虑地质条件、注浆要求、地下水状况、周围环境条件及效果要求等因素，参考表</w:t>
      </w:r>
      <w:r>
        <w:rPr>
          <w:rFonts w:hint="eastAsia" w:hAnsi="宋体"/>
          <w:b/>
          <w:bCs/>
          <w:color w:val="000000" w:themeColor="text1"/>
          <w:szCs w:val="21"/>
          <w14:textFill>
            <w14:solidFill>
              <w14:schemeClr w14:val="tx1"/>
            </w14:solidFill>
          </w14:textFill>
        </w:rPr>
        <w:t>7.5.2</w:t>
      </w:r>
      <w:r>
        <w:rPr>
          <w:rFonts w:hint="eastAsia" w:ascii="宋体" w:hAnsi="宋体" w:cs="宋体"/>
          <w:color w:val="000000" w:themeColor="text1"/>
          <w:szCs w:val="21"/>
          <w14:textFill>
            <w14:solidFill>
              <w14:schemeClr w14:val="tx1"/>
            </w14:solidFill>
          </w14:textFill>
        </w:rPr>
        <w:t xml:space="preserve"> </w:t>
      </w:r>
      <w:r>
        <w:rPr>
          <w:rFonts w:hint="eastAsia" w:ascii="宋体" w:hAnsi="宋体" w:cs="宋体"/>
          <w:color w:val="000000" w:themeColor="text1"/>
          <w14:textFill>
            <w14:solidFill>
              <w14:schemeClr w14:val="tx1"/>
            </w14:solidFill>
          </w14:textFill>
        </w:rPr>
        <w:t>进行选择，</w:t>
      </w:r>
      <w:r>
        <w:rPr>
          <w:rFonts w:hint="eastAsia" w:hAnsi="宋体"/>
          <w:bCs/>
          <w:color w:val="000000" w:themeColor="text1"/>
          <w:szCs w:val="21"/>
          <w14:textFill>
            <w14:solidFill>
              <w14:schemeClr w14:val="tx1"/>
            </w14:solidFill>
          </w14:textFill>
        </w:rPr>
        <w:t>并应通过现场试验进行优化和确认。现场试验应包括</w:t>
      </w:r>
      <w:r>
        <w:rPr>
          <w:rFonts w:hint="eastAsia" w:ascii="宋体" w:hAnsi="宋体" w:cs="宋体"/>
          <w:color w:val="000000" w:themeColor="text1"/>
          <w14:textFill>
            <w14:solidFill>
              <w14:schemeClr w14:val="tx1"/>
            </w14:solidFill>
          </w14:textFill>
        </w:rPr>
        <w:t>浆液配合比、凝胶时间、结石率和抗压强度等内容。</w:t>
      </w:r>
    </w:p>
    <w:p>
      <w:pPr>
        <w:spacing w:line="360" w:lineRule="auto"/>
        <w:jc w:val="center"/>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表</w:t>
      </w:r>
      <w:r>
        <w:rPr>
          <w:rFonts w:hint="eastAsia" w:hAnsi="宋体"/>
          <w:b/>
          <w:bCs/>
          <w:color w:val="000000" w:themeColor="text1"/>
          <w:szCs w:val="21"/>
          <w14:textFill>
            <w14:solidFill>
              <w14:schemeClr w14:val="tx1"/>
            </w14:solidFill>
          </w14:textFill>
        </w:rPr>
        <w:t xml:space="preserve">7.5.2 </w:t>
      </w:r>
      <w:r>
        <w:rPr>
          <w:rFonts w:hint="eastAsia" w:hAnsi="宋体"/>
          <w:b/>
          <w:color w:val="000000" w:themeColor="text1"/>
          <w:szCs w:val="21"/>
          <w14:textFill>
            <w14:solidFill>
              <w14:schemeClr w14:val="tx1"/>
            </w14:solidFill>
          </w14:textFill>
        </w:rPr>
        <w:t xml:space="preserve"> </w:t>
      </w:r>
      <w:r>
        <w:rPr>
          <w:rFonts w:hint="eastAsia" w:ascii="宋体" w:hAnsi="宋体" w:cs="宋体"/>
          <w:color w:val="000000" w:themeColor="text1"/>
          <w14:textFill>
            <w14:solidFill>
              <w14:schemeClr w14:val="tx1"/>
            </w14:solidFill>
          </w14:textFill>
        </w:rPr>
        <w:t>常用的注浆材料、浆液类型及基本性能指标</w:t>
      </w:r>
    </w:p>
    <w:tbl>
      <w:tblPr>
        <w:tblStyle w:val="12"/>
        <w:tblW w:w="0" w:type="auto"/>
        <w:tblInd w:w="-1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06"/>
        <w:gridCol w:w="1008"/>
        <w:gridCol w:w="1348"/>
        <w:gridCol w:w="1440"/>
        <w:gridCol w:w="1620"/>
        <w:gridCol w:w="936"/>
        <w:gridCol w:w="8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6" w:type="dxa"/>
            <w:vAlign w:val="center"/>
          </w:tcPr>
          <w:p>
            <w:pPr>
              <w:snapToGrid w:val="0"/>
              <w:spacing w:line="360" w:lineRule="auto"/>
              <w:jc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浆液</w:t>
            </w:r>
          </w:p>
          <w:p>
            <w:pPr>
              <w:snapToGrid w:val="0"/>
              <w:spacing w:line="360" w:lineRule="auto"/>
              <w:jc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名称</w:t>
            </w:r>
          </w:p>
        </w:tc>
        <w:tc>
          <w:tcPr>
            <w:tcW w:w="1008" w:type="dxa"/>
            <w:vAlign w:val="center"/>
          </w:tcPr>
          <w:p>
            <w:pPr>
              <w:snapToGrid w:val="0"/>
              <w:spacing w:line="360" w:lineRule="auto"/>
              <w:jc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注入砂的最小粒径</w:t>
            </w:r>
          </w:p>
          <w:p>
            <w:pPr>
              <w:snapToGrid w:val="0"/>
              <w:spacing w:line="360" w:lineRule="auto"/>
              <w:jc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（mm）</w:t>
            </w:r>
          </w:p>
        </w:tc>
        <w:tc>
          <w:tcPr>
            <w:tcW w:w="1348" w:type="dxa"/>
            <w:vAlign w:val="center"/>
          </w:tcPr>
          <w:p>
            <w:pPr>
              <w:snapToGrid w:val="0"/>
              <w:spacing w:line="360" w:lineRule="auto"/>
              <w:jc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注入地层的最小渗透系数</w:t>
            </w:r>
          </w:p>
          <w:p>
            <w:pPr>
              <w:snapToGrid w:val="0"/>
              <w:spacing w:line="360" w:lineRule="auto"/>
              <w:jc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（mm）</w:t>
            </w:r>
          </w:p>
        </w:tc>
        <w:tc>
          <w:tcPr>
            <w:tcW w:w="1440" w:type="dxa"/>
            <w:vAlign w:val="center"/>
          </w:tcPr>
          <w:p>
            <w:pPr>
              <w:snapToGrid w:val="0"/>
              <w:spacing w:line="360" w:lineRule="auto"/>
              <w:jc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结石体</w:t>
            </w:r>
          </w:p>
          <w:p>
            <w:pPr>
              <w:snapToGrid w:val="0"/>
              <w:spacing w:line="360" w:lineRule="auto"/>
              <w:jc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渗透系数</w:t>
            </w:r>
          </w:p>
          <w:p>
            <w:pPr>
              <w:snapToGrid w:val="0"/>
              <w:spacing w:line="360" w:lineRule="auto"/>
              <w:jc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（cm/s）</w:t>
            </w:r>
          </w:p>
        </w:tc>
        <w:tc>
          <w:tcPr>
            <w:tcW w:w="1620" w:type="dxa"/>
            <w:vAlign w:val="center"/>
          </w:tcPr>
          <w:p>
            <w:pPr>
              <w:snapToGrid w:val="0"/>
              <w:spacing w:line="360" w:lineRule="auto"/>
              <w:jc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凝胶时间</w:t>
            </w:r>
          </w:p>
        </w:tc>
        <w:tc>
          <w:tcPr>
            <w:tcW w:w="936" w:type="dxa"/>
            <w:vAlign w:val="center"/>
          </w:tcPr>
          <w:p>
            <w:pPr>
              <w:snapToGrid w:val="0"/>
              <w:spacing w:line="360" w:lineRule="auto"/>
              <w:jc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抗压强度</w:t>
            </w:r>
          </w:p>
          <w:p>
            <w:pPr>
              <w:snapToGrid w:val="0"/>
              <w:spacing w:line="360" w:lineRule="auto"/>
              <w:jc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（MPa）</w:t>
            </w:r>
          </w:p>
        </w:tc>
        <w:tc>
          <w:tcPr>
            <w:tcW w:w="812" w:type="dxa"/>
            <w:vAlign w:val="center"/>
          </w:tcPr>
          <w:p>
            <w:pPr>
              <w:snapToGrid w:val="0"/>
              <w:spacing w:line="360" w:lineRule="auto"/>
              <w:jc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注入</w:t>
            </w:r>
          </w:p>
          <w:p>
            <w:pPr>
              <w:snapToGrid w:val="0"/>
              <w:spacing w:line="360" w:lineRule="auto"/>
              <w:jc w:val="center"/>
              <w:rPr>
                <w:rFonts w:ascii="宋体" w:hAnsi="宋体" w:cs="宋体"/>
                <w:color w:val="000000" w:themeColor="text1"/>
                <w:sz w:val="18"/>
                <w:szCs w:val="18"/>
                <w14:textFill>
                  <w14:solidFill>
                    <w14:schemeClr w14:val="tx1"/>
                  </w14:solidFill>
                </w14:textFill>
              </w:rPr>
            </w:pPr>
            <w:r>
              <w:rPr>
                <w:rFonts w:hint="eastAsia" w:ascii="宋体" w:hAnsi="宋体" w:cs="宋体"/>
                <w:color w:val="000000" w:themeColor="text1"/>
                <w:sz w:val="18"/>
                <w:szCs w:val="18"/>
                <w14:textFill>
                  <w14:solidFill>
                    <w14:schemeClr w14:val="tx1"/>
                  </w14:solidFill>
                </w14:textFill>
              </w:rPr>
              <w:t>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6" w:type="dxa"/>
            <w:vAlign w:val="center"/>
          </w:tcPr>
          <w:p>
            <w:pPr>
              <w:snapToGrid w:val="0"/>
              <w:spacing w:line="360" w:lineRule="auto"/>
              <w:jc w:val="center"/>
              <w:rPr>
                <w:rFonts w:ascii="宋体" w:hAnsi="宋体"/>
                <w:color w:val="000000" w:themeColor="text1"/>
                <w:sz w:val="18"/>
                <w:szCs w:val="18"/>
                <w14:textFill>
                  <w14:solidFill>
                    <w14:schemeClr w14:val="tx1"/>
                  </w14:solidFill>
                </w14:textFill>
              </w:rPr>
            </w:pPr>
            <w:r>
              <w:rPr>
                <w:rFonts w:hint="eastAsia" w:ascii="宋体" w:hAnsi="宋体"/>
                <w:color w:val="000000" w:themeColor="text1"/>
                <w:sz w:val="18"/>
                <w:szCs w:val="18"/>
                <w14:textFill>
                  <w14:solidFill>
                    <w14:schemeClr w14:val="tx1"/>
                  </w14:solidFill>
                </w14:textFill>
              </w:rPr>
              <w:t>普通水泥浆</w:t>
            </w:r>
          </w:p>
        </w:tc>
        <w:tc>
          <w:tcPr>
            <w:tcW w:w="1008" w:type="dxa"/>
            <w:vAlign w:val="center"/>
          </w:tcPr>
          <w:p>
            <w:pPr>
              <w:snapToGrid w:val="0"/>
              <w:spacing w:line="360" w:lineRule="auto"/>
              <w:jc w:val="center"/>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1</w:t>
            </w:r>
          </w:p>
        </w:tc>
        <w:tc>
          <w:tcPr>
            <w:tcW w:w="1348" w:type="dxa"/>
            <w:vAlign w:val="center"/>
          </w:tcPr>
          <w:p>
            <w:pPr>
              <w:snapToGrid w:val="0"/>
              <w:spacing w:line="360" w:lineRule="auto"/>
              <w:jc w:val="center"/>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5×10</w:t>
            </w:r>
            <w:r>
              <w:rPr>
                <w:rFonts w:hint="eastAsia" w:ascii="宋体" w:hAnsi="宋体"/>
                <w:color w:val="000000" w:themeColor="text1"/>
                <w:szCs w:val="21"/>
                <w:vertAlign w:val="superscript"/>
                <w14:textFill>
                  <w14:solidFill>
                    <w14:schemeClr w14:val="tx1"/>
                  </w14:solidFill>
                </w14:textFill>
              </w:rPr>
              <w:t>-2</w:t>
            </w:r>
          </w:p>
        </w:tc>
        <w:tc>
          <w:tcPr>
            <w:tcW w:w="1440" w:type="dxa"/>
            <w:vAlign w:val="center"/>
          </w:tcPr>
          <w:p>
            <w:pPr>
              <w:snapToGrid w:val="0"/>
              <w:spacing w:line="360" w:lineRule="auto"/>
              <w:jc w:val="center"/>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10</w:t>
            </w:r>
            <w:r>
              <w:rPr>
                <w:rFonts w:hint="eastAsia" w:ascii="宋体" w:hAnsi="宋体"/>
                <w:color w:val="000000" w:themeColor="text1"/>
                <w:szCs w:val="21"/>
                <w:vertAlign w:val="superscript"/>
                <w14:textFill>
                  <w14:solidFill>
                    <w14:schemeClr w14:val="tx1"/>
                  </w14:solidFill>
                </w14:textFill>
              </w:rPr>
              <w:t>-1</w:t>
            </w:r>
            <w:r>
              <w:rPr>
                <w:rFonts w:hint="eastAsia" w:ascii="宋体" w:hAnsi="宋体"/>
                <w:color w:val="000000" w:themeColor="text1"/>
                <w:szCs w:val="21"/>
                <w14:textFill>
                  <w14:solidFill>
                    <w14:schemeClr w14:val="tx1"/>
                  </w14:solidFill>
                </w14:textFill>
              </w:rPr>
              <w:t>～10</w:t>
            </w:r>
            <w:r>
              <w:rPr>
                <w:rFonts w:hint="eastAsia" w:ascii="宋体" w:hAnsi="宋体"/>
                <w:color w:val="000000" w:themeColor="text1"/>
                <w:szCs w:val="21"/>
                <w:vertAlign w:val="superscript"/>
                <w14:textFill>
                  <w14:solidFill>
                    <w14:schemeClr w14:val="tx1"/>
                  </w14:solidFill>
                </w14:textFill>
              </w:rPr>
              <w:t>-3</w:t>
            </w:r>
          </w:p>
        </w:tc>
        <w:tc>
          <w:tcPr>
            <w:tcW w:w="1620" w:type="dxa"/>
            <w:vAlign w:val="center"/>
          </w:tcPr>
          <w:p>
            <w:pPr>
              <w:snapToGrid w:val="0"/>
              <w:spacing w:line="360" w:lineRule="auto"/>
              <w:jc w:val="center"/>
              <w:rPr>
                <w:rFonts w:ascii="宋体" w:hAnsi="宋体"/>
                <w:color w:val="000000" w:themeColor="text1"/>
                <w:sz w:val="18"/>
                <w:szCs w:val="18"/>
                <w14:textFill>
                  <w14:solidFill>
                    <w14:schemeClr w14:val="tx1"/>
                  </w14:solidFill>
                </w14:textFill>
              </w:rPr>
            </w:pPr>
            <w:r>
              <w:rPr>
                <w:rFonts w:hint="eastAsia" w:ascii="宋体" w:hAnsi="宋体"/>
                <w:color w:val="000000" w:themeColor="text1"/>
                <w:sz w:val="18"/>
                <w:szCs w:val="18"/>
                <w14:textFill>
                  <w14:solidFill>
                    <w14:schemeClr w14:val="tx1"/>
                  </w14:solidFill>
                </w14:textFill>
              </w:rPr>
              <w:t>6～15h</w:t>
            </w:r>
          </w:p>
        </w:tc>
        <w:tc>
          <w:tcPr>
            <w:tcW w:w="936" w:type="dxa"/>
            <w:vAlign w:val="center"/>
          </w:tcPr>
          <w:p>
            <w:pPr>
              <w:snapToGrid w:val="0"/>
              <w:spacing w:line="360" w:lineRule="auto"/>
              <w:jc w:val="center"/>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10～25</w:t>
            </w:r>
          </w:p>
        </w:tc>
        <w:tc>
          <w:tcPr>
            <w:tcW w:w="812" w:type="dxa"/>
            <w:vAlign w:val="center"/>
          </w:tcPr>
          <w:p>
            <w:pPr>
              <w:snapToGrid w:val="0"/>
              <w:spacing w:line="360" w:lineRule="auto"/>
              <w:jc w:val="center"/>
              <w:rPr>
                <w:rFonts w:ascii="宋体" w:hAnsi="宋体"/>
                <w:color w:val="000000" w:themeColor="text1"/>
                <w:sz w:val="18"/>
                <w:szCs w:val="18"/>
                <w14:textFill>
                  <w14:solidFill>
                    <w14:schemeClr w14:val="tx1"/>
                  </w14:solidFill>
                </w14:textFill>
              </w:rPr>
            </w:pPr>
            <w:r>
              <w:rPr>
                <w:rFonts w:hint="eastAsia" w:ascii="宋体" w:hAnsi="宋体"/>
                <w:color w:val="000000" w:themeColor="text1"/>
                <w:sz w:val="18"/>
                <w:szCs w:val="18"/>
                <w14:textFill>
                  <w14:solidFill>
                    <w14:schemeClr w14:val="tx1"/>
                  </w14:solidFill>
                </w14:textFill>
              </w:rPr>
              <w:t>单液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6" w:type="dxa"/>
            <w:vAlign w:val="center"/>
          </w:tcPr>
          <w:p>
            <w:pPr>
              <w:snapToGrid w:val="0"/>
              <w:spacing w:line="360" w:lineRule="auto"/>
              <w:jc w:val="center"/>
              <w:rPr>
                <w:rFonts w:ascii="宋体" w:hAnsi="宋体"/>
                <w:color w:val="000000" w:themeColor="text1"/>
                <w:sz w:val="18"/>
                <w:szCs w:val="18"/>
                <w14:textFill>
                  <w14:solidFill>
                    <w14:schemeClr w14:val="tx1"/>
                  </w14:solidFill>
                </w14:textFill>
              </w:rPr>
            </w:pPr>
            <w:r>
              <w:rPr>
                <w:rFonts w:hint="eastAsia" w:ascii="宋体" w:hAnsi="宋体"/>
                <w:color w:val="000000" w:themeColor="text1"/>
                <w:sz w:val="18"/>
                <w:szCs w:val="18"/>
                <w14:textFill>
                  <w14:solidFill>
                    <w14:schemeClr w14:val="tx1"/>
                  </w14:solidFill>
                </w14:textFill>
              </w:rPr>
              <w:t>水泥—水玻璃浆</w:t>
            </w:r>
          </w:p>
        </w:tc>
        <w:tc>
          <w:tcPr>
            <w:tcW w:w="1008" w:type="dxa"/>
            <w:vAlign w:val="center"/>
          </w:tcPr>
          <w:p>
            <w:pPr>
              <w:snapToGrid w:val="0"/>
              <w:spacing w:line="360" w:lineRule="auto"/>
              <w:jc w:val="center"/>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1</w:t>
            </w:r>
          </w:p>
        </w:tc>
        <w:tc>
          <w:tcPr>
            <w:tcW w:w="1348" w:type="dxa"/>
            <w:vAlign w:val="center"/>
          </w:tcPr>
          <w:p>
            <w:pPr>
              <w:snapToGrid w:val="0"/>
              <w:spacing w:line="360" w:lineRule="auto"/>
              <w:jc w:val="center"/>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3×10</w:t>
            </w:r>
            <w:r>
              <w:rPr>
                <w:rFonts w:hint="eastAsia" w:ascii="宋体" w:hAnsi="宋体"/>
                <w:color w:val="000000" w:themeColor="text1"/>
                <w:szCs w:val="21"/>
                <w:vertAlign w:val="superscript"/>
                <w14:textFill>
                  <w14:solidFill>
                    <w14:schemeClr w14:val="tx1"/>
                  </w14:solidFill>
                </w14:textFill>
              </w:rPr>
              <w:t>-3</w:t>
            </w:r>
          </w:p>
        </w:tc>
        <w:tc>
          <w:tcPr>
            <w:tcW w:w="1440" w:type="dxa"/>
            <w:vAlign w:val="center"/>
          </w:tcPr>
          <w:p>
            <w:pPr>
              <w:snapToGrid w:val="0"/>
              <w:spacing w:line="360" w:lineRule="auto"/>
              <w:jc w:val="center"/>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10</w:t>
            </w:r>
            <w:r>
              <w:rPr>
                <w:rFonts w:hint="eastAsia" w:ascii="宋体" w:hAnsi="宋体"/>
                <w:color w:val="000000" w:themeColor="text1"/>
                <w:szCs w:val="21"/>
                <w:vertAlign w:val="superscript"/>
                <w14:textFill>
                  <w14:solidFill>
                    <w14:schemeClr w14:val="tx1"/>
                  </w14:solidFill>
                </w14:textFill>
              </w:rPr>
              <w:t>-2</w:t>
            </w:r>
            <w:r>
              <w:rPr>
                <w:rFonts w:hint="eastAsia" w:ascii="宋体" w:hAnsi="宋体"/>
                <w:color w:val="000000" w:themeColor="text1"/>
                <w:szCs w:val="21"/>
                <w14:textFill>
                  <w14:solidFill>
                    <w14:schemeClr w14:val="tx1"/>
                  </w14:solidFill>
                </w14:textFill>
              </w:rPr>
              <w:t>～10</w:t>
            </w:r>
            <w:r>
              <w:rPr>
                <w:rFonts w:hint="eastAsia" w:ascii="宋体" w:hAnsi="宋体"/>
                <w:color w:val="000000" w:themeColor="text1"/>
                <w:szCs w:val="21"/>
                <w:vertAlign w:val="superscript"/>
                <w14:textFill>
                  <w14:solidFill>
                    <w14:schemeClr w14:val="tx1"/>
                  </w14:solidFill>
                </w14:textFill>
              </w:rPr>
              <w:t>-3</w:t>
            </w:r>
          </w:p>
        </w:tc>
        <w:tc>
          <w:tcPr>
            <w:tcW w:w="1620" w:type="dxa"/>
            <w:vAlign w:val="center"/>
          </w:tcPr>
          <w:p>
            <w:pPr>
              <w:snapToGrid w:val="0"/>
              <w:spacing w:line="360" w:lineRule="auto"/>
              <w:ind w:left="-164" w:leftChars="-78" w:right="-107" w:rightChars="-51"/>
              <w:jc w:val="center"/>
              <w:rPr>
                <w:rFonts w:ascii="宋体" w:hAnsi="宋体"/>
                <w:color w:val="000000" w:themeColor="text1"/>
                <w:sz w:val="18"/>
                <w:szCs w:val="18"/>
                <w14:textFill>
                  <w14:solidFill>
                    <w14:schemeClr w14:val="tx1"/>
                  </w14:solidFill>
                </w14:textFill>
              </w:rPr>
            </w:pPr>
            <w:r>
              <w:rPr>
                <w:rFonts w:hint="eastAsia" w:ascii="宋体" w:hAnsi="宋体"/>
                <w:color w:val="000000" w:themeColor="text1"/>
                <w:sz w:val="18"/>
                <w:szCs w:val="18"/>
                <w14:textFill>
                  <w14:solidFill>
                    <w14:schemeClr w14:val="tx1"/>
                  </w14:solidFill>
                </w14:textFill>
              </w:rPr>
              <w:t>几十秒至几十分钟</w:t>
            </w:r>
          </w:p>
        </w:tc>
        <w:tc>
          <w:tcPr>
            <w:tcW w:w="936" w:type="dxa"/>
            <w:vAlign w:val="center"/>
          </w:tcPr>
          <w:p>
            <w:pPr>
              <w:snapToGrid w:val="0"/>
              <w:spacing w:line="360" w:lineRule="auto"/>
              <w:jc w:val="center"/>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5～20</w:t>
            </w:r>
          </w:p>
        </w:tc>
        <w:tc>
          <w:tcPr>
            <w:tcW w:w="812" w:type="dxa"/>
            <w:vAlign w:val="center"/>
          </w:tcPr>
          <w:p>
            <w:pPr>
              <w:snapToGrid w:val="0"/>
              <w:spacing w:line="360" w:lineRule="auto"/>
              <w:jc w:val="center"/>
              <w:rPr>
                <w:rFonts w:ascii="宋体" w:hAnsi="宋体"/>
                <w:color w:val="000000" w:themeColor="text1"/>
                <w:sz w:val="18"/>
                <w:szCs w:val="18"/>
                <w14:textFill>
                  <w14:solidFill>
                    <w14:schemeClr w14:val="tx1"/>
                  </w14:solidFill>
                </w14:textFill>
              </w:rPr>
            </w:pPr>
            <w:r>
              <w:rPr>
                <w:rFonts w:hint="eastAsia" w:ascii="宋体" w:hAnsi="宋体"/>
                <w:color w:val="000000" w:themeColor="text1"/>
                <w:sz w:val="18"/>
                <w:szCs w:val="18"/>
                <w14:textFill>
                  <w14:solidFill>
                    <w14:schemeClr w14:val="tx1"/>
                  </w14:solidFill>
                </w14:textFill>
              </w:rPr>
              <w:t>双液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6" w:type="dxa"/>
            <w:vAlign w:val="center"/>
          </w:tcPr>
          <w:p>
            <w:pPr>
              <w:snapToGrid w:val="0"/>
              <w:spacing w:line="360" w:lineRule="auto"/>
              <w:jc w:val="center"/>
              <w:rPr>
                <w:rFonts w:ascii="宋体" w:hAnsi="宋体"/>
                <w:color w:val="000000" w:themeColor="text1"/>
                <w:sz w:val="18"/>
                <w:szCs w:val="18"/>
                <w14:textFill>
                  <w14:solidFill>
                    <w14:schemeClr w14:val="tx1"/>
                  </w14:solidFill>
                </w14:textFill>
              </w:rPr>
            </w:pPr>
            <w:r>
              <w:rPr>
                <w:rFonts w:hint="eastAsia" w:ascii="宋体" w:hAnsi="宋体"/>
                <w:color w:val="000000" w:themeColor="text1"/>
                <w:sz w:val="18"/>
                <w:szCs w:val="18"/>
                <w14:textFill>
                  <w14:solidFill>
                    <w14:schemeClr w14:val="tx1"/>
                  </w14:solidFill>
                </w14:textFill>
              </w:rPr>
              <w:t>超细水泥浆</w:t>
            </w:r>
          </w:p>
        </w:tc>
        <w:tc>
          <w:tcPr>
            <w:tcW w:w="1008" w:type="dxa"/>
            <w:vAlign w:val="center"/>
          </w:tcPr>
          <w:p>
            <w:pPr>
              <w:snapToGrid w:val="0"/>
              <w:spacing w:line="360" w:lineRule="auto"/>
              <w:ind w:left="-90" w:leftChars="-43" w:right="-15" w:rightChars="-7"/>
              <w:jc w:val="center"/>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0.1～0.2</w:t>
            </w:r>
          </w:p>
        </w:tc>
        <w:tc>
          <w:tcPr>
            <w:tcW w:w="1348" w:type="dxa"/>
            <w:vAlign w:val="center"/>
          </w:tcPr>
          <w:p>
            <w:pPr>
              <w:snapToGrid w:val="0"/>
              <w:spacing w:line="360" w:lineRule="auto"/>
              <w:jc w:val="center"/>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10</w:t>
            </w:r>
            <w:r>
              <w:rPr>
                <w:rFonts w:hint="eastAsia" w:ascii="宋体" w:hAnsi="宋体"/>
                <w:color w:val="000000" w:themeColor="text1"/>
                <w:szCs w:val="21"/>
                <w:vertAlign w:val="superscript"/>
                <w14:textFill>
                  <w14:solidFill>
                    <w14:schemeClr w14:val="tx1"/>
                  </w14:solidFill>
                </w14:textFill>
              </w:rPr>
              <w:t>-3</w:t>
            </w:r>
            <w:r>
              <w:rPr>
                <w:rFonts w:hint="eastAsia" w:ascii="宋体" w:hAnsi="宋体"/>
                <w:color w:val="000000" w:themeColor="text1"/>
                <w:szCs w:val="21"/>
                <w14:textFill>
                  <w14:solidFill>
                    <w14:schemeClr w14:val="tx1"/>
                  </w14:solidFill>
                </w14:textFill>
              </w:rPr>
              <w:t>～10</w:t>
            </w:r>
            <w:r>
              <w:rPr>
                <w:rFonts w:hint="eastAsia" w:ascii="宋体" w:hAnsi="宋体"/>
                <w:color w:val="000000" w:themeColor="text1"/>
                <w:szCs w:val="21"/>
                <w:vertAlign w:val="superscript"/>
                <w14:textFill>
                  <w14:solidFill>
                    <w14:schemeClr w14:val="tx1"/>
                  </w14:solidFill>
                </w14:textFill>
              </w:rPr>
              <w:t>-4</w:t>
            </w:r>
          </w:p>
        </w:tc>
        <w:tc>
          <w:tcPr>
            <w:tcW w:w="1440" w:type="dxa"/>
            <w:vAlign w:val="center"/>
          </w:tcPr>
          <w:p>
            <w:pPr>
              <w:snapToGrid w:val="0"/>
              <w:spacing w:line="360" w:lineRule="auto"/>
              <w:jc w:val="center"/>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10</w:t>
            </w:r>
            <w:r>
              <w:rPr>
                <w:rFonts w:hint="eastAsia" w:ascii="宋体" w:hAnsi="宋体"/>
                <w:color w:val="000000" w:themeColor="text1"/>
                <w:szCs w:val="21"/>
                <w:vertAlign w:val="superscript"/>
                <w14:textFill>
                  <w14:solidFill>
                    <w14:schemeClr w14:val="tx1"/>
                  </w14:solidFill>
                </w14:textFill>
              </w:rPr>
              <w:t>-4</w:t>
            </w:r>
            <w:r>
              <w:rPr>
                <w:rFonts w:hint="eastAsia" w:ascii="宋体" w:hAnsi="宋体"/>
                <w:color w:val="000000" w:themeColor="text1"/>
                <w:szCs w:val="21"/>
                <w14:textFill>
                  <w14:solidFill>
                    <w14:schemeClr w14:val="tx1"/>
                  </w14:solidFill>
                </w14:textFill>
              </w:rPr>
              <w:t>～10</w:t>
            </w:r>
            <w:r>
              <w:rPr>
                <w:rFonts w:hint="eastAsia" w:ascii="宋体" w:hAnsi="宋体"/>
                <w:color w:val="000000" w:themeColor="text1"/>
                <w:szCs w:val="21"/>
                <w:vertAlign w:val="superscript"/>
                <w14:textFill>
                  <w14:solidFill>
                    <w14:schemeClr w14:val="tx1"/>
                  </w14:solidFill>
                </w14:textFill>
              </w:rPr>
              <w:t>-5</w:t>
            </w:r>
          </w:p>
        </w:tc>
        <w:tc>
          <w:tcPr>
            <w:tcW w:w="1620" w:type="dxa"/>
            <w:vAlign w:val="center"/>
          </w:tcPr>
          <w:p>
            <w:pPr>
              <w:snapToGrid w:val="0"/>
              <w:spacing w:line="360" w:lineRule="auto"/>
              <w:jc w:val="center"/>
              <w:rPr>
                <w:rFonts w:ascii="宋体" w:hAnsi="宋体"/>
                <w:color w:val="000000" w:themeColor="text1"/>
                <w:sz w:val="18"/>
                <w:szCs w:val="18"/>
                <w14:textFill>
                  <w14:solidFill>
                    <w14:schemeClr w14:val="tx1"/>
                  </w14:solidFill>
                </w14:textFill>
              </w:rPr>
            </w:pPr>
            <w:r>
              <w:rPr>
                <w:rFonts w:hint="eastAsia" w:ascii="宋体" w:hAnsi="宋体"/>
                <w:color w:val="000000" w:themeColor="text1"/>
                <w:sz w:val="18"/>
                <w:szCs w:val="18"/>
                <w14:textFill>
                  <w14:solidFill>
                    <w14:schemeClr w14:val="tx1"/>
                  </w14:solidFill>
                </w14:textFill>
              </w:rPr>
              <w:t>20s～几分钟</w:t>
            </w:r>
          </w:p>
        </w:tc>
        <w:tc>
          <w:tcPr>
            <w:tcW w:w="936" w:type="dxa"/>
            <w:vAlign w:val="center"/>
          </w:tcPr>
          <w:p>
            <w:pPr>
              <w:snapToGrid w:val="0"/>
              <w:spacing w:line="360" w:lineRule="auto"/>
              <w:jc w:val="center"/>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15～50</w:t>
            </w:r>
          </w:p>
        </w:tc>
        <w:tc>
          <w:tcPr>
            <w:tcW w:w="812" w:type="dxa"/>
            <w:vAlign w:val="center"/>
          </w:tcPr>
          <w:p>
            <w:pPr>
              <w:snapToGrid w:val="0"/>
              <w:spacing w:line="360" w:lineRule="auto"/>
              <w:jc w:val="center"/>
              <w:rPr>
                <w:rFonts w:ascii="宋体" w:hAnsi="宋体"/>
                <w:color w:val="000000" w:themeColor="text1"/>
                <w:sz w:val="18"/>
                <w:szCs w:val="18"/>
                <w14:textFill>
                  <w14:solidFill>
                    <w14:schemeClr w14:val="tx1"/>
                  </w14:solidFill>
                </w14:textFill>
              </w:rPr>
            </w:pPr>
            <w:r>
              <w:rPr>
                <w:rFonts w:hint="eastAsia" w:ascii="宋体" w:hAnsi="宋体"/>
                <w:color w:val="000000" w:themeColor="text1"/>
                <w:sz w:val="18"/>
                <w:szCs w:val="18"/>
                <w14:textFill>
                  <w14:solidFill>
                    <w14:schemeClr w14:val="tx1"/>
                  </w14:solidFill>
                </w14:textFill>
              </w:rPr>
              <w:t>单液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06" w:type="dxa"/>
            <w:vAlign w:val="center"/>
          </w:tcPr>
          <w:p>
            <w:pPr>
              <w:snapToGrid w:val="0"/>
              <w:spacing w:line="360" w:lineRule="auto"/>
              <w:jc w:val="center"/>
              <w:rPr>
                <w:rFonts w:ascii="宋体" w:hAnsi="宋体"/>
                <w:color w:val="000000" w:themeColor="text1"/>
                <w:sz w:val="18"/>
                <w:szCs w:val="18"/>
                <w14:textFill>
                  <w14:solidFill>
                    <w14:schemeClr w14:val="tx1"/>
                  </w14:solidFill>
                </w14:textFill>
              </w:rPr>
            </w:pPr>
            <w:r>
              <w:rPr>
                <w:rFonts w:hint="eastAsia" w:ascii="宋体" w:hAnsi="宋体"/>
                <w:color w:val="000000" w:themeColor="text1"/>
                <w:sz w:val="18"/>
                <w:szCs w:val="18"/>
                <w14:textFill>
                  <w14:solidFill>
                    <w14:schemeClr w14:val="tx1"/>
                  </w14:solidFill>
                </w14:textFill>
              </w:rPr>
              <w:t>改性水玻璃浆</w:t>
            </w:r>
          </w:p>
        </w:tc>
        <w:tc>
          <w:tcPr>
            <w:tcW w:w="1008" w:type="dxa"/>
            <w:vAlign w:val="center"/>
          </w:tcPr>
          <w:p>
            <w:pPr>
              <w:snapToGrid w:val="0"/>
              <w:spacing w:line="360" w:lineRule="auto"/>
              <w:jc w:val="center"/>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0.1</w:t>
            </w:r>
          </w:p>
        </w:tc>
        <w:tc>
          <w:tcPr>
            <w:tcW w:w="1348" w:type="dxa"/>
            <w:vAlign w:val="center"/>
          </w:tcPr>
          <w:p>
            <w:pPr>
              <w:snapToGrid w:val="0"/>
              <w:spacing w:line="360" w:lineRule="auto"/>
              <w:jc w:val="center"/>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10</w:t>
            </w:r>
            <w:r>
              <w:rPr>
                <w:rFonts w:hint="eastAsia" w:ascii="宋体" w:hAnsi="宋体"/>
                <w:color w:val="000000" w:themeColor="text1"/>
                <w:szCs w:val="21"/>
                <w:vertAlign w:val="superscript"/>
                <w14:textFill>
                  <w14:solidFill>
                    <w14:schemeClr w14:val="tx1"/>
                  </w14:solidFill>
                </w14:textFill>
              </w:rPr>
              <w:t>-3</w:t>
            </w:r>
            <w:r>
              <w:rPr>
                <w:rFonts w:hint="eastAsia" w:ascii="宋体" w:hAnsi="宋体"/>
                <w:color w:val="000000" w:themeColor="text1"/>
                <w:szCs w:val="21"/>
                <w14:textFill>
                  <w14:solidFill>
                    <w14:schemeClr w14:val="tx1"/>
                  </w14:solidFill>
                </w14:textFill>
              </w:rPr>
              <w:t>～10</w:t>
            </w:r>
            <w:r>
              <w:rPr>
                <w:rFonts w:hint="eastAsia" w:ascii="宋体" w:hAnsi="宋体"/>
                <w:color w:val="000000" w:themeColor="text1"/>
                <w:szCs w:val="21"/>
                <w:vertAlign w:val="superscript"/>
                <w14:textFill>
                  <w14:solidFill>
                    <w14:schemeClr w14:val="tx1"/>
                  </w14:solidFill>
                </w14:textFill>
              </w:rPr>
              <w:t>-4</w:t>
            </w:r>
          </w:p>
        </w:tc>
        <w:tc>
          <w:tcPr>
            <w:tcW w:w="1440" w:type="dxa"/>
            <w:vAlign w:val="center"/>
          </w:tcPr>
          <w:p>
            <w:pPr>
              <w:snapToGrid w:val="0"/>
              <w:spacing w:line="360" w:lineRule="auto"/>
              <w:jc w:val="center"/>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10</w:t>
            </w:r>
            <w:r>
              <w:rPr>
                <w:rFonts w:hint="eastAsia" w:ascii="宋体" w:hAnsi="宋体"/>
                <w:color w:val="000000" w:themeColor="text1"/>
                <w:szCs w:val="21"/>
                <w:vertAlign w:val="superscript"/>
                <w14:textFill>
                  <w14:solidFill>
                    <w14:schemeClr w14:val="tx1"/>
                  </w14:solidFill>
                </w14:textFill>
              </w:rPr>
              <w:t>-4</w:t>
            </w:r>
            <w:r>
              <w:rPr>
                <w:rFonts w:hint="eastAsia" w:ascii="宋体" w:hAnsi="宋体"/>
                <w:color w:val="000000" w:themeColor="text1"/>
                <w:szCs w:val="21"/>
                <w14:textFill>
                  <w14:solidFill>
                    <w14:schemeClr w14:val="tx1"/>
                  </w14:solidFill>
                </w14:textFill>
              </w:rPr>
              <w:t>～10</w:t>
            </w:r>
            <w:r>
              <w:rPr>
                <w:rFonts w:hint="eastAsia" w:ascii="宋体" w:hAnsi="宋体"/>
                <w:color w:val="000000" w:themeColor="text1"/>
                <w:szCs w:val="21"/>
                <w:vertAlign w:val="superscript"/>
                <w14:textFill>
                  <w14:solidFill>
                    <w14:schemeClr w14:val="tx1"/>
                  </w14:solidFill>
                </w14:textFill>
              </w:rPr>
              <w:t>-6</w:t>
            </w:r>
          </w:p>
        </w:tc>
        <w:tc>
          <w:tcPr>
            <w:tcW w:w="1620" w:type="dxa"/>
            <w:vAlign w:val="center"/>
          </w:tcPr>
          <w:p>
            <w:pPr>
              <w:snapToGrid w:val="0"/>
              <w:spacing w:line="360" w:lineRule="auto"/>
              <w:jc w:val="center"/>
              <w:rPr>
                <w:rFonts w:ascii="宋体" w:hAnsi="宋体"/>
                <w:color w:val="000000" w:themeColor="text1"/>
                <w:sz w:val="18"/>
                <w:szCs w:val="18"/>
                <w14:textFill>
                  <w14:solidFill>
                    <w14:schemeClr w14:val="tx1"/>
                  </w14:solidFill>
                </w14:textFill>
              </w:rPr>
            </w:pPr>
            <w:r>
              <w:rPr>
                <w:rFonts w:hint="eastAsia" w:ascii="宋体" w:hAnsi="宋体"/>
                <w:color w:val="000000" w:themeColor="text1"/>
                <w:sz w:val="18"/>
                <w:szCs w:val="18"/>
                <w14:textFill>
                  <w14:solidFill>
                    <w14:schemeClr w14:val="tx1"/>
                  </w14:solidFill>
                </w14:textFill>
              </w:rPr>
              <w:t>瞬间至几十分钟</w:t>
            </w:r>
          </w:p>
        </w:tc>
        <w:tc>
          <w:tcPr>
            <w:tcW w:w="936" w:type="dxa"/>
            <w:vAlign w:val="center"/>
          </w:tcPr>
          <w:p>
            <w:pPr>
              <w:snapToGrid w:val="0"/>
              <w:spacing w:line="360" w:lineRule="auto"/>
              <w:jc w:val="center"/>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＜3</w:t>
            </w:r>
          </w:p>
        </w:tc>
        <w:tc>
          <w:tcPr>
            <w:tcW w:w="812" w:type="dxa"/>
            <w:vAlign w:val="center"/>
          </w:tcPr>
          <w:p>
            <w:pPr>
              <w:snapToGrid w:val="0"/>
              <w:spacing w:line="360" w:lineRule="auto"/>
              <w:jc w:val="center"/>
              <w:rPr>
                <w:rFonts w:ascii="宋体" w:hAnsi="宋体"/>
                <w:color w:val="000000" w:themeColor="text1"/>
                <w:sz w:val="18"/>
                <w:szCs w:val="18"/>
                <w14:textFill>
                  <w14:solidFill>
                    <w14:schemeClr w14:val="tx1"/>
                  </w14:solidFill>
                </w14:textFill>
              </w:rPr>
            </w:pPr>
            <w:r>
              <w:rPr>
                <w:rFonts w:hint="eastAsia" w:ascii="宋体" w:hAnsi="宋体"/>
                <w:color w:val="000000" w:themeColor="text1"/>
                <w:sz w:val="18"/>
                <w:szCs w:val="18"/>
                <w14:textFill>
                  <w14:solidFill>
                    <w14:schemeClr w14:val="tx1"/>
                  </w14:solidFill>
                </w14:textFill>
              </w:rPr>
              <w:t>单液</w:t>
            </w:r>
          </w:p>
          <w:p>
            <w:pPr>
              <w:snapToGrid w:val="0"/>
              <w:spacing w:line="360" w:lineRule="auto"/>
              <w:jc w:val="center"/>
              <w:rPr>
                <w:rFonts w:ascii="宋体" w:hAnsi="宋体"/>
                <w:color w:val="000000" w:themeColor="text1"/>
                <w:sz w:val="18"/>
                <w:szCs w:val="18"/>
                <w14:textFill>
                  <w14:solidFill>
                    <w14:schemeClr w14:val="tx1"/>
                  </w14:solidFill>
                </w14:textFill>
              </w:rPr>
            </w:pPr>
            <w:r>
              <w:rPr>
                <w:rFonts w:hint="eastAsia" w:ascii="宋体" w:hAnsi="宋体"/>
                <w:color w:val="000000" w:themeColor="text1"/>
                <w:sz w:val="18"/>
                <w:szCs w:val="18"/>
                <w14:textFill>
                  <w14:solidFill>
                    <w14:schemeClr w14:val="tx1"/>
                  </w14:solidFill>
                </w14:textFill>
              </w:rPr>
              <w:t>双液</w:t>
            </w:r>
          </w:p>
        </w:tc>
      </w:tr>
    </w:tbl>
    <w:p>
      <w:pPr>
        <w:pStyle w:val="22"/>
        <w:tabs>
          <w:tab w:val="left" w:pos="851"/>
          <w:tab w:val="left" w:pos="5693"/>
        </w:tabs>
        <w:snapToGrid w:val="0"/>
        <w:spacing w:line="360" w:lineRule="auto"/>
        <w:ind w:firstLine="0" w:firstLineChars="0"/>
        <w:jc w:val="left"/>
        <w:rPr>
          <w:rFonts w:ascii="宋体" w:hAnsi="宋体" w:cs="宋体"/>
          <w:color w:val="000000" w:themeColor="text1"/>
          <w14:textFill>
            <w14:solidFill>
              <w14:schemeClr w14:val="tx1"/>
            </w14:solidFill>
          </w14:textFill>
        </w:rPr>
      </w:pPr>
    </w:p>
    <w:p>
      <w:pPr>
        <w:snapToGrid w:val="0"/>
        <w:spacing w:line="360" w:lineRule="auto"/>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7.5.3 </w:t>
      </w:r>
      <w:r>
        <w:rPr>
          <w:rFonts w:hint="eastAsia" w:hAnsi="宋体"/>
          <w:color w:val="000000" w:themeColor="text1"/>
          <w:szCs w:val="21"/>
          <w14:textFill>
            <w14:solidFill>
              <w14:schemeClr w14:val="tx1"/>
            </w14:solidFill>
          </w14:textFill>
        </w:rPr>
        <w:t>洞内深孔注浆宜根据地质条件和设计要求选择双重管注浆（WSS）、水平袖阀管注浆、</w:t>
      </w:r>
      <w:r>
        <w:rPr>
          <w:rFonts w:hint="eastAsia" w:ascii="宋体" w:hAnsi="宋体" w:cs="宋体"/>
          <w:color w:val="000000" w:themeColor="text1"/>
          <w14:textFill>
            <w14:solidFill>
              <w14:schemeClr w14:val="tx1"/>
            </w14:solidFill>
          </w14:textFill>
        </w:rPr>
        <w:t>后退式分段注浆</w:t>
      </w:r>
      <w:r>
        <w:rPr>
          <w:rFonts w:hint="eastAsia"/>
          <w:color w:val="000000" w:themeColor="text1"/>
          <w14:textFill>
            <w14:solidFill>
              <w14:schemeClr w14:val="tx1"/>
            </w14:solidFill>
          </w14:textFill>
        </w:rPr>
        <w:t>、</w:t>
      </w:r>
      <w:r>
        <w:rPr>
          <w:rFonts w:hint="eastAsia" w:hAnsi="宋体"/>
          <w:color w:val="000000" w:themeColor="text1"/>
          <w:szCs w:val="21"/>
          <w14:textFill>
            <w14:solidFill>
              <w14:schemeClr w14:val="tx1"/>
            </w14:solidFill>
          </w14:textFill>
        </w:rPr>
        <w:t>前进式分段注浆（TGRM）等方法，并符合下列规定：</w:t>
      </w:r>
    </w:p>
    <w:p>
      <w:pPr>
        <w:snapToGrid w:val="0"/>
        <w:spacing w:line="360" w:lineRule="auto"/>
        <w:ind w:firstLine="422" w:firstLineChars="200"/>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hAnsi="宋体"/>
          <w:color w:val="000000" w:themeColor="text1"/>
          <w:szCs w:val="21"/>
          <w14:textFill>
            <w14:solidFill>
              <w14:schemeClr w14:val="tx1"/>
            </w14:solidFill>
          </w14:textFill>
        </w:rPr>
        <w:t>临时性注浆加固宜采用双重管注浆（WSS）；</w:t>
      </w:r>
    </w:p>
    <w:p>
      <w:pPr>
        <w:snapToGrid w:val="0"/>
        <w:spacing w:line="360" w:lineRule="auto"/>
        <w:ind w:firstLine="422" w:firstLineChars="200"/>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hAnsi="宋体"/>
          <w:color w:val="000000" w:themeColor="text1"/>
          <w:szCs w:val="21"/>
          <w14:textFill>
            <w14:solidFill>
              <w14:schemeClr w14:val="tx1"/>
            </w14:solidFill>
          </w14:textFill>
        </w:rPr>
        <w:t>砂卵石地层宜采用分段前进式深孔注浆（TGRM）；</w:t>
      </w:r>
    </w:p>
    <w:p>
      <w:pPr>
        <w:spacing w:line="360" w:lineRule="auto"/>
        <w:ind w:firstLine="422" w:firstLineChars="200"/>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hAnsi="宋体"/>
          <w:color w:val="000000" w:themeColor="text1"/>
          <w:szCs w:val="21"/>
          <w14:textFill>
            <w14:solidFill>
              <w14:schemeClr w14:val="tx1"/>
            </w14:solidFill>
          </w14:textFill>
        </w:rPr>
        <w:t>注浆难度较大、周边环境变形要求严格的区域宜采用水平袖阀管注浆。</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7.5.4 </w:t>
      </w:r>
      <w:r>
        <w:rPr>
          <w:rFonts w:hint="eastAsia" w:ascii="宋体" w:hAnsi="宋体" w:cs="宋体"/>
          <w:color w:val="000000" w:themeColor="text1"/>
          <w14:textFill>
            <w14:solidFill>
              <w14:schemeClr w14:val="tx1"/>
            </w14:solidFill>
          </w14:textFill>
        </w:rPr>
        <w:t>注浆孔应按设计要求布设，加固范围不应小于设计要求；注浆孔间距可按公式（</w:t>
      </w:r>
      <w:r>
        <w:rPr>
          <w:rFonts w:hint="eastAsia" w:hAnsi="宋体"/>
          <w:b/>
          <w:color w:val="000000" w:themeColor="text1"/>
          <w:szCs w:val="21"/>
          <w14:textFill>
            <w14:solidFill>
              <w14:schemeClr w14:val="tx1"/>
            </w14:solidFill>
          </w14:textFill>
        </w:rPr>
        <w:t>7.5.4</w:t>
      </w:r>
      <w:r>
        <w:rPr>
          <w:rFonts w:hint="eastAsia" w:ascii="宋体" w:hAnsi="宋体" w:cs="宋体"/>
          <w:color w:val="000000" w:themeColor="text1"/>
          <w14:textFill>
            <w14:solidFill>
              <w14:schemeClr w14:val="tx1"/>
            </w14:solidFill>
          </w14:textFill>
        </w:rPr>
        <w:t>）计算确定。</w:t>
      </w:r>
    </w:p>
    <w:p>
      <w:pPr>
        <w:snapToGrid w:val="0"/>
        <w:spacing w:line="360" w:lineRule="auto"/>
        <w:ind w:firstLine="420"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 xml:space="preserve">                   </w:t>
      </w:r>
      <w:r>
        <w:rPr>
          <w:rFonts w:hint="eastAsia" w:ascii="宋体" w:hAnsi="宋体" w:cs="宋体"/>
          <w:color w:val="000000" w:themeColor="text1"/>
          <w:position w:val="-12"/>
          <w14:textFill>
            <w14:solidFill>
              <w14:schemeClr w14:val="tx1"/>
            </w14:solidFill>
          </w14:textFill>
        </w:rPr>
        <w:object>
          <v:shape id="_x0000_i1061" o:spt="75" type="#_x0000_t75" style="height:18.1pt;width:49.2pt;" o:ole="t" filled="f" o:preferrelative="t" stroked="f" coordsize="21600,21600">
            <v:path/>
            <v:fill on="f" focussize="0,0"/>
            <v:stroke on="f" joinstyle="miter"/>
            <v:imagedata r:id="rId82" o:title=""/>
            <o:lock v:ext="edit" aspectratio="t"/>
            <w10:wrap type="none"/>
            <w10:anchorlock/>
          </v:shape>
          <o:OLEObject Type="Embed" ProgID="Equation.KSEE3" ShapeID="_x0000_i1061" DrawAspect="Content" ObjectID="_1468075761" r:id="rId81">
            <o:LockedField>false</o:LockedField>
          </o:OLEObject>
        </w:object>
      </w:r>
      <w:r>
        <w:rPr>
          <w:rFonts w:hint="eastAsia" w:ascii="宋体" w:hAnsi="宋体" w:cs="宋体"/>
          <w:color w:val="000000" w:themeColor="text1"/>
          <w14:textFill>
            <w14:solidFill>
              <w14:schemeClr w14:val="tx1"/>
            </w14:solidFill>
          </w14:textFill>
        </w:rPr>
        <w:t xml:space="preserve">             （</w:t>
      </w:r>
      <w:r>
        <w:rPr>
          <w:rFonts w:hint="eastAsia" w:hAnsi="宋体"/>
          <w:b/>
          <w:color w:val="000000" w:themeColor="text1"/>
          <w:szCs w:val="21"/>
          <w14:textFill>
            <w14:solidFill>
              <w14:schemeClr w14:val="tx1"/>
            </w14:solidFill>
          </w14:textFill>
        </w:rPr>
        <w:t>7.5.4）</w:t>
      </w:r>
    </w:p>
    <w:p>
      <w:pPr>
        <w:snapToGrid w:val="0"/>
        <w:spacing w:line="360" w:lineRule="auto"/>
        <w:ind w:firstLine="420"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式中，</w:t>
      </w:r>
      <w:r>
        <w:rPr>
          <w:rFonts w:hint="eastAsia" w:ascii="宋体" w:hAnsi="宋体" w:cs="宋体"/>
          <w:color w:val="000000" w:themeColor="text1"/>
          <w:position w:val="-12"/>
          <w14:textFill>
            <w14:solidFill>
              <w14:schemeClr w14:val="tx1"/>
            </w14:solidFill>
          </w14:textFill>
        </w:rPr>
        <w:object>
          <v:shape id="_x0000_i1062" o:spt="75" type="#_x0000_t75" style="height:18.1pt;width:13.75pt;" o:ole="t" filled="f" o:preferrelative="t" stroked="f" coordsize="21600,21600">
            <v:path/>
            <v:fill on="f" focussize="0,0"/>
            <v:stroke on="f" joinstyle="miter"/>
            <v:imagedata r:id="rId84" o:title=""/>
            <o:lock v:ext="edit" aspectratio="t"/>
            <w10:wrap type="none"/>
            <w10:anchorlock/>
          </v:shape>
          <o:OLEObject Type="Embed" ProgID="Equation.KSEE3" ShapeID="_x0000_i1062" DrawAspect="Content" ObjectID="_1468075762" r:id="rId83">
            <o:LockedField>false</o:LockedField>
          </o:OLEObject>
        </w:object>
      </w:r>
      <w:r>
        <w:rPr>
          <w:rFonts w:hint="eastAsia" w:ascii="宋体" w:hAnsi="宋体" w:cs="宋体"/>
          <w:color w:val="000000" w:themeColor="text1"/>
          <w14:textFill>
            <w14:solidFill>
              <w14:schemeClr w14:val="tx1"/>
            </w14:solidFill>
          </w14:textFill>
        </w:rPr>
        <w:t>为注浆孔间距(m)，</w:t>
      </w:r>
      <w:r>
        <w:rPr>
          <w:rFonts w:hint="eastAsia" w:ascii="宋体" w:hAnsi="宋体" w:cs="宋体"/>
          <w:color w:val="000000" w:themeColor="text1"/>
          <w:position w:val="-4"/>
          <w14:textFill>
            <w14:solidFill>
              <w14:schemeClr w14:val="tx1"/>
            </w14:solidFill>
          </w14:textFill>
        </w:rPr>
        <w:object>
          <v:shape id="_x0000_i1063" o:spt="75" type="#_x0000_t75" style="height:13pt;width:12.2pt;" o:ole="t" filled="f" o:preferrelative="t" stroked="f" coordsize="21600,21600">
            <v:path/>
            <v:fill on="f" focussize="0,0"/>
            <v:stroke on="f" joinstyle="miter"/>
            <v:imagedata r:id="rId86" o:title=""/>
            <o:lock v:ext="edit" aspectratio="t"/>
            <w10:wrap type="none"/>
            <w10:anchorlock/>
          </v:shape>
          <o:OLEObject Type="Embed" ProgID="Equation.KSEE3" ShapeID="_x0000_i1063" DrawAspect="Content" ObjectID="_1468075763" r:id="rId85">
            <o:LockedField>false</o:LockedField>
          </o:OLEObject>
        </w:object>
      </w:r>
      <w:r>
        <w:rPr>
          <w:rFonts w:hint="eastAsia" w:ascii="宋体" w:hAnsi="宋体" w:cs="宋体"/>
          <w:color w:val="000000" w:themeColor="text1"/>
          <w14:textFill>
            <w14:solidFill>
              <w14:schemeClr w14:val="tx1"/>
            </w14:solidFill>
          </w14:textFill>
        </w:rPr>
        <w:t>为浆液扩散半径(m)。</w:t>
      </w:r>
    </w:p>
    <w:p>
      <w:pPr>
        <w:snapToGrid w:val="0"/>
        <w:spacing w:line="360" w:lineRule="auto"/>
        <w:ind w:firstLine="420" w:firstLineChars="200"/>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浆液扩散半径应根据注浆材料、方法及地层条件，经现场注浆试验确定；无经验时，可按本规程表</w:t>
      </w:r>
      <w:r>
        <w:rPr>
          <w:rFonts w:hint="eastAsia" w:hAnsi="宋体"/>
          <w:b/>
          <w:bCs/>
          <w:color w:val="000000" w:themeColor="text1"/>
          <w:szCs w:val="21"/>
          <w14:textFill>
            <w14:solidFill>
              <w14:schemeClr w14:val="tx1"/>
            </w14:solidFill>
          </w14:textFill>
        </w:rPr>
        <w:t>6.3.1</w:t>
      </w:r>
      <w:r>
        <w:rPr>
          <w:rFonts w:hint="eastAsia" w:ascii="宋体" w:hAnsi="宋体" w:cs="宋体"/>
          <w:color w:val="000000" w:themeColor="text1"/>
          <w14:textFill>
            <w14:solidFill>
              <w14:schemeClr w14:val="tx1"/>
            </w14:solidFill>
          </w14:textFill>
        </w:rPr>
        <w:t>确定。</w:t>
      </w:r>
    </w:p>
    <w:p>
      <w:pPr>
        <w:pStyle w:val="22"/>
        <w:numPr>
          <w:ilvl w:val="255"/>
          <w:numId w:val="0"/>
        </w:numPr>
        <w:tabs>
          <w:tab w:val="left" w:pos="851"/>
        </w:tabs>
        <w:snapToGrid w:val="0"/>
        <w:spacing w:line="360" w:lineRule="auto"/>
        <w:jc w:val="left"/>
        <w:rPr>
          <w:rFonts w:hAnsi="宋体"/>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7.5.5</w:t>
      </w:r>
      <w:r>
        <w:rPr>
          <w:rFonts w:hint="eastAsia" w:hAnsi="宋体"/>
          <w:color w:val="000000" w:themeColor="text1"/>
          <w:szCs w:val="21"/>
          <w14:textFill>
            <w14:solidFill>
              <w14:schemeClr w14:val="tx1"/>
            </w14:solidFill>
          </w14:textFill>
        </w:rPr>
        <w:t xml:space="preserve"> </w:t>
      </w:r>
      <w:r>
        <w:rPr>
          <w:rFonts w:hint="eastAsia" w:ascii="宋体" w:hAnsi="宋体" w:cs="宋体"/>
          <w:color w:val="000000" w:themeColor="text1"/>
          <w14:textFill>
            <w14:solidFill>
              <w14:schemeClr w14:val="tx1"/>
            </w14:solidFill>
          </w14:textFill>
        </w:rPr>
        <w:t>深孔注浆钻孔应按先外圈、后内圈的顺序跳孔施工。钻孔时，应记录孔号、进尺、时间、地层、涌水位置、涌水量和涌水压力等内容，并应根据现场条件及时调整施工工艺参数。</w:t>
      </w:r>
      <w:r>
        <w:rPr>
          <w:rFonts w:hint="eastAsia" w:hAnsi="宋体"/>
          <w:bCs/>
          <w:color w:val="000000" w:themeColor="text1"/>
          <w:szCs w:val="21"/>
          <w14:textFill>
            <w14:solidFill>
              <w14:schemeClr w14:val="tx1"/>
            </w14:solidFill>
          </w14:textFill>
        </w:rPr>
        <w:t>注浆孔的孔位、角度和深度偏差应符合本规程</w:t>
      </w:r>
      <w:r>
        <w:rPr>
          <w:rFonts w:hint="eastAsia" w:ascii="宋体" w:hAnsi="宋体" w:cs="宋体"/>
          <w:bCs/>
          <w:color w:val="000000" w:themeColor="text1"/>
          <w:szCs w:val="21"/>
          <w14:textFill>
            <w14:solidFill>
              <w14:schemeClr w14:val="tx1"/>
            </w14:solidFill>
          </w14:textFill>
        </w:rPr>
        <w:t>表</w:t>
      </w:r>
      <w:r>
        <w:rPr>
          <w:rFonts w:hint="eastAsia" w:hAnsi="宋体"/>
          <w:b/>
          <w:bCs/>
          <w:color w:val="000000" w:themeColor="text1"/>
          <w:szCs w:val="21"/>
          <w14:textFill>
            <w14:solidFill>
              <w14:schemeClr w14:val="tx1"/>
            </w14:solidFill>
          </w14:textFill>
        </w:rPr>
        <w:t>6.3.3</w:t>
      </w:r>
      <w:r>
        <w:rPr>
          <w:rFonts w:hint="eastAsia" w:hAnsi="宋体"/>
          <w:bCs/>
          <w:color w:val="000000" w:themeColor="text1"/>
          <w:szCs w:val="21"/>
          <w14:textFill>
            <w14:solidFill>
              <w14:schemeClr w14:val="tx1"/>
            </w14:solidFill>
          </w14:textFill>
        </w:rPr>
        <w:t>的规定。</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7.5.6</w:t>
      </w:r>
      <w:r>
        <w:rPr>
          <w:rFonts w:hint="eastAsia" w:hAnsi="宋体"/>
          <w:color w:val="000000" w:themeColor="text1"/>
          <w:szCs w:val="21"/>
          <w14:textFill>
            <w14:solidFill>
              <w14:schemeClr w14:val="tx1"/>
            </w14:solidFill>
          </w14:textFill>
        </w:rPr>
        <w:t xml:space="preserve"> </w:t>
      </w:r>
      <w:r>
        <w:rPr>
          <w:rFonts w:hint="eastAsia" w:ascii="宋体" w:hAnsi="宋体" w:cs="宋体"/>
          <w:color w:val="000000" w:themeColor="text1"/>
          <w14:textFill>
            <w14:solidFill>
              <w14:schemeClr w14:val="tx1"/>
            </w14:solidFill>
          </w14:textFill>
        </w:rPr>
        <w:t>注浆压力应符合设计要求，并应符合本规程第</w:t>
      </w:r>
      <w:r>
        <w:rPr>
          <w:rFonts w:hint="eastAsia" w:hAnsi="宋体"/>
          <w:b/>
          <w:bCs/>
          <w:color w:val="000000" w:themeColor="text1"/>
          <w:szCs w:val="21"/>
          <w14:textFill>
            <w14:solidFill>
              <w14:schemeClr w14:val="tx1"/>
            </w14:solidFill>
          </w14:textFill>
        </w:rPr>
        <w:t>6.3</w:t>
      </w:r>
      <w:r>
        <w:rPr>
          <w:rFonts w:hint="eastAsia" w:ascii="宋体" w:hAnsi="宋体" w:cs="宋体"/>
          <w:color w:val="000000" w:themeColor="text1"/>
          <w14:textFill>
            <w14:solidFill>
              <w14:schemeClr w14:val="tx1"/>
            </w14:solidFill>
          </w14:textFill>
        </w:rPr>
        <w:t>节的规定。</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7.5.7</w:t>
      </w:r>
      <w:r>
        <w:rPr>
          <w:rFonts w:hint="eastAsia" w:hAnsi="宋体"/>
          <w:color w:val="000000" w:themeColor="text1"/>
          <w:szCs w:val="21"/>
          <w14:textFill>
            <w14:solidFill>
              <w14:schemeClr w14:val="tx1"/>
            </w14:solidFill>
          </w14:textFill>
        </w:rPr>
        <w:t xml:space="preserve"> </w:t>
      </w:r>
      <w:r>
        <w:rPr>
          <w:rFonts w:hint="eastAsia" w:ascii="宋体" w:hAnsi="宋体" w:cs="宋体"/>
          <w:color w:val="000000" w:themeColor="text1"/>
          <w14:textFill>
            <w14:solidFill>
              <w14:schemeClr w14:val="tx1"/>
            </w14:solidFill>
          </w14:textFill>
        </w:rPr>
        <w:t>注浆结束、注浆量的控制应符合本规程第</w:t>
      </w:r>
      <w:r>
        <w:rPr>
          <w:rFonts w:hint="eastAsia" w:hAnsi="宋体"/>
          <w:b/>
          <w:bCs/>
          <w:color w:val="000000" w:themeColor="text1"/>
          <w:szCs w:val="21"/>
          <w14:textFill>
            <w14:solidFill>
              <w14:schemeClr w14:val="tx1"/>
            </w14:solidFill>
          </w14:textFill>
        </w:rPr>
        <w:t>6.3</w:t>
      </w:r>
      <w:r>
        <w:rPr>
          <w:rFonts w:hint="eastAsia" w:ascii="宋体" w:hAnsi="宋体" w:cs="宋体"/>
          <w:color w:val="000000" w:themeColor="text1"/>
          <w14:textFill>
            <w14:solidFill>
              <w14:schemeClr w14:val="tx1"/>
            </w14:solidFill>
          </w14:textFill>
        </w:rPr>
        <w:t>节的规定。</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7.5.8</w:t>
      </w:r>
      <w:r>
        <w:rPr>
          <w:rFonts w:hint="eastAsia" w:hAnsi="宋体"/>
          <w:color w:val="000000" w:themeColor="text1"/>
          <w:szCs w:val="21"/>
          <w14:textFill>
            <w14:solidFill>
              <w14:schemeClr w14:val="tx1"/>
            </w14:solidFill>
          </w14:textFill>
        </w:rPr>
        <w:t xml:space="preserve"> </w:t>
      </w:r>
      <w:r>
        <w:rPr>
          <w:rFonts w:hint="eastAsia" w:ascii="宋体" w:hAnsi="宋体" w:cs="宋体"/>
          <w:color w:val="000000" w:themeColor="text1"/>
          <w14:textFill>
            <w14:solidFill>
              <w14:schemeClr w14:val="tx1"/>
            </w14:solidFill>
          </w14:textFill>
        </w:rPr>
        <w:t>深孔注浆加固完成后，工作面应稳定，不坍塌，浆液充填饱满；注浆效果采用检查孔法检查时，应能取出带有浆液的芯样，芯样无侧限抗压强度应符合设计要求，设计无要求时，不应小于0.2MPa，检查孔应完整，</w:t>
      </w:r>
      <w:r>
        <w:rPr>
          <w:rFonts w:hint="eastAsia" w:hAnsi="宋体"/>
          <w:color w:val="000000" w:themeColor="text1"/>
          <w:szCs w:val="21"/>
          <w14:textFill>
            <w14:solidFill>
              <w14:schemeClr w14:val="tx1"/>
            </w14:solidFill>
          </w14:textFill>
        </w:rPr>
        <w:t>注浆质量允许偏差</w:t>
      </w:r>
      <w:r>
        <w:rPr>
          <w:rFonts w:hint="eastAsia" w:ascii="宋体" w:hAnsi="宋体" w:cs="宋体"/>
          <w:color w:val="000000" w:themeColor="text1"/>
          <w14:textFill>
            <w14:solidFill>
              <w14:schemeClr w14:val="tx1"/>
            </w14:solidFill>
          </w14:textFill>
        </w:rPr>
        <w:t>应符合表</w:t>
      </w:r>
      <w:r>
        <w:rPr>
          <w:rFonts w:hint="eastAsia" w:hAnsi="宋体"/>
          <w:b/>
          <w:bCs/>
          <w:color w:val="000000" w:themeColor="text1"/>
          <w:szCs w:val="21"/>
          <w14:textFill>
            <w14:solidFill>
              <w14:schemeClr w14:val="tx1"/>
            </w14:solidFill>
          </w14:textFill>
        </w:rPr>
        <w:t>7.5.8</w:t>
      </w:r>
      <w:r>
        <w:rPr>
          <w:rFonts w:hint="eastAsia" w:hAnsi="宋体"/>
          <w:color w:val="000000" w:themeColor="text1"/>
          <w:szCs w:val="21"/>
          <w14:textFill>
            <w14:solidFill>
              <w14:schemeClr w14:val="tx1"/>
            </w14:solidFill>
          </w14:textFill>
        </w:rPr>
        <w:t>的</w:t>
      </w:r>
      <w:r>
        <w:rPr>
          <w:rFonts w:hint="eastAsia" w:ascii="宋体" w:hAnsi="宋体" w:cs="宋体"/>
          <w:color w:val="000000" w:themeColor="text1"/>
          <w14:textFill>
            <w14:solidFill>
              <w14:schemeClr w14:val="tx1"/>
            </w14:solidFill>
          </w14:textFill>
        </w:rPr>
        <w:t>规定。</w:t>
      </w:r>
    </w:p>
    <w:p>
      <w:pPr>
        <w:spacing w:line="360" w:lineRule="auto"/>
        <w:jc w:val="center"/>
        <w:rPr>
          <w:rFonts w:ascii="宋体" w:hAnsi="宋体" w:cstheme="minorEastAsia"/>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  </w:t>
      </w:r>
      <w:r>
        <w:rPr>
          <w:rFonts w:hint="eastAsia" w:ascii="宋体" w:hAnsi="宋体" w:cstheme="minorEastAsia"/>
          <w:color w:val="000000" w:themeColor="text1"/>
          <w14:textFill>
            <w14:solidFill>
              <w14:schemeClr w14:val="tx1"/>
            </w14:solidFill>
          </w14:textFill>
        </w:rPr>
        <w:t>表</w:t>
      </w:r>
      <w:r>
        <w:rPr>
          <w:rFonts w:hint="eastAsia" w:hAnsi="宋体"/>
          <w:b/>
          <w:bCs/>
          <w:color w:val="000000" w:themeColor="text1"/>
          <w:szCs w:val="21"/>
          <w14:textFill>
            <w14:solidFill>
              <w14:schemeClr w14:val="tx1"/>
            </w14:solidFill>
          </w14:textFill>
        </w:rPr>
        <w:t xml:space="preserve">7.5.8  </w:t>
      </w:r>
      <w:r>
        <w:rPr>
          <w:rFonts w:hint="eastAsia" w:ascii="宋体" w:hAnsi="宋体" w:cs="宋体"/>
          <w:color w:val="000000" w:themeColor="text1"/>
          <w14:textFill>
            <w14:solidFill>
              <w14:schemeClr w14:val="tx1"/>
            </w14:solidFill>
          </w14:textFill>
        </w:rPr>
        <w:t>深孔注浆</w:t>
      </w:r>
      <w:r>
        <w:rPr>
          <w:rFonts w:hint="eastAsia" w:ascii="宋体" w:hAnsi="宋体" w:cstheme="minorEastAsia"/>
          <w:color w:val="000000" w:themeColor="text1"/>
          <w14:textFill>
            <w14:solidFill>
              <w14:schemeClr w14:val="tx1"/>
            </w14:solidFill>
          </w14:textFill>
        </w:rPr>
        <w:t>允许偏差</w:t>
      </w:r>
    </w:p>
    <w:tbl>
      <w:tblPr>
        <w:tblStyle w:val="14"/>
        <w:tblW w:w="6549" w:type="dxa"/>
        <w:jc w:val="center"/>
        <w:tblBorders>
          <w:top w:val="single" w:color="5B9BD5" w:themeColor="accent1" w:sz="8" w:space="0"/>
          <w:left w:val="none" w:color="auto" w:sz="0" w:space="0"/>
          <w:bottom w:val="single" w:color="5B9BD5" w:themeColor="accent1" w:sz="8" w:space="0"/>
          <w:right w:val="none" w:color="auto" w:sz="0" w:space="0"/>
          <w:insideH w:val="single" w:color="5B9BD5" w:themeColor="accent1" w:sz="8" w:space="0"/>
          <w:insideV w:val="single" w:color="5B9BD5" w:themeColor="accent1" w:sz="8" w:space="0"/>
        </w:tblBorders>
        <w:tblLayout w:type="fixed"/>
        <w:tblCellMar>
          <w:top w:w="0" w:type="dxa"/>
          <w:left w:w="108" w:type="dxa"/>
          <w:bottom w:w="0" w:type="dxa"/>
          <w:right w:w="108" w:type="dxa"/>
        </w:tblCellMar>
      </w:tblPr>
      <w:tblGrid>
        <w:gridCol w:w="1620"/>
        <w:gridCol w:w="2930"/>
        <w:gridCol w:w="1999"/>
      </w:tblGrid>
      <w:tr>
        <w:tblPrEx>
          <w:tblBorders>
            <w:top w:val="single" w:color="5B9BD5" w:themeColor="accent1" w:sz="8" w:space="0"/>
            <w:left w:val="none" w:color="auto" w:sz="0" w:space="0"/>
            <w:bottom w:val="single" w:color="5B9BD5" w:themeColor="accent1" w:sz="8" w:space="0"/>
            <w:right w:val="none" w:color="auto" w:sz="0" w:space="0"/>
            <w:insideH w:val="single" w:color="5B9BD5" w:themeColor="accent1" w:sz="8" w:space="0"/>
            <w:insideV w:val="single" w:color="5B9BD5" w:themeColor="accent1" w:sz="8" w:space="0"/>
          </w:tblBorders>
          <w:tblCellMar>
            <w:top w:w="0" w:type="dxa"/>
            <w:left w:w="108" w:type="dxa"/>
            <w:bottom w:w="0" w:type="dxa"/>
            <w:right w:w="108" w:type="dxa"/>
          </w:tblCellMar>
        </w:tblPrEx>
        <w:trPr>
          <w:trHeight w:val="367" w:hRule="exact"/>
          <w:jc w:val="center"/>
        </w:trPr>
        <w:tc>
          <w:tcPr>
            <w:tcW w:w="1620" w:type="dxa"/>
            <w:tcBorders>
              <w:top w:val="single" w:color="auto" w:sz="4" w:space="0"/>
              <w:left w:val="single" w:color="auto" w:sz="4" w:space="0"/>
              <w:bottom w:val="single" w:color="auto" w:sz="4" w:space="0"/>
              <w:right w:val="nil"/>
              <w:insideV w:val="nil"/>
            </w:tcBorders>
            <w:noWrap/>
            <w:vAlign w:val="center"/>
          </w:tcPr>
          <w:p>
            <w:pPr>
              <w:spacing w:before="78" w:after="78" w:line="240" w:lineRule="auto"/>
              <w:jc w:val="center"/>
              <w:rPr>
                <w:rFonts w:ascii="宋体" w:hAnsi="宋体" w:cstheme="minorEastAsia"/>
                <w:b/>
                <w:bCs/>
                <w:color w:val="000000" w:themeColor="text1"/>
                <w:sz w:val="18"/>
                <w:szCs w:val="18"/>
                <w14:textFill>
                  <w14:solidFill>
                    <w14:schemeClr w14:val="tx1"/>
                  </w14:solidFill>
                </w14:textFill>
              </w:rPr>
            </w:pPr>
            <w:r>
              <w:rPr>
                <w:rFonts w:hint="eastAsia" w:ascii="宋体" w:hAnsi="宋体" w:cstheme="minorEastAsia"/>
                <w:b/>
                <w:bCs/>
                <w:color w:val="000000" w:themeColor="text1"/>
                <w:sz w:val="18"/>
                <w:szCs w:val="18"/>
                <w:lang w:val="zh-CN"/>
                <w14:textFill>
                  <w14:solidFill>
                    <w14:schemeClr w14:val="tx1"/>
                  </w14:solidFill>
                </w14:textFill>
              </w:rPr>
              <w:t>序</w:t>
            </w:r>
            <w:r>
              <w:rPr>
                <w:rFonts w:hint="eastAsia" w:ascii="宋体" w:hAnsi="宋体" w:cstheme="minorEastAsia"/>
                <w:b/>
                <w:bCs/>
                <w:color w:val="000000" w:themeColor="text1"/>
                <w:sz w:val="18"/>
                <w:szCs w:val="18"/>
                <w14:textFill>
                  <w14:solidFill>
                    <w14:schemeClr w14:val="tx1"/>
                  </w14:solidFill>
                </w14:textFill>
              </w:rPr>
              <w:t xml:space="preserve">   </w:t>
            </w:r>
            <w:r>
              <w:rPr>
                <w:rFonts w:hint="eastAsia" w:ascii="宋体" w:hAnsi="宋体" w:cstheme="minorEastAsia"/>
                <w:b/>
                <w:bCs/>
                <w:color w:val="000000" w:themeColor="text1"/>
                <w:sz w:val="18"/>
                <w:szCs w:val="18"/>
                <w:lang w:val="zh-CN"/>
                <w14:textFill>
                  <w14:solidFill>
                    <w14:schemeClr w14:val="tx1"/>
                  </w14:solidFill>
                </w14:textFill>
              </w:rPr>
              <w:t>号</w:t>
            </w:r>
          </w:p>
        </w:tc>
        <w:tc>
          <w:tcPr>
            <w:tcW w:w="2930" w:type="dxa"/>
            <w:tcBorders>
              <w:top w:val="single" w:color="auto" w:sz="4" w:space="0"/>
              <w:left w:val="single" w:color="auto" w:sz="4" w:space="0"/>
              <w:bottom w:val="single" w:color="auto" w:sz="4" w:space="0"/>
              <w:right w:val="nil"/>
              <w:insideV w:val="nil"/>
            </w:tcBorders>
            <w:vAlign w:val="center"/>
          </w:tcPr>
          <w:p>
            <w:pPr>
              <w:spacing w:before="78" w:after="78" w:line="240" w:lineRule="auto"/>
              <w:jc w:val="center"/>
              <w:rPr>
                <w:rFonts w:ascii="宋体" w:hAnsi="宋体" w:cstheme="minorEastAsia"/>
                <w:b/>
                <w:bCs/>
                <w:color w:val="000000" w:themeColor="text1"/>
                <w:sz w:val="18"/>
                <w:szCs w:val="18"/>
                <w14:textFill>
                  <w14:solidFill>
                    <w14:schemeClr w14:val="tx1"/>
                  </w14:solidFill>
                </w14:textFill>
              </w:rPr>
            </w:pPr>
            <w:r>
              <w:rPr>
                <w:rFonts w:hint="eastAsia" w:ascii="宋体" w:hAnsi="宋体" w:cstheme="minorEastAsia"/>
                <w:b/>
                <w:bCs/>
                <w:color w:val="000000" w:themeColor="text1"/>
                <w:sz w:val="18"/>
                <w:szCs w:val="18"/>
                <w:lang w:val="zh-CN"/>
                <w14:textFill>
                  <w14:solidFill>
                    <w14:schemeClr w14:val="tx1"/>
                  </w14:solidFill>
                </w14:textFill>
              </w:rPr>
              <w:t>项</w:t>
            </w:r>
            <w:r>
              <w:rPr>
                <w:rFonts w:hint="eastAsia" w:ascii="宋体" w:hAnsi="宋体" w:cstheme="minorEastAsia"/>
                <w:b/>
                <w:bCs/>
                <w:color w:val="000000" w:themeColor="text1"/>
                <w:sz w:val="18"/>
                <w:szCs w:val="18"/>
                <w14:textFill>
                  <w14:solidFill>
                    <w14:schemeClr w14:val="tx1"/>
                  </w14:solidFill>
                </w14:textFill>
              </w:rPr>
              <w:t xml:space="preserve">    </w:t>
            </w:r>
            <w:r>
              <w:rPr>
                <w:rFonts w:hint="eastAsia" w:ascii="宋体" w:hAnsi="宋体" w:cstheme="minorEastAsia"/>
                <w:b/>
                <w:bCs/>
                <w:color w:val="000000" w:themeColor="text1"/>
                <w:sz w:val="18"/>
                <w:szCs w:val="18"/>
                <w:lang w:val="zh-CN"/>
                <w14:textFill>
                  <w14:solidFill>
                    <w14:schemeClr w14:val="tx1"/>
                  </w14:solidFill>
                </w14:textFill>
              </w:rPr>
              <w:t>目</w:t>
            </w:r>
          </w:p>
        </w:tc>
        <w:tc>
          <w:tcPr>
            <w:tcW w:w="1999" w:type="dxa"/>
            <w:tcBorders>
              <w:top w:val="single" w:color="auto" w:sz="4" w:space="0"/>
              <w:left w:val="single" w:color="auto" w:sz="4" w:space="0"/>
              <w:bottom w:val="single" w:color="auto" w:sz="4" w:space="0"/>
              <w:right w:val="single" w:color="auto" w:sz="4" w:space="0"/>
              <w:insideV w:val="nil"/>
            </w:tcBorders>
            <w:vAlign w:val="center"/>
          </w:tcPr>
          <w:p>
            <w:pPr>
              <w:spacing w:before="78" w:after="78" w:line="240" w:lineRule="auto"/>
              <w:jc w:val="center"/>
              <w:rPr>
                <w:rFonts w:ascii="宋体" w:hAnsi="宋体" w:cstheme="minorEastAsia"/>
                <w:b/>
                <w:bCs/>
                <w:color w:val="000000" w:themeColor="text1"/>
                <w:sz w:val="18"/>
                <w:szCs w:val="18"/>
                <w14:textFill>
                  <w14:solidFill>
                    <w14:schemeClr w14:val="tx1"/>
                  </w14:solidFill>
                </w14:textFill>
              </w:rPr>
            </w:pPr>
            <w:r>
              <w:rPr>
                <w:rFonts w:hint="eastAsia" w:ascii="宋体" w:hAnsi="宋体" w:cstheme="minorEastAsia"/>
                <w:b/>
                <w:bCs/>
                <w:color w:val="000000" w:themeColor="text1"/>
                <w:sz w:val="18"/>
                <w:szCs w:val="18"/>
                <w14:textFill>
                  <w14:solidFill>
                    <w14:schemeClr w14:val="tx1"/>
                  </w14:solidFill>
                </w14:textFill>
              </w:rPr>
              <w:t>允许偏差</w:t>
            </w:r>
          </w:p>
        </w:tc>
      </w:tr>
      <w:tr>
        <w:tblPrEx>
          <w:tblBorders>
            <w:top w:val="single" w:color="5B9BD5" w:themeColor="accent1" w:sz="8" w:space="0"/>
            <w:left w:val="none" w:color="auto" w:sz="0" w:space="0"/>
            <w:bottom w:val="single" w:color="5B9BD5" w:themeColor="accent1" w:sz="8" w:space="0"/>
            <w:right w:val="none" w:color="auto" w:sz="0" w:space="0"/>
            <w:insideH w:val="single" w:color="5B9BD5" w:themeColor="accent1" w:sz="8" w:space="0"/>
            <w:insideV w:val="single" w:color="5B9BD5" w:themeColor="accent1" w:sz="8" w:space="0"/>
          </w:tblBorders>
          <w:tblCellMar>
            <w:top w:w="0" w:type="dxa"/>
            <w:left w:w="108" w:type="dxa"/>
            <w:bottom w:w="0" w:type="dxa"/>
            <w:right w:w="108" w:type="dxa"/>
          </w:tblCellMar>
        </w:tblPrEx>
        <w:trPr>
          <w:trHeight w:val="427" w:hRule="exact"/>
          <w:jc w:val="center"/>
        </w:trPr>
        <w:tc>
          <w:tcPr>
            <w:tcW w:w="1620" w:type="dxa"/>
            <w:tcBorders>
              <w:top w:val="single" w:color="auto" w:sz="4" w:space="0"/>
              <w:left w:val="single" w:color="auto" w:sz="4" w:space="0"/>
              <w:bottom w:val="single" w:color="auto" w:sz="4" w:space="0"/>
              <w:right w:val="single" w:color="auto" w:sz="4" w:space="0"/>
            </w:tcBorders>
            <w:noWrap/>
            <w:vAlign w:val="center"/>
          </w:tcPr>
          <w:p>
            <w:pPr>
              <w:spacing w:before="78" w:after="78"/>
              <w:jc w:val="center"/>
              <w:rPr>
                <w:rFonts w:ascii="宋体" w:hAnsi="宋体" w:cstheme="minorEastAsia"/>
                <w:b/>
                <w:bCs w:val="0"/>
                <w:color w:val="000000" w:themeColor="text1"/>
                <w:sz w:val="18"/>
                <w:szCs w:val="18"/>
                <w14:textFill>
                  <w14:solidFill>
                    <w14:schemeClr w14:val="tx1"/>
                  </w14:solidFill>
                </w14:textFill>
              </w:rPr>
            </w:pPr>
            <w:r>
              <w:rPr>
                <w:rFonts w:hint="eastAsia" w:ascii="宋体" w:hAnsi="宋体" w:cstheme="minorEastAsia"/>
                <w:b/>
                <w:bCs/>
                <w:color w:val="000000" w:themeColor="text1"/>
                <w:sz w:val="18"/>
                <w:szCs w:val="18"/>
                <w14:textFill>
                  <w14:solidFill>
                    <w14:schemeClr w14:val="tx1"/>
                  </w14:solidFill>
                </w14:textFill>
              </w:rPr>
              <w:t>1</w:t>
            </w:r>
          </w:p>
        </w:tc>
        <w:tc>
          <w:tcPr>
            <w:tcW w:w="2930" w:type="dxa"/>
            <w:tcBorders>
              <w:top w:val="single" w:color="auto" w:sz="4" w:space="0"/>
              <w:left w:val="single" w:color="auto" w:sz="4" w:space="0"/>
              <w:bottom w:val="single" w:color="auto" w:sz="4" w:space="0"/>
              <w:right w:val="single" w:color="auto" w:sz="4" w:space="0"/>
            </w:tcBorders>
            <w:vAlign w:val="center"/>
          </w:tcPr>
          <w:p>
            <w:pPr>
              <w:spacing w:before="78" w:after="78"/>
              <w:jc w:val="center"/>
              <w:rPr>
                <w:rStyle w:val="25"/>
                <w:rFonts w:ascii="宋体" w:hAnsi="宋体" w:eastAsia="宋体" w:cstheme="minorEastAsia"/>
                <w:i w:val="0"/>
                <w:sz w:val="18"/>
                <w:szCs w:val="18"/>
              </w:rPr>
            </w:pPr>
            <w:r>
              <w:rPr>
                <w:rStyle w:val="25"/>
                <w:rFonts w:hint="eastAsia" w:ascii="宋体" w:hAnsi="宋体" w:eastAsia="宋体" w:cstheme="minorEastAsia"/>
                <w:i w:val="0"/>
                <w:sz w:val="18"/>
                <w:szCs w:val="18"/>
              </w:rPr>
              <w:t>孔位偏差</w:t>
            </w:r>
          </w:p>
        </w:tc>
        <w:tc>
          <w:tcPr>
            <w:tcW w:w="1999" w:type="dxa"/>
            <w:tcBorders>
              <w:top w:val="single" w:color="auto" w:sz="4" w:space="0"/>
              <w:left w:val="single" w:color="auto" w:sz="4" w:space="0"/>
              <w:bottom w:val="single" w:color="auto" w:sz="4" w:space="0"/>
              <w:right w:val="single" w:color="auto" w:sz="4" w:space="0"/>
            </w:tcBorders>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±20mm</w:t>
            </w:r>
          </w:p>
        </w:tc>
      </w:tr>
      <w:tr>
        <w:tblPrEx>
          <w:tblBorders>
            <w:top w:val="single" w:color="5B9BD5" w:themeColor="accent1" w:sz="8" w:space="0"/>
            <w:left w:val="none" w:color="auto" w:sz="0" w:space="0"/>
            <w:bottom w:val="single" w:color="5B9BD5" w:themeColor="accent1" w:sz="8" w:space="0"/>
            <w:right w:val="none" w:color="auto" w:sz="0" w:space="0"/>
            <w:insideH w:val="single" w:color="5B9BD5" w:themeColor="accent1" w:sz="8" w:space="0"/>
            <w:insideV w:val="single" w:color="5B9BD5" w:themeColor="accent1" w:sz="8" w:space="0"/>
          </w:tblBorders>
          <w:tblCellMar>
            <w:top w:w="0" w:type="dxa"/>
            <w:left w:w="108" w:type="dxa"/>
            <w:bottom w:w="0" w:type="dxa"/>
            <w:right w:w="108" w:type="dxa"/>
          </w:tblCellMar>
        </w:tblPrEx>
        <w:trPr>
          <w:trHeight w:val="387" w:hRule="exact"/>
          <w:jc w:val="center"/>
        </w:trPr>
        <w:tc>
          <w:tcPr>
            <w:tcW w:w="1620" w:type="dxa"/>
            <w:tcBorders>
              <w:top w:val="single" w:color="auto" w:sz="4" w:space="0"/>
              <w:left w:val="single" w:color="auto" w:sz="4" w:space="0"/>
              <w:bottom w:val="single" w:color="auto" w:sz="4" w:space="0"/>
              <w:right w:val="single" w:color="auto" w:sz="4" w:space="0"/>
            </w:tcBorders>
            <w:noWrap/>
            <w:vAlign w:val="center"/>
          </w:tcPr>
          <w:p>
            <w:pPr>
              <w:spacing w:before="78" w:after="78"/>
              <w:jc w:val="center"/>
              <w:rPr>
                <w:rFonts w:ascii="宋体" w:hAnsi="宋体" w:cstheme="minorEastAsia"/>
                <w:b/>
                <w:bCs w:val="0"/>
                <w:color w:val="000000" w:themeColor="text1"/>
                <w:sz w:val="18"/>
                <w:szCs w:val="18"/>
                <w14:textFill>
                  <w14:solidFill>
                    <w14:schemeClr w14:val="tx1"/>
                  </w14:solidFill>
                </w14:textFill>
              </w:rPr>
            </w:pPr>
            <w:r>
              <w:rPr>
                <w:rFonts w:hint="eastAsia" w:ascii="宋体" w:hAnsi="宋体" w:cstheme="minorEastAsia"/>
                <w:b/>
                <w:bCs/>
                <w:color w:val="000000" w:themeColor="text1"/>
                <w:sz w:val="18"/>
                <w:szCs w:val="18"/>
                <w14:textFill>
                  <w14:solidFill>
                    <w14:schemeClr w14:val="tx1"/>
                  </w14:solidFill>
                </w14:textFill>
              </w:rPr>
              <w:t>2</w:t>
            </w:r>
          </w:p>
        </w:tc>
        <w:tc>
          <w:tcPr>
            <w:tcW w:w="2930" w:type="dxa"/>
            <w:tcBorders>
              <w:top w:val="single" w:color="auto" w:sz="4" w:space="0"/>
              <w:left w:val="single" w:color="auto" w:sz="4" w:space="0"/>
              <w:bottom w:val="single" w:color="auto" w:sz="4" w:space="0"/>
              <w:right w:val="single" w:color="auto" w:sz="4" w:space="0"/>
            </w:tcBorders>
            <w:vAlign w:val="center"/>
          </w:tcPr>
          <w:p>
            <w:pPr>
              <w:spacing w:before="78" w:after="78"/>
              <w:jc w:val="center"/>
              <w:rPr>
                <w:rStyle w:val="25"/>
                <w:rFonts w:ascii="宋体" w:hAnsi="宋体" w:eastAsia="宋体" w:cstheme="minorEastAsia"/>
                <w:i w:val="0"/>
                <w:sz w:val="18"/>
                <w:szCs w:val="18"/>
              </w:rPr>
            </w:pPr>
            <w:r>
              <w:rPr>
                <w:rStyle w:val="25"/>
                <w:rFonts w:hint="eastAsia" w:ascii="宋体" w:hAnsi="宋体" w:eastAsia="宋体" w:cstheme="minorEastAsia"/>
                <w:i w:val="0"/>
                <w:sz w:val="18"/>
                <w:szCs w:val="18"/>
              </w:rPr>
              <w:t>孔距偏差</w:t>
            </w:r>
          </w:p>
        </w:tc>
        <w:tc>
          <w:tcPr>
            <w:tcW w:w="1999" w:type="dxa"/>
            <w:tcBorders>
              <w:top w:val="single" w:color="auto" w:sz="4" w:space="0"/>
              <w:left w:val="single" w:color="auto" w:sz="4" w:space="0"/>
              <w:bottom w:val="single" w:color="auto" w:sz="4" w:space="0"/>
              <w:right w:val="single" w:color="auto" w:sz="4" w:space="0"/>
            </w:tcBorders>
            <w:vAlign w:val="center"/>
          </w:tcPr>
          <w:p>
            <w:pPr>
              <w:spacing w:before="78" w:after="78"/>
              <w:jc w:val="center"/>
              <w:rPr>
                <w:rStyle w:val="25"/>
                <w:rFonts w:ascii="宋体" w:hAnsi="宋体" w:eastAsia="宋体" w:cstheme="minorEastAsia"/>
                <w:i w:val="0"/>
                <w:sz w:val="18"/>
                <w:szCs w:val="18"/>
              </w:rPr>
            </w:pPr>
            <w:r>
              <w:rPr>
                <w:rStyle w:val="25"/>
                <w:rFonts w:hint="eastAsia" w:ascii="宋体" w:hAnsi="宋体" w:eastAsia="宋体" w:cstheme="minorEastAsia"/>
                <w:i w:val="0"/>
                <w:sz w:val="18"/>
                <w:szCs w:val="18"/>
              </w:rPr>
              <w:t>±100mm</w:t>
            </w:r>
          </w:p>
        </w:tc>
      </w:tr>
      <w:tr>
        <w:tblPrEx>
          <w:tblBorders>
            <w:top w:val="single" w:color="5B9BD5" w:themeColor="accent1" w:sz="8" w:space="0"/>
            <w:left w:val="none" w:color="auto" w:sz="0" w:space="0"/>
            <w:bottom w:val="single" w:color="5B9BD5" w:themeColor="accent1" w:sz="8" w:space="0"/>
            <w:right w:val="none" w:color="auto" w:sz="0" w:space="0"/>
            <w:insideH w:val="single" w:color="5B9BD5" w:themeColor="accent1" w:sz="8" w:space="0"/>
            <w:insideV w:val="single" w:color="5B9BD5" w:themeColor="accent1" w:sz="8" w:space="0"/>
          </w:tblBorders>
          <w:tblCellMar>
            <w:top w:w="0" w:type="dxa"/>
            <w:left w:w="108" w:type="dxa"/>
            <w:bottom w:w="0" w:type="dxa"/>
            <w:right w:w="108" w:type="dxa"/>
          </w:tblCellMar>
        </w:tblPrEx>
        <w:trPr>
          <w:trHeight w:val="367" w:hRule="exact"/>
          <w:jc w:val="center"/>
        </w:trPr>
        <w:tc>
          <w:tcPr>
            <w:tcW w:w="1620" w:type="dxa"/>
            <w:tcBorders>
              <w:top w:val="single" w:color="auto" w:sz="4" w:space="0"/>
              <w:left w:val="single" w:color="auto" w:sz="4" w:space="0"/>
              <w:bottom w:val="single" w:color="auto" w:sz="4" w:space="0"/>
              <w:right w:val="single" w:color="auto" w:sz="4" w:space="0"/>
            </w:tcBorders>
            <w:noWrap/>
            <w:vAlign w:val="center"/>
          </w:tcPr>
          <w:p>
            <w:pPr>
              <w:spacing w:before="78" w:after="78"/>
              <w:jc w:val="center"/>
              <w:rPr>
                <w:rFonts w:ascii="宋体" w:hAnsi="宋体" w:cstheme="minorEastAsia"/>
                <w:b/>
                <w:bCs w:val="0"/>
                <w:color w:val="000000" w:themeColor="text1"/>
                <w:sz w:val="18"/>
                <w:szCs w:val="18"/>
                <w14:textFill>
                  <w14:solidFill>
                    <w14:schemeClr w14:val="tx1"/>
                  </w14:solidFill>
                </w14:textFill>
              </w:rPr>
            </w:pPr>
            <w:r>
              <w:rPr>
                <w:rFonts w:hint="eastAsia" w:ascii="宋体" w:hAnsi="宋体" w:cstheme="minorEastAsia"/>
                <w:b/>
                <w:bCs/>
                <w:color w:val="000000" w:themeColor="text1"/>
                <w:sz w:val="18"/>
                <w:szCs w:val="18"/>
                <w14:textFill>
                  <w14:solidFill>
                    <w14:schemeClr w14:val="tx1"/>
                  </w14:solidFill>
                </w14:textFill>
              </w:rPr>
              <w:t>3</w:t>
            </w:r>
          </w:p>
        </w:tc>
        <w:tc>
          <w:tcPr>
            <w:tcW w:w="2930" w:type="dxa"/>
            <w:tcBorders>
              <w:top w:val="single" w:color="auto" w:sz="4" w:space="0"/>
              <w:left w:val="single" w:color="auto" w:sz="4" w:space="0"/>
              <w:bottom w:val="single" w:color="auto" w:sz="4" w:space="0"/>
              <w:right w:val="single" w:color="auto" w:sz="4" w:space="0"/>
            </w:tcBorders>
            <w:vAlign w:val="center"/>
          </w:tcPr>
          <w:p>
            <w:pPr>
              <w:spacing w:before="78" w:after="78"/>
              <w:jc w:val="center"/>
              <w:rPr>
                <w:rStyle w:val="25"/>
                <w:rFonts w:ascii="宋体" w:hAnsi="宋体" w:eastAsia="宋体" w:cstheme="minorEastAsia"/>
                <w:i w:val="0"/>
                <w:sz w:val="18"/>
                <w:szCs w:val="18"/>
              </w:rPr>
            </w:pPr>
            <w:r>
              <w:rPr>
                <w:rStyle w:val="25"/>
                <w:rFonts w:hint="eastAsia" w:ascii="宋体" w:hAnsi="宋体" w:eastAsia="宋体" w:cstheme="minorEastAsia"/>
                <w:i w:val="0"/>
                <w:sz w:val="18"/>
                <w:szCs w:val="18"/>
              </w:rPr>
              <w:t>钻杆垂直度偏差</w:t>
            </w:r>
          </w:p>
        </w:tc>
        <w:tc>
          <w:tcPr>
            <w:tcW w:w="1999" w:type="dxa"/>
            <w:tcBorders>
              <w:top w:val="single" w:color="auto" w:sz="4" w:space="0"/>
              <w:left w:val="single" w:color="auto" w:sz="4" w:space="0"/>
              <w:bottom w:val="single" w:color="auto" w:sz="4" w:space="0"/>
              <w:right w:val="single" w:color="auto" w:sz="4" w:space="0"/>
            </w:tcBorders>
            <w:vAlign w:val="center"/>
          </w:tcPr>
          <w:p>
            <w:pPr>
              <w:spacing w:before="78" w:after="78"/>
              <w:jc w:val="center"/>
              <w:rPr>
                <w:rStyle w:val="25"/>
                <w:rFonts w:ascii="宋体" w:hAnsi="宋体" w:eastAsia="宋体" w:cstheme="minorEastAsia"/>
                <w:i w:val="0"/>
                <w:sz w:val="18"/>
                <w:szCs w:val="18"/>
              </w:rPr>
            </w:pPr>
            <w:r>
              <w:rPr>
                <w:rStyle w:val="25"/>
                <w:rFonts w:hint="eastAsia" w:ascii="宋体" w:hAnsi="宋体" w:eastAsia="宋体" w:cstheme="minorEastAsia"/>
                <w:i w:val="0"/>
                <w:sz w:val="18"/>
                <w:szCs w:val="18"/>
              </w:rPr>
              <w:t>＜1%</w:t>
            </w:r>
          </w:p>
        </w:tc>
      </w:tr>
      <w:tr>
        <w:tblPrEx>
          <w:tblBorders>
            <w:top w:val="single" w:color="5B9BD5" w:themeColor="accent1" w:sz="8" w:space="0"/>
            <w:left w:val="none" w:color="auto" w:sz="0" w:space="0"/>
            <w:bottom w:val="single" w:color="5B9BD5" w:themeColor="accent1" w:sz="8" w:space="0"/>
            <w:right w:val="none" w:color="auto" w:sz="0" w:space="0"/>
            <w:insideH w:val="single" w:color="5B9BD5" w:themeColor="accent1" w:sz="8" w:space="0"/>
            <w:insideV w:val="single" w:color="5B9BD5" w:themeColor="accent1" w:sz="8" w:space="0"/>
          </w:tblBorders>
          <w:tblCellMar>
            <w:top w:w="0" w:type="dxa"/>
            <w:left w:w="108" w:type="dxa"/>
            <w:bottom w:w="0" w:type="dxa"/>
            <w:right w:w="108" w:type="dxa"/>
          </w:tblCellMar>
        </w:tblPrEx>
        <w:trPr>
          <w:trHeight w:val="427" w:hRule="exact"/>
          <w:jc w:val="center"/>
        </w:trPr>
        <w:tc>
          <w:tcPr>
            <w:tcW w:w="1620" w:type="dxa"/>
            <w:tcBorders>
              <w:top w:val="single" w:color="auto" w:sz="4" w:space="0"/>
              <w:left w:val="single" w:color="auto" w:sz="4" w:space="0"/>
              <w:bottom w:val="single" w:color="auto" w:sz="4" w:space="0"/>
              <w:right w:val="single" w:color="auto" w:sz="4" w:space="0"/>
            </w:tcBorders>
            <w:noWrap/>
            <w:vAlign w:val="center"/>
          </w:tcPr>
          <w:p>
            <w:pPr>
              <w:spacing w:before="78" w:after="78"/>
              <w:jc w:val="center"/>
              <w:rPr>
                <w:rFonts w:ascii="宋体" w:hAnsi="宋体" w:cstheme="minorEastAsia"/>
                <w:b/>
                <w:bCs w:val="0"/>
                <w:color w:val="000000" w:themeColor="text1"/>
                <w:sz w:val="18"/>
                <w:szCs w:val="18"/>
                <w14:textFill>
                  <w14:solidFill>
                    <w14:schemeClr w14:val="tx1"/>
                  </w14:solidFill>
                </w14:textFill>
              </w:rPr>
            </w:pPr>
            <w:r>
              <w:rPr>
                <w:rFonts w:hint="eastAsia" w:ascii="宋体" w:hAnsi="宋体" w:cstheme="minorEastAsia"/>
                <w:b/>
                <w:bCs/>
                <w:color w:val="000000" w:themeColor="text1"/>
                <w:sz w:val="18"/>
                <w:szCs w:val="18"/>
                <w14:textFill>
                  <w14:solidFill>
                    <w14:schemeClr w14:val="tx1"/>
                  </w14:solidFill>
                </w14:textFill>
              </w:rPr>
              <w:t>4</w:t>
            </w:r>
          </w:p>
        </w:tc>
        <w:tc>
          <w:tcPr>
            <w:tcW w:w="2930" w:type="dxa"/>
            <w:tcBorders>
              <w:top w:val="single" w:color="auto" w:sz="4" w:space="0"/>
              <w:left w:val="single" w:color="auto" w:sz="4" w:space="0"/>
              <w:bottom w:val="single" w:color="auto" w:sz="4" w:space="0"/>
              <w:right w:val="single" w:color="auto" w:sz="4" w:space="0"/>
            </w:tcBorders>
            <w:vAlign w:val="center"/>
          </w:tcPr>
          <w:p>
            <w:pPr>
              <w:spacing w:before="78" w:after="78"/>
              <w:jc w:val="center"/>
              <w:rPr>
                <w:rStyle w:val="25"/>
                <w:rFonts w:ascii="宋体" w:hAnsi="宋体" w:eastAsia="宋体" w:cstheme="minorEastAsia"/>
                <w:i w:val="0"/>
                <w:sz w:val="18"/>
                <w:szCs w:val="18"/>
              </w:rPr>
            </w:pPr>
            <w:r>
              <w:rPr>
                <w:rStyle w:val="25"/>
                <w:rFonts w:hint="eastAsia" w:ascii="宋体" w:hAnsi="宋体" w:eastAsia="宋体" w:cstheme="minorEastAsia"/>
                <w:i w:val="0"/>
                <w:sz w:val="18"/>
                <w:szCs w:val="18"/>
              </w:rPr>
              <w:t>注浆压力偏差</w:t>
            </w:r>
          </w:p>
        </w:tc>
        <w:tc>
          <w:tcPr>
            <w:tcW w:w="1999" w:type="dxa"/>
            <w:tcBorders>
              <w:top w:val="single" w:color="auto" w:sz="4" w:space="0"/>
              <w:left w:val="single" w:color="auto" w:sz="4" w:space="0"/>
              <w:bottom w:val="single" w:color="auto" w:sz="4" w:space="0"/>
              <w:right w:val="single" w:color="auto" w:sz="4" w:space="0"/>
            </w:tcBorders>
            <w:vAlign w:val="center"/>
          </w:tcPr>
          <w:p>
            <w:pPr>
              <w:spacing w:before="78" w:after="78"/>
              <w:jc w:val="center"/>
              <w:rPr>
                <w:rStyle w:val="25"/>
                <w:rFonts w:ascii="宋体" w:hAnsi="宋体" w:eastAsia="宋体" w:cstheme="minorEastAsia"/>
                <w:i w:val="0"/>
                <w:sz w:val="18"/>
                <w:szCs w:val="18"/>
              </w:rPr>
            </w:pPr>
            <w:r>
              <w:rPr>
                <w:rStyle w:val="25"/>
                <w:rFonts w:hint="eastAsia" w:ascii="宋体" w:hAnsi="宋体" w:eastAsia="宋体" w:cstheme="minorEastAsia"/>
                <w:i w:val="0"/>
                <w:sz w:val="18"/>
                <w:szCs w:val="18"/>
              </w:rPr>
              <w:t>±5%</w:t>
            </w:r>
          </w:p>
        </w:tc>
      </w:tr>
      <w:tr>
        <w:tblPrEx>
          <w:tblBorders>
            <w:top w:val="single" w:color="5B9BD5" w:themeColor="accent1" w:sz="8" w:space="0"/>
            <w:left w:val="none" w:color="auto" w:sz="0" w:space="0"/>
            <w:bottom w:val="single" w:color="5B9BD5" w:themeColor="accent1" w:sz="8" w:space="0"/>
            <w:right w:val="none" w:color="auto" w:sz="0" w:space="0"/>
            <w:insideH w:val="single" w:color="5B9BD5" w:themeColor="accent1" w:sz="8" w:space="0"/>
            <w:insideV w:val="single" w:color="5B9BD5" w:themeColor="accent1" w:sz="8" w:space="0"/>
          </w:tblBorders>
          <w:tblCellMar>
            <w:top w:w="0" w:type="dxa"/>
            <w:left w:w="108" w:type="dxa"/>
            <w:bottom w:w="0" w:type="dxa"/>
            <w:right w:w="108" w:type="dxa"/>
          </w:tblCellMar>
        </w:tblPrEx>
        <w:trPr>
          <w:trHeight w:val="417" w:hRule="exact"/>
          <w:jc w:val="center"/>
        </w:trPr>
        <w:tc>
          <w:tcPr>
            <w:tcW w:w="1620" w:type="dxa"/>
            <w:tcBorders>
              <w:top w:val="single" w:color="auto" w:sz="4" w:space="0"/>
              <w:left w:val="single" w:color="auto" w:sz="4" w:space="0"/>
              <w:bottom w:val="single" w:color="auto" w:sz="4" w:space="0"/>
              <w:right w:val="single" w:color="auto" w:sz="4" w:space="0"/>
            </w:tcBorders>
            <w:noWrap/>
            <w:vAlign w:val="center"/>
          </w:tcPr>
          <w:p>
            <w:pPr>
              <w:spacing w:before="78" w:after="78"/>
              <w:jc w:val="center"/>
              <w:rPr>
                <w:rFonts w:ascii="宋体" w:hAnsi="宋体" w:cstheme="minorEastAsia"/>
                <w:b/>
                <w:bCs w:val="0"/>
                <w:color w:val="000000" w:themeColor="text1"/>
                <w:sz w:val="18"/>
                <w:szCs w:val="18"/>
                <w14:textFill>
                  <w14:solidFill>
                    <w14:schemeClr w14:val="tx1"/>
                  </w14:solidFill>
                </w14:textFill>
              </w:rPr>
            </w:pPr>
            <w:r>
              <w:rPr>
                <w:rFonts w:hint="eastAsia" w:ascii="宋体" w:hAnsi="宋体" w:cstheme="minorEastAsia"/>
                <w:b/>
                <w:bCs/>
                <w:color w:val="000000" w:themeColor="text1"/>
                <w:sz w:val="18"/>
                <w:szCs w:val="18"/>
                <w14:textFill>
                  <w14:solidFill>
                    <w14:schemeClr w14:val="tx1"/>
                  </w14:solidFill>
                </w14:textFill>
              </w:rPr>
              <w:t>5</w:t>
            </w:r>
          </w:p>
        </w:tc>
        <w:tc>
          <w:tcPr>
            <w:tcW w:w="2930" w:type="dxa"/>
            <w:tcBorders>
              <w:top w:val="single" w:color="auto" w:sz="4" w:space="0"/>
              <w:left w:val="single" w:color="auto" w:sz="4" w:space="0"/>
              <w:bottom w:val="single" w:color="auto" w:sz="4" w:space="0"/>
              <w:right w:val="single" w:color="auto" w:sz="4" w:space="0"/>
            </w:tcBorders>
            <w:vAlign w:val="center"/>
          </w:tcPr>
          <w:p>
            <w:pPr>
              <w:spacing w:before="78" w:after="78"/>
              <w:jc w:val="center"/>
              <w:rPr>
                <w:rStyle w:val="25"/>
                <w:rFonts w:ascii="宋体" w:hAnsi="宋体" w:eastAsia="宋体" w:cstheme="minorEastAsia"/>
                <w:i w:val="0"/>
                <w:sz w:val="18"/>
                <w:szCs w:val="18"/>
              </w:rPr>
            </w:pPr>
            <w:r>
              <w:rPr>
                <w:rStyle w:val="25"/>
                <w:rFonts w:hint="eastAsia" w:ascii="宋体" w:hAnsi="宋体" w:eastAsia="宋体" w:cstheme="minorEastAsia"/>
                <w:i w:val="0"/>
                <w:sz w:val="18"/>
                <w:szCs w:val="18"/>
              </w:rPr>
              <w:t>注浆量偏差</w:t>
            </w:r>
          </w:p>
        </w:tc>
        <w:tc>
          <w:tcPr>
            <w:tcW w:w="1999" w:type="dxa"/>
            <w:tcBorders>
              <w:top w:val="single" w:color="auto" w:sz="4" w:space="0"/>
              <w:left w:val="single" w:color="auto" w:sz="4" w:space="0"/>
              <w:bottom w:val="single" w:color="auto" w:sz="4" w:space="0"/>
              <w:right w:val="single" w:color="auto" w:sz="4" w:space="0"/>
            </w:tcBorders>
            <w:vAlign w:val="center"/>
          </w:tcPr>
          <w:p>
            <w:pPr>
              <w:spacing w:before="78" w:after="78"/>
              <w:jc w:val="center"/>
              <w:rPr>
                <w:rStyle w:val="25"/>
                <w:rFonts w:ascii="宋体" w:hAnsi="宋体" w:eastAsia="宋体" w:cstheme="minorEastAsia"/>
                <w:i w:val="0"/>
                <w:sz w:val="18"/>
                <w:szCs w:val="18"/>
              </w:rPr>
            </w:pPr>
            <w:r>
              <w:rPr>
                <w:rStyle w:val="25"/>
                <w:rFonts w:hint="eastAsia" w:ascii="宋体" w:hAnsi="宋体" w:eastAsia="宋体" w:cstheme="minorEastAsia"/>
                <w:i w:val="0"/>
                <w:sz w:val="18"/>
                <w:szCs w:val="18"/>
              </w:rPr>
              <w:t>10%</w:t>
            </w:r>
          </w:p>
        </w:tc>
      </w:tr>
      <w:tr>
        <w:tblPrEx>
          <w:tblBorders>
            <w:top w:val="single" w:color="5B9BD5" w:themeColor="accent1" w:sz="8" w:space="0"/>
            <w:left w:val="none" w:color="auto" w:sz="0" w:space="0"/>
            <w:bottom w:val="single" w:color="5B9BD5" w:themeColor="accent1" w:sz="8" w:space="0"/>
            <w:right w:val="none" w:color="auto" w:sz="0" w:space="0"/>
            <w:insideH w:val="single" w:color="5B9BD5" w:themeColor="accent1" w:sz="8" w:space="0"/>
            <w:insideV w:val="single" w:color="5B9BD5" w:themeColor="accent1" w:sz="8" w:space="0"/>
          </w:tblBorders>
          <w:tblCellMar>
            <w:top w:w="0" w:type="dxa"/>
            <w:left w:w="108" w:type="dxa"/>
            <w:bottom w:w="0" w:type="dxa"/>
            <w:right w:w="108" w:type="dxa"/>
          </w:tblCellMar>
        </w:tblPrEx>
        <w:trPr>
          <w:trHeight w:val="407" w:hRule="exact"/>
          <w:jc w:val="center"/>
        </w:trPr>
        <w:tc>
          <w:tcPr>
            <w:tcW w:w="1620" w:type="dxa"/>
            <w:tcBorders>
              <w:top w:val="single" w:color="auto" w:sz="4" w:space="0"/>
              <w:left w:val="single" w:color="auto" w:sz="4" w:space="0"/>
              <w:bottom w:val="single" w:color="auto" w:sz="4" w:space="0"/>
              <w:right w:val="single" w:color="auto" w:sz="4" w:space="0"/>
            </w:tcBorders>
            <w:noWrap/>
            <w:vAlign w:val="center"/>
          </w:tcPr>
          <w:p>
            <w:pPr>
              <w:spacing w:before="78" w:after="78"/>
              <w:jc w:val="center"/>
              <w:rPr>
                <w:rFonts w:ascii="宋体" w:hAnsi="宋体" w:cstheme="minorEastAsia"/>
                <w:b/>
                <w:bCs w:val="0"/>
                <w:color w:val="000000" w:themeColor="text1"/>
                <w:szCs w:val="21"/>
                <w14:textFill>
                  <w14:solidFill>
                    <w14:schemeClr w14:val="tx1"/>
                  </w14:solidFill>
                </w14:textFill>
              </w:rPr>
            </w:pPr>
            <w:r>
              <w:rPr>
                <w:rFonts w:hint="eastAsia" w:ascii="宋体" w:hAnsi="宋体" w:cstheme="minorEastAsia"/>
                <w:b/>
                <w:bCs/>
                <w:color w:val="000000" w:themeColor="text1"/>
                <w:sz w:val="18"/>
                <w:szCs w:val="18"/>
                <w14:textFill>
                  <w14:solidFill>
                    <w14:schemeClr w14:val="tx1"/>
                  </w14:solidFill>
                </w14:textFill>
              </w:rPr>
              <w:t>6</w:t>
            </w:r>
          </w:p>
        </w:tc>
        <w:tc>
          <w:tcPr>
            <w:tcW w:w="2930" w:type="dxa"/>
            <w:tcBorders>
              <w:top w:val="single" w:color="auto" w:sz="4" w:space="0"/>
              <w:left w:val="single" w:color="auto" w:sz="4" w:space="0"/>
              <w:bottom w:val="single" w:color="auto" w:sz="4" w:space="0"/>
              <w:right w:val="single" w:color="auto" w:sz="4" w:space="0"/>
            </w:tcBorders>
            <w:vAlign w:val="center"/>
          </w:tcPr>
          <w:p>
            <w:pPr>
              <w:spacing w:before="78" w:after="78"/>
              <w:jc w:val="center"/>
              <w:rPr>
                <w:rFonts w:ascii="宋体" w:hAnsi="宋体"/>
                <w:iCs/>
                <w:color w:val="000000" w:themeColor="text1"/>
                <w:szCs w:val="21"/>
                <w14:textFill>
                  <w14:solidFill>
                    <w14:schemeClr w14:val="tx1"/>
                  </w14:solidFill>
                </w14:textFill>
              </w:rPr>
            </w:pPr>
            <w:r>
              <w:rPr>
                <w:rStyle w:val="25"/>
                <w:rFonts w:hint="eastAsia" w:ascii="宋体" w:hAnsi="宋体" w:cstheme="minorEastAsia"/>
                <w:i w:val="0"/>
                <w:iCs w:val="0"/>
                <w:sz w:val="18"/>
                <w:szCs w:val="18"/>
              </w:rPr>
              <w:t>提升幅度偏差</w:t>
            </w:r>
          </w:p>
        </w:tc>
        <w:tc>
          <w:tcPr>
            <w:tcW w:w="1999" w:type="dxa"/>
            <w:tcBorders>
              <w:top w:val="single" w:color="auto" w:sz="4" w:space="0"/>
              <w:left w:val="single" w:color="auto" w:sz="4" w:space="0"/>
              <w:bottom w:val="single" w:color="auto" w:sz="4" w:space="0"/>
              <w:right w:val="single" w:color="auto" w:sz="4" w:space="0"/>
            </w:tcBorders>
            <w:vAlign w:val="center"/>
          </w:tcPr>
          <w:p>
            <w:pPr>
              <w:spacing w:before="78" w:after="78"/>
              <w:jc w:val="center"/>
              <w:rPr>
                <w:rFonts w:ascii="宋体" w:hAnsi="宋体"/>
                <w:iCs/>
                <w:color w:val="000000" w:themeColor="text1"/>
                <w:szCs w:val="21"/>
                <w14:textFill>
                  <w14:solidFill>
                    <w14:schemeClr w14:val="tx1"/>
                  </w14:solidFill>
                </w14:textFill>
              </w:rPr>
            </w:pPr>
            <w:r>
              <w:rPr>
                <w:rStyle w:val="25"/>
                <w:rFonts w:hint="eastAsia" w:ascii="宋体" w:hAnsi="宋体" w:cstheme="minorEastAsia"/>
                <w:i w:val="0"/>
                <w:iCs w:val="0"/>
                <w:sz w:val="18"/>
                <w:szCs w:val="18"/>
              </w:rPr>
              <w:t>±5mm</w:t>
            </w:r>
          </w:p>
        </w:tc>
      </w:tr>
    </w:tbl>
    <w:p>
      <w:pPr>
        <w:spacing w:before="78" w:after="78"/>
        <w:ind w:firstLine="420" w:firstLineChars="200"/>
        <w:rPr>
          <w:rFonts w:ascii="宋体" w:hAnsi="宋体" w:cstheme="minorEastAsia"/>
          <w:color w:val="000000" w:themeColor="text1"/>
          <w14:textFill>
            <w14:solidFill>
              <w14:schemeClr w14:val="tx1"/>
            </w14:solidFill>
          </w14:textFill>
        </w:rPr>
      </w:pPr>
    </w:p>
    <w:p>
      <w:pPr>
        <w:numPr>
          <w:ilvl w:val="255"/>
          <w:numId w:val="0"/>
        </w:numPr>
        <w:tabs>
          <w:tab w:val="left" w:pos="576"/>
        </w:tabs>
        <w:adjustRightInd w:val="0"/>
        <w:snapToGrid w:val="0"/>
        <w:spacing w:before="312" w:beforeLines="100" w:after="312" w:afterLines="100"/>
        <w:jc w:val="center"/>
        <w:outlineLvl w:val="1"/>
        <w:rPr>
          <w:rFonts w:hAnsi="宋体" w:cstheme="minorEastAsia"/>
          <w:color w:val="000000" w:themeColor="text1"/>
          <w:szCs w:val="21"/>
          <w14:textFill>
            <w14:solidFill>
              <w14:schemeClr w14:val="tx1"/>
            </w14:solidFill>
          </w14:textFill>
        </w:rPr>
      </w:pPr>
      <w:bookmarkStart w:id="152" w:name="_Toc30147"/>
      <w:bookmarkStart w:id="153" w:name="_Toc9355"/>
      <w:bookmarkStart w:id="154" w:name="_Toc9642"/>
      <w:bookmarkStart w:id="155" w:name="_Toc10283"/>
      <w:bookmarkStart w:id="156" w:name="_Toc25531"/>
      <w:bookmarkStart w:id="157" w:name="_Toc20108"/>
      <w:r>
        <w:rPr>
          <w:rFonts w:hint="eastAsia" w:hAnsi="宋体"/>
          <w:b/>
          <w:color w:val="000000" w:themeColor="text1"/>
          <w:sz w:val="24"/>
          <w14:textFill>
            <w14:solidFill>
              <w14:schemeClr w14:val="tx1"/>
            </w14:solidFill>
          </w14:textFill>
        </w:rPr>
        <w:t>7.6  水平旋喷注浆加固</w:t>
      </w:r>
      <w:bookmarkEnd w:id="152"/>
      <w:bookmarkEnd w:id="153"/>
      <w:bookmarkEnd w:id="154"/>
      <w:bookmarkEnd w:id="155"/>
      <w:bookmarkEnd w:id="156"/>
      <w:bookmarkEnd w:id="157"/>
    </w:p>
    <w:p>
      <w:p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7.6.1 </w:t>
      </w:r>
      <w:r>
        <w:rPr>
          <w:rFonts w:hint="eastAsia" w:hAnsi="宋体"/>
          <w:color w:val="000000" w:themeColor="text1"/>
          <w:szCs w:val="21"/>
          <w14:textFill>
            <w14:solidFill>
              <w14:schemeClr w14:val="tx1"/>
            </w14:solidFill>
          </w14:textFill>
        </w:rPr>
        <w:t>暗挖隧道近接、穿越重要道路、管线或既有构筑物，且穿越地层为软土、砂层时，宜采用水平旋喷桩注浆加固超前预支护。</w:t>
      </w:r>
    </w:p>
    <w:p>
      <w:pPr>
        <w:numPr>
          <w:ilvl w:val="255"/>
          <w:numId w:val="0"/>
        </w:numPr>
        <w:snapToGrid w:val="0"/>
        <w:spacing w:line="360" w:lineRule="auto"/>
        <w:jc w:val="left"/>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7</w:t>
      </w:r>
      <w:r>
        <w:rPr>
          <w:rFonts w:hAnsi="宋体"/>
          <w:b/>
          <w:color w:val="000000" w:themeColor="text1"/>
          <w:szCs w:val="21"/>
          <w14:textFill>
            <w14:solidFill>
              <w14:schemeClr w14:val="tx1"/>
            </w14:solidFill>
          </w14:textFill>
        </w:rPr>
        <w:t>.</w:t>
      </w:r>
      <w:r>
        <w:rPr>
          <w:rFonts w:hint="eastAsia" w:hAnsi="宋体"/>
          <w:b/>
          <w:color w:val="000000" w:themeColor="text1"/>
          <w:szCs w:val="21"/>
          <w14:textFill>
            <w14:solidFill>
              <w14:schemeClr w14:val="tx1"/>
            </w14:solidFill>
          </w14:textFill>
        </w:rPr>
        <w:t>6</w:t>
      </w:r>
      <w:r>
        <w:rPr>
          <w:rFonts w:hAnsi="宋体"/>
          <w:b/>
          <w:color w:val="000000" w:themeColor="text1"/>
          <w:szCs w:val="21"/>
          <w14:textFill>
            <w14:solidFill>
              <w14:schemeClr w14:val="tx1"/>
            </w14:solidFill>
          </w14:textFill>
        </w:rPr>
        <w:t>.2</w:t>
      </w:r>
      <w:r>
        <w:rPr>
          <w:rFonts w:hint="eastAsia" w:hAnsi="宋体"/>
          <w:b/>
          <w:color w:val="000000" w:themeColor="text1"/>
          <w:szCs w:val="21"/>
          <w14:textFill>
            <w14:solidFill>
              <w14:schemeClr w14:val="tx1"/>
            </w14:solidFill>
          </w14:textFill>
        </w:rPr>
        <w:t xml:space="preserve"> </w:t>
      </w:r>
      <w:r>
        <w:rPr>
          <w:rFonts w:hint="eastAsia" w:ascii="宋体" w:hAnsi="宋体" w:cs="宋体"/>
          <w:color w:val="000000" w:themeColor="text1"/>
          <w14:textFill>
            <w14:solidFill>
              <w14:schemeClr w14:val="tx1"/>
            </w14:solidFill>
          </w14:textFill>
        </w:rPr>
        <w:t>隧道旋喷注浆加固宜与旋喷注浆止水相结合，施工应符合本规程第</w:t>
      </w:r>
      <w:r>
        <w:rPr>
          <w:rFonts w:hint="eastAsia" w:hAnsi="宋体"/>
          <w:b/>
          <w:color w:val="000000" w:themeColor="text1"/>
          <w:szCs w:val="21"/>
          <w14:textFill>
            <w14:solidFill>
              <w14:schemeClr w14:val="tx1"/>
            </w14:solidFill>
          </w14:textFill>
        </w:rPr>
        <w:t>6.4</w:t>
      </w:r>
      <w:r>
        <w:rPr>
          <w:rFonts w:hint="eastAsia" w:ascii="宋体" w:hAnsi="宋体" w:cs="宋体"/>
          <w:color w:val="000000" w:themeColor="text1"/>
          <w14:textFill>
            <w14:solidFill>
              <w14:schemeClr w14:val="tx1"/>
            </w14:solidFill>
          </w14:textFill>
        </w:rPr>
        <w:t>节的规定。</w:t>
      </w:r>
    </w:p>
    <w:p>
      <w:pPr>
        <w:numPr>
          <w:ilvl w:val="255"/>
          <w:numId w:val="0"/>
        </w:numPr>
        <w:jc w:val="left"/>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br w:type="page"/>
      </w:r>
    </w:p>
    <w:p>
      <w:pPr>
        <w:numPr>
          <w:ilvl w:val="255"/>
          <w:numId w:val="0"/>
        </w:numPr>
        <w:snapToGrid w:val="0"/>
        <w:spacing w:line="360" w:lineRule="auto"/>
        <w:jc w:val="left"/>
        <w:rPr>
          <w:rFonts w:ascii="宋体" w:hAnsi="宋体" w:cs="宋体"/>
          <w:color w:val="000000" w:themeColor="text1"/>
          <w14:textFill>
            <w14:solidFill>
              <w14:schemeClr w14:val="tx1"/>
            </w14:solidFill>
          </w14:textFill>
        </w:rPr>
      </w:pPr>
    </w:p>
    <w:p>
      <w:pPr>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158" w:name="_Toc27684"/>
      <w:bookmarkStart w:id="159" w:name="_Toc13395"/>
      <w:bookmarkStart w:id="160" w:name="_Toc10322"/>
      <w:bookmarkStart w:id="161" w:name="_Toc24783"/>
      <w:bookmarkStart w:id="162" w:name="_Toc2280"/>
      <w:bookmarkStart w:id="163" w:name="_Toc21244"/>
      <w:r>
        <w:rPr>
          <w:rFonts w:hint="eastAsia"/>
          <w:b/>
          <w:color w:val="000000" w:themeColor="text1"/>
          <w:sz w:val="28"/>
          <w:szCs w:val="28"/>
          <w14:textFill>
            <w14:solidFill>
              <w14:schemeClr w14:val="tx1"/>
            </w14:solidFill>
          </w14:textFill>
        </w:rPr>
        <w:t>8  原材料和构配件</w:t>
      </w:r>
      <w:bookmarkEnd w:id="158"/>
      <w:bookmarkEnd w:id="159"/>
      <w:bookmarkEnd w:id="160"/>
      <w:bookmarkEnd w:id="161"/>
      <w:bookmarkEnd w:id="162"/>
      <w:bookmarkEnd w:id="163"/>
    </w:p>
    <w:p>
      <w:pPr>
        <w:pStyle w:val="22"/>
        <w:numPr>
          <w:ilvl w:val="255"/>
          <w:numId w:val="0"/>
        </w:num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164" w:name="_Toc1682"/>
      <w:bookmarkStart w:id="165" w:name="_Toc10236"/>
      <w:bookmarkStart w:id="166" w:name="_Toc12091"/>
      <w:bookmarkStart w:id="167" w:name="_Toc29248"/>
      <w:bookmarkStart w:id="168" w:name="_Toc396"/>
      <w:bookmarkStart w:id="169" w:name="_Toc14252"/>
      <w:r>
        <w:rPr>
          <w:rFonts w:hint="eastAsia" w:hAnsi="宋体"/>
          <w:b/>
          <w:color w:val="000000" w:themeColor="text1"/>
          <w:sz w:val="24"/>
          <w14:textFill>
            <w14:solidFill>
              <w14:schemeClr w14:val="tx1"/>
            </w14:solidFill>
          </w14:textFill>
        </w:rPr>
        <w:t>8.1  一般规定</w:t>
      </w:r>
      <w:bookmarkEnd w:id="164"/>
      <w:bookmarkEnd w:id="165"/>
      <w:bookmarkEnd w:id="166"/>
      <w:bookmarkEnd w:id="167"/>
      <w:bookmarkEnd w:id="168"/>
      <w:bookmarkEnd w:id="169"/>
    </w:p>
    <w:p>
      <w:pPr>
        <w:numPr>
          <w:ilvl w:val="255"/>
          <w:numId w:val="0"/>
        </w:numPr>
        <w:spacing w:line="360" w:lineRule="auto"/>
        <w:jc w:val="left"/>
        <w:outlineLvl w:val="1"/>
        <w:rPr>
          <w:color w:val="000000" w:themeColor="text1"/>
          <w14:textFill>
            <w14:solidFill>
              <w14:schemeClr w14:val="tx1"/>
            </w14:solidFill>
          </w14:textFill>
        </w:rPr>
      </w:pPr>
      <w:bookmarkStart w:id="170" w:name="_Toc10133"/>
      <w:r>
        <w:rPr>
          <w:rFonts w:hAnsi="宋体"/>
          <w:b/>
          <w:bCs/>
          <w:color w:val="000000" w:themeColor="text1"/>
          <w:szCs w:val="21"/>
          <w14:textFill>
            <w14:solidFill>
              <w14:schemeClr w14:val="tx1"/>
            </w14:solidFill>
          </w14:textFill>
        </w:rPr>
        <w:t xml:space="preserve">8.1.1 </w:t>
      </w:r>
      <w:r>
        <w:rPr>
          <w:color w:val="000000" w:themeColor="text1"/>
          <w14:textFill>
            <w14:solidFill>
              <w14:schemeClr w14:val="tx1"/>
            </w14:solidFill>
          </w14:textFill>
        </w:rPr>
        <w:t>本章适用于轨道交通浅埋暗挖工程原材料、构配件</w:t>
      </w:r>
      <w:r>
        <w:rPr>
          <w:rFonts w:hint="eastAsia"/>
          <w:color w:val="000000" w:themeColor="text1"/>
          <w14:textFill>
            <w14:solidFill>
              <w14:schemeClr w14:val="tx1"/>
            </w14:solidFill>
          </w14:textFill>
        </w:rPr>
        <w:t>的检验、加工和制作</w:t>
      </w:r>
      <w:r>
        <w:rPr>
          <w:color w:val="000000" w:themeColor="text1"/>
          <w14:textFill>
            <w14:solidFill>
              <w14:schemeClr w14:val="tx1"/>
            </w14:solidFill>
          </w14:textFill>
        </w:rPr>
        <w:t>。</w:t>
      </w:r>
      <w:bookmarkEnd w:id="170"/>
    </w:p>
    <w:p>
      <w:pPr>
        <w:numPr>
          <w:ilvl w:val="255"/>
          <w:numId w:val="0"/>
        </w:numPr>
        <w:spacing w:line="360" w:lineRule="auto"/>
        <w:jc w:val="left"/>
        <w:outlineLvl w:val="1"/>
        <w:rPr>
          <w:color w:val="000000" w:themeColor="text1"/>
          <w14:textFill>
            <w14:solidFill>
              <w14:schemeClr w14:val="tx1"/>
            </w14:solidFill>
          </w14:textFill>
        </w:rPr>
      </w:pPr>
      <w:bookmarkStart w:id="171" w:name="_Toc12534"/>
      <w:r>
        <w:rPr>
          <w:rFonts w:hAnsi="宋体"/>
          <w:b/>
          <w:bCs/>
          <w:color w:val="000000" w:themeColor="text1"/>
          <w:szCs w:val="21"/>
          <w14:textFill>
            <w14:solidFill>
              <w14:schemeClr w14:val="tx1"/>
            </w14:solidFill>
          </w14:textFill>
        </w:rPr>
        <w:t xml:space="preserve">8.1.2 </w:t>
      </w:r>
      <w:r>
        <w:rPr>
          <w:color w:val="000000" w:themeColor="text1"/>
          <w14:textFill>
            <w14:solidFill>
              <w14:schemeClr w14:val="tx1"/>
            </w14:solidFill>
          </w14:textFill>
        </w:rPr>
        <w:t>钢筋混凝土结构所用的钢筋、混凝土、型钢应符合现行国家标准的规定。</w:t>
      </w:r>
      <w:bookmarkEnd w:id="171"/>
    </w:p>
    <w:p>
      <w:pPr>
        <w:numPr>
          <w:ilvl w:val="255"/>
          <w:numId w:val="0"/>
        </w:numPr>
        <w:spacing w:line="360" w:lineRule="auto"/>
        <w:jc w:val="left"/>
        <w:outlineLvl w:val="1"/>
        <w:rPr>
          <w:color w:val="000000" w:themeColor="text1"/>
          <w14:textFill>
            <w14:solidFill>
              <w14:schemeClr w14:val="tx1"/>
            </w14:solidFill>
          </w14:textFill>
        </w:rPr>
      </w:pPr>
      <w:bookmarkStart w:id="172" w:name="_Toc19776"/>
      <w:r>
        <w:rPr>
          <w:rFonts w:hAnsi="宋体"/>
          <w:b/>
          <w:bCs/>
          <w:color w:val="000000" w:themeColor="text1"/>
          <w:szCs w:val="21"/>
          <w14:textFill>
            <w14:solidFill>
              <w14:schemeClr w14:val="tx1"/>
            </w14:solidFill>
          </w14:textFill>
        </w:rPr>
        <w:t>8.1.3</w:t>
      </w:r>
      <w:r>
        <w:rPr>
          <w:color w:val="000000" w:themeColor="text1"/>
          <w14:textFill>
            <w14:solidFill>
              <w14:schemeClr w14:val="tx1"/>
            </w14:solidFill>
          </w14:textFill>
        </w:rPr>
        <w:t xml:space="preserve"> 浅埋暗挖工程</w:t>
      </w:r>
      <w:r>
        <w:rPr>
          <w:rFonts w:hint="eastAsia"/>
          <w:color w:val="000000" w:themeColor="text1"/>
          <w14:textFill>
            <w14:solidFill>
              <w14:schemeClr w14:val="tx1"/>
            </w14:solidFill>
          </w14:textFill>
        </w:rPr>
        <w:t>的</w:t>
      </w:r>
      <w:r>
        <w:rPr>
          <w:color w:val="000000" w:themeColor="text1"/>
          <w14:textFill>
            <w14:solidFill>
              <w14:schemeClr w14:val="tx1"/>
            </w14:solidFill>
          </w14:textFill>
        </w:rPr>
        <w:t>钢筋及构配件应在工厂加工成型，经检查验收</w:t>
      </w:r>
      <w:r>
        <w:rPr>
          <w:rFonts w:hint="eastAsia"/>
          <w:color w:val="000000" w:themeColor="text1"/>
          <w14:textFill>
            <w14:solidFill>
              <w14:schemeClr w14:val="tx1"/>
            </w14:solidFill>
          </w14:textFill>
        </w:rPr>
        <w:t>合格</w:t>
      </w:r>
      <w:r>
        <w:rPr>
          <w:color w:val="000000" w:themeColor="text1"/>
          <w14:textFill>
            <w14:solidFill>
              <w14:schemeClr w14:val="tx1"/>
            </w14:solidFill>
          </w14:textFill>
        </w:rPr>
        <w:t>后方可使用。钢筋在加工过程中，如发生脆断、焊接性能不良或力学性能显著不正常时，应根据现行国家标准对该批钢筋进行化学成分等专项检验，检验合格后方可使用。</w:t>
      </w:r>
      <w:bookmarkEnd w:id="172"/>
    </w:p>
    <w:p>
      <w:pPr>
        <w:numPr>
          <w:ilvl w:val="255"/>
          <w:numId w:val="0"/>
        </w:numPr>
        <w:spacing w:line="360" w:lineRule="auto"/>
        <w:jc w:val="left"/>
        <w:outlineLvl w:val="1"/>
        <w:rPr>
          <w:color w:val="000000" w:themeColor="text1"/>
          <w14:textFill>
            <w14:solidFill>
              <w14:schemeClr w14:val="tx1"/>
            </w14:solidFill>
          </w14:textFill>
        </w:rPr>
      </w:pPr>
      <w:bookmarkStart w:id="173" w:name="_Toc4465"/>
      <w:r>
        <w:rPr>
          <w:rFonts w:hAnsi="宋体"/>
          <w:b/>
          <w:bCs/>
          <w:color w:val="000000" w:themeColor="text1"/>
          <w:szCs w:val="21"/>
          <w14:textFill>
            <w14:solidFill>
              <w14:schemeClr w14:val="tx1"/>
            </w14:solidFill>
          </w14:textFill>
        </w:rPr>
        <w:t xml:space="preserve">8.1.4 </w:t>
      </w:r>
      <w:r>
        <w:rPr>
          <w:color w:val="000000" w:themeColor="text1"/>
          <w14:textFill>
            <w14:solidFill>
              <w14:schemeClr w14:val="tx1"/>
            </w14:solidFill>
          </w14:textFill>
        </w:rPr>
        <w:t>运输</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储存钢筋时，应采取防锈蚀、防污染</w:t>
      </w:r>
      <w:r>
        <w:rPr>
          <w:rFonts w:hint="eastAsia"/>
          <w:color w:val="000000" w:themeColor="text1"/>
          <w14:textFill>
            <w14:solidFill>
              <w14:schemeClr w14:val="tx1"/>
            </w14:solidFill>
          </w14:textFill>
        </w:rPr>
        <w:t>等</w:t>
      </w:r>
      <w:r>
        <w:rPr>
          <w:color w:val="000000" w:themeColor="text1"/>
          <w14:textFill>
            <w14:solidFill>
              <w14:schemeClr w14:val="tx1"/>
            </w14:solidFill>
          </w14:textFill>
        </w:rPr>
        <w:t>措施，应按钢筋类别、直径、钢号、批号、厂家等条件分类存放，可追溯标识应完整。</w:t>
      </w:r>
      <w:bookmarkEnd w:id="173"/>
    </w:p>
    <w:p>
      <w:pPr>
        <w:numPr>
          <w:ilvl w:val="255"/>
          <w:numId w:val="0"/>
        </w:numPr>
        <w:spacing w:line="360" w:lineRule="auto"/>
        <w:jc w:val="left"/>
        <w:outlineLvl w:val="1"/>
        <w:rPr>
          <w:color w:val="000000" w:themeColor="text1"/>
          <w14:textFill>
            <w14:solidFill>
              <w14:schemeClr w14:val="tx1"/>
            </w14:solidFill>
          </w14:textFill>
        </w:rPr>
      </w:pPr>
      <w:bookmarkStart w:id="174" w:name="_Toc14753"/>
      <w:r>
        <w:rPr>
          <w:rFonts w:hAnsi="宋体"/>
          <w:b/>
          <w:bCs/>
          <w:color w:val="000000" w:themeColor="text1"/>
          <w:szCs w:val="21"/>
          <w14:textFill>
            <w14:solidFill>
              <w14:schemeClr w14:val="tx1"/>
            </w14:solidFill>
          </w14:textFill>
        </w:rPr>
        <w:t xml:space="preserve">8.1.5 </w:t>
      </w:r>
      <w:r>
        <w:rPr>
          <w:color w:val="000000" w:themeColor="text1"/>
          <w14:textFill>
            <w14:solidFill>
              <w14:schemeClr w14:val="tx1"/>
            </w14:solidFill>
          </w14:textFill>
        </w:rPr>
        <w:t>拌制混凝土使用的原材料及拌合物的质量应经检验合格，检验方法应符合现行国家标准的规定。</w:t>
      </w:r>
      <w:bookmarkEnd w:id="174"/>
    </w:p>
    <w:p>
      <w:pPr>
        <w:numPr>
          <w:ilvl w:val="255"/>
          <w:numId w:val="0"/>
        </w:numPr>
        <w:spacing w:line="360" w:lineRule="auto"/>
        <w:jc w:val="left"/>
        <w:outlineLvl w:val="1"/>
        <w:rPr>
          <w:color w:val="000000" w:themeColor="text1"/>
          <w14:textFill>
            <w14:solidFill>
              <w14:schemeClr w14:val="tx1"/>
            </w14:solidFill>
          </w14:textFill>
        </w:rPr>
      </w:pPr>
      <w:bookmarkStart w:id="175" w:name="_Toc25338"/>
      <w:r>
        <w:rPr>
          <w:rFonts w:hAnsi="宋体"/>
          <w:b/>
          <w:bCs/>
          <w:color w:val="000000" w:themeColor="text1"/>
          <w:szCs w:val="21"/>
          <w14:textFill>
            <w14:solidFill>
              <w14:schemeClr w14:val="tx1"/>
            </w14:solidFill>
          </w14:textFill>
        </w:rPr>
        <w:t xml:space="preserve">8.1.6 </w:t>
      </w:r>
      <w:r>
        <w:rPr>
          <w:rFonts w:hAnsi="宋体"/>
          <w:color w:val="000000" w:themeColor="text1"/>
          <w:szCs w:val="21"/>
          <w14:textFill>
            <w14:solidFill>
              <w14:schemeClr w14:val="tx1"/>
            </w14:solidFill>
          </w14:textFill>
        </w:rPr>
        <w:t>型</w:t>
      </w:r>
      <w:r>
        <w:rPr>
          <w:color w:val="000000" w:themeColor="text1"/>
          <w14:textFill>
            <w14:solidFill>
              <w14:schemeClr w14:val="tx1"/>
            </w14:solidFill>
          </w14:textFill>
        </w:rPr>
        <w:t>钢钢架制作应符合现行国家标准的规定。</w:t>
      </w:r>
      <w:bookmarkEnd w:id="175"/>
    </w:p>
    <w:p>
      <w:pPr>
        <w:tabs>
          <w:tab w:val="left" w:pos="576"/>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176" w:name="_Toc16546"/>
      <w:bookmarkStart w:id="177" w:name="_Toc8654"/>
      <w:bookmarkStart w:id="178" w:name="_Toc24874"/>
      <w:bookmarkStart w:id="179" w:name="_Toc13203"/>
      <w:bookmarkStart w:id="180" w:name="_Toc5607"/>
      <w:bookmarkStart w:id="181" w:name="_Toc338"/>
      <w:r>
        <w:rPr>
          <w:rFonts w:hint="eastAsia" w:hAnsi="宋体"/>
          <w:b/>
          <w:color w:val="000000" w:themeColor="text1"/>
          <w:sz w:val="24"/>
          <w14:textFill>
            <w14:solidFill>
              <w14:schemeClr w14:val="tx1"/>
            </w14:solidFill>
          </w14:textFill>
        </w:rPr>
        <w:t>8.2  格栅钢架、钢筋网制作</w:t>
      </w:r>
      <w:bookmarkEnd w:id="176"/>
      <w:bookmarkEnd w:id="177"/>
      <w:bookmarkEnd w:id="178"/>
      <w:bookmarkEnd w:id="179"/>
      <w:bookmarkEnd w:id="180"/>
      <w:bookmarkEnd w:id="181"/>
    </w:p>
    <w:p>
      <w:pPr>
        <w:pStyle w:val="22"/>
        <w:numPr>
          <w:ilvl w:val="255"/>
          <w:numId w:val="0"/>
        </w:num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8.2.1 </w:t>
      </w:r>
      <w:r>
        <w:rPr>
          <w:rFonts w:hint="eastAsia" w:hAnsi="宋体"/>
          <w:color w:val="000000" w:themeColor="text1"/>
          <w:szCs w:val="21"/>
          <w:lang w:bidi="ar"/>
          <w14:textFill>
            <w14:solidFill>
              <w14:schemeClr w14:val="tx1"/>
            </w14:solidFill>
          </w14:textFill>
        </w:rPr>
        <w:t>初期支护格栅钢架、钢筋网应在模具内加工制作。</w:t>
      </w:r>
      <w:r>
        <w:rPr>
          <w:rFonts w:hint="eastAsia" w:hAnsi="宋体"/>
          <w:color w:val="000000" w:themeColor="text1"/>
          <w:szCs w:val="21"/>
          <w14:textFill>
            <w14:solidFill>
              <w14:schemeClr w14:val="tx1"/>
            </w14:solidFill>
          </w14:textFill>
        </w:rPr>
        <w:t xml:space="preserve">格栅钢架模具应符合下列规定： </w:t>
      </w:r>
    </w:p>
    <w:p>
      <w:pPr>
        <w:pStyle w:val="22"/>
        <w:numPr>
          <w:ilvl w:val="255"/>
          <w:numId w:val="0"/>
        </w:numPr>
        <w:tabs>
          <w:tab w:val="left" w:pos="851"/>
          <w:tab w:val="left" w:pos="5835"/>
        </w:tabs>
        <w:snapToGrid w:val="0"/>
        <w:spacing w:line="360" w:lineRule="auto"/>
        <w:ind w:firstLine="422" w:firstLineChars="20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hAnsi="宋体"/>
          <w:color w:val="000000" w:themeColor="text1"/>
          <w:szCs w:val="21"/>
          <w14:textFill>
            <w14:solidFill>
              <w14:schemeClr w14:val="tx1"/>
            </w14:solidFill>
          </w14:textFill>
        </w:rPr>
        <w:t xml:space="preserve">加工平台应采用钢板，坚固平整；模具设计应满足格栅钢架尺寸控制和拆装要求； </w:t>
      </w:r>
    </w:p>
    <w:p>
      <w:pPr>
        <w:pStyle w:val="22"/>
        <w:numPr>
          <w:ilvl w:val="255"/>
          <w:numId w:val="0"/>
        </w:numPr>
        <w:tabs>
          <w:tab w:val="left" w:pos="851"/>
          <w:tab w:val="left" w:pos="5835"/>
        </w:tabs>
        <w:snapToGrid w:val="0"/>
        <w:spacing w:line="360" w:lineRule="auto"/>
        <w:ind w:firstLine="422" w:firstLineChars="20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hAnsi="宋体"/>
          <w:color w:val="000000" w:themeColor="text1"/>
          <w:szCs w:val="21"/>
          <w14:textFill>
            <w14:solidFill>
              <w14:schemeClr w14:val="tx1"/>
            </w14:solidFill>
          </w14:textFill>
        </w:rPr>
        <w:t>模具应按设计图纸放样，尺寸偏差应符合质量验收标准的规定，格栅钢架各部分应能互换互用；</w:t>
      </w:r>
    </w:p>
    <w:p>
      <w:pPr>
        <w:pStyle w:val="22"/>
        <w:widowControl/>
        <w:tabs>
          <w:tab w:val="left" w:pos="851"/>
        </w:tabs>
        <w:snapToGrid w:val="0"/>
        <w:spacing w:line="360" w:lineRule="auto"/>
        <w:ind w:firstLine="422"/>
        <w:jc w:val="left"/>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hAnsi="宋体"/>
          <w:color w:val="000000" w:themeColor="text1"/>
          <w:szCs w:val="21"/>
          <w14:textFill>
            <w14:solidFill>
              <w14:schemeClr w14:val="tx1"/>
            </w14:solidFill>
          </w14:textFill>
        </w:rPr>
        <w:t>模具应经验收合格后方可使用。格栅钢架加工中，应定期对模具尺寸进行检查、调整，防止模具松动变形。</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8.2.2</w:t>
      </w:r>
      <w:r>
        <w:rPr>
          <w:rFonts w:hint="eastAsia" w:hAnsi="宋体"/>
          <w:color w:val="000000" w:themeColor="text1"/>
          <w:szCs w:val="21"/>
          <w14:textFill>
            <w14:solidFill>
              <w14:schemeClr w14:val="tx1"/>
            </w14:solidFill>
          </w14:textFill>
        </w:rPr>
        <w:t xml:space="preserve"> 格栅钢架、钢筋网使用的钢筋种类、型号、规格应符合设计要求，加工制作应符合下列规定： </w:t>
      </w:r>
    </w:p>
    <w:p>
      <w:pPr>
        <w:pStyle w:val="22"/>
        <w:tabs>
          <w:tab w:val="left" w:pos="851"/>
          <w:tab w:val="left" w:pos="5835"/>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hAnsi="宋体"/>
          <w:color w:val="000000" w:themeColor="text1"/>
          <w:szCs w:val="21"/>
          <w14:textFill>
            <w14:solidFill>
              <w14:schemeClr w14:val="tx1"/>
            </w14:solidFill>
          </w14:textFill>
        </w:rPr>
        <w:t>组装焊接的格栅钢架应符合设计要求，主筋应冷弯成型，连接板宜采用液压联合冲剪机、电钻冲孔，螺栓孔直径应较螺栓直径大2mm，节点板应用螺栓连接、紧固；</w:t>
      </w:r>
    </w:p>
    <w:p>
      <w:pPr>
        <w:pStyle w:val="22"/>
        <w:tabs>
          <w:tab w:val="left" w:pos="851"/>
          <w:tab w:val="left" w:pos="5835"/>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hAnsi="宋体"/>
          <w:color w:val="000000" w:themeColor="text1"/>
          <w:szCs w:val="21"/>
          <w14:textFill>
            <w14:solidFill>
              <w14:schemeClr w14:val="tx1"/>
            </w14:solidFill>
          </w14:textFill>
        </w:rPr>
        <w:t xml:space="preserve">在模具内，格栅钢架应点焊固定，加强筋布置应均匀、对称，方向相互错开，间距符合设计要求；组装完成后，应从模具内取出格栅钢架，按适宜的顺序对称、均匀焊接成型； </w:t>
      </w:r>
    </w:p>
    <w:p>
      <w:pPr>
        <w:pStyle w:val="22"/>
        <w:tabs>
          <w:tab w:val="left" w:pos="851"/>
          <w:tab w:val="left" w:pos="5835"/>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hAnsi="宋体"/>
          <w:color w:val="000000" w:themeColor="text1"/>
          <w:szCs w:val="21"/>
          <w14:textFill>
            <w14:solidFill>
              <w14:schemeClr w14:val="tx1"/>
            </w14:solidFill>
          </w14:textFill>
        </w:rPr>
        <w:t>格栅钢架焊接应从两端均匀、对称进行，以减少应力变形；</w:t>
      </w:r>
    </w:p>
    <w:p>
      <w:pPr>
        <w:pStyle w:val="22"/>
        <w:tabs>
          <w:tab w:val="left" w:pos="851"/>
          <w:tab w:val="left" w:pos="5835"/>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hAnsi="宋体"/>
          <w:color w:val="000000" w:themeColor="text1"/>
          <w:szCs w:val="21"/>
          <w14:textFill>
            <w14:solidFill>
              <w14:schemeClr w14:val="tx1"/>
            </w14:solidFill>
          </w14:textFill>
        </w:rPr>
        <w:t xml:space="preserve">格栅钢架主筋和加强筋之间、主筋与连接板之间应双面满焊连接，搭接长度不应小于5d（d为钢筋直径），焊缝应平顺、饱满、连续，无咬肉、气孔、夹渣和裂纹等现象；焊缝药皮应清理干净； </w:t>
      </w:r>
    </w:p>
    <w:p>
      <w:pPr>
        <w:pStyle w:val="22"/>
        <w:tabs>
          <w:tab w:val="left" w:pos="851"/>
          <w:tab w:val="left" w:pos="5835"/>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5 </w:t>
      </w:r>
      <w:r>
        <w:rPr>
          <w:rFonts w:hint="eastAsia" w:hAnsi="宋体"/>
          <w:color w:val="000000" w:themeColor="text1"/>
          <w:szCs w:val="21"/>
          <w14:textFill>
            <w14:solidFill>
              <w14:schemeClr w14:val="tx1"/>
            </w14:solidFill>
          </w14:textFill>
        </w:rPr>
        <w:t xml:space="preserve">格栅钢架主筋应相互平行，偏差不应大于3mm。连接板应与主筋垂直，偏差不应大于2mm； </w:t>
      </w:r>
    </w:p>
    <w:p>
      <w:pPr>
        <w:pStyle w:val="22"/>
        <w:tabs>
          <w:tab w:val="left" w:pos="851"/>
          <w:tab w:val="left" w:pos="5835"/>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6 </w:t>
      </w:r>
      <w:r>
        <w:rPr>
          <w:rFonts w:hint="eastAsia" w:hAnsi="宋体"/>
          <w:color w:val="000000" w:themeColor="text1"/>
          <w:szCs w:val="21"/>
          <w14:textFill>
            <w14:solidFill>
              <w14:schemeClr w14:val="tx1"/>
            </w14:solidFill>
          </w14:textFill>
        </w:rPr>
        <w:t>钢筋网网孔尺寸应符合设计要求，每点宜为4点焊接；</w:t>
      </w:r>
    </w:p>
    <w:p>
      <w:pPr>
        <w:pStyle w:val="22"/>
        <w:tabs>
          <w:tab w:val="left" w:pos="851"/>
          <w:tab w:val="left" w:pos="5835"/>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 </w:t>
      </w:r>
      <w:r>
        <w:rPr>
          <w:rFonts w:hint="eastAsia" w:hAnsi="宋体"/>
          <w:color w:val="000000" w:themeColor="text1"/>
          <w:szCs w:val="21"/>
          <w14:textFill>
            <w14:solidFill>
              <w14:schemeClr w14:val="tx1"/>
            </w14:solidFill>
          </w14:textFill>
        </w:rPr>
        <w:t>型钢钢架应采用冷弯机弯曲成型，连接板应与型钢垂直，偏差不应大于2mm。拱架节点焊接长度应大于4mm，且对称焊接，焊缝应无咬肉、漏焊、裂纹、气孔、焊瘤等缺陷；</w:t>
      </w:r>
    </w:p>
    <w:p>
      <w:pPr>
        <w:pStyle w:val="22"/>
        <w:tabs>
          <w:tab w:val="left" w:pos="851"/>
          <w:tab w:val="left" w:pos="5835"/>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8 </w:t>
      </w:r>
      <w:r>
        <w:rPr>
          <w:rFonts w:hint="eastAsia" w:hAnsi="宋体"/>
          <w:color w:val="000000" w:themeColor="text1"/>
          <w:szCs w:val="21"/>
          <w14:textFill>
            <w14:solidFill>
              <w14:schemeClr w14:val="tx1"/>
            </w14:solidFill>
          </w14:textFill>
        </w:rPr>
        <w:t>钢架加工允许偏差：主筋（型钢）全长</w:t>
      </w:r>
      <w:r>
        <w:rPr>
          <w:rFonts w:hint="eastAsia" w:ascii="宋体" w:hAnsi="宋体" w:cs="宋体"/>
          <w:color w:val="000000" w:themeColor="text1"/>
          <w:szCs w:val="21"/>
          <w14:textFill>
            <w14:solidFill>
              <w14:schemeClr w14:val="tx1"/>
            </w14:solidFill>
          </w14:textFill>
        </w:rPr>
        <w:t>±</w:t>
      </w:r>
      <w:r>
        <w:rPr>
          <w:rFonts w:hint="eastAsia" w:hAnsi="宋体"/>
          <w:color w:val="000000" w:themeColor="text1"/>
          <w:szCs w:val="21"/>
          <w14:textFill>
            <w14:solidFill>
              <w14:schemeClr w14:val="tx1"/>
            </w14:solidFill>
          </w14:textFill>
        </w:rPr>
        <w:t>10mm，弯折位置20mm，箍筋尺寸</w:t>
      </w:r>
      <w:r>
        <w:rPr>
          <w:rFonts w:hint="eastAsia" w:ascii="宋体" w:hAnsi="宋体" w:cs="宋体"/>
          <w:color w:val="000000" w:themeColor="text1"/>
          <w:szCs w:val="21"/>
          <w14:textFill>
            <w14:solidFill>
              <w14:schemeClr w14:val="tx1"/>
            </w14:solidFill>
          </w14:textFill>
        </w:rPr>
        <w:t>±</w:t>
      </w:r>
      <w:r>
        <w:rPr>
          <w:rFonts w:hint="eastAsia" w:hAnsi="宋体"/>
          <w:color w:val="000000" w:themeColor="text1"/>
          <w:szCs w:val="21"/>
          <w14:textFill>
            <w14:solidFill>
              <w14:schemeClr w14:val="tx1"/>
            </w14:solidFill>
          </w14:textFill>
        </w:rPr>
        <w:t>3mm。</w:t>
      </w:r>
    </w:p>
    <w:p>
      <w:pPr>
        <w:pStyle w:val="22"/>
        <w:numPr>
          <w:ilvl w:val="255"/>
          <w:numId w:val="0"/>
        </w:num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8.2.4</w:t>
      </w:r>
      <w:r>
        <w:rPr>
          <w:rFonts w:hint="eastAsia" w:hAnsi="宋体"/>
          <w:color w:val="000000" w:themeColor="text1"/>
          <w:szCs w:val="21"/>
          <w14:textFill>
            <w14:solidFill>
              <w14:schemeClr w14:val="tx1"/>
            </w14:solidFill>
          </w14:textFill>
        </w:rPr>
        <w:t xml:space="preserve"> 首榀钢架应进行试拼装，经验收合格后方可批量生产。</w:t>
      </w:r>
      <w:r>
        <w:rPr>
          <w:rFonts w:hint="eastAsia" w:hAnsi="宋体" w:cstheme="minorEastAsia"/>
          <w:color w:val="000000" w:themeColor="text1"/>
          <w:szCs w:val="21"/>
          <w14:textFill>
            <w14:solidFill>
              <w14:schemeClr w14:val="tx1"/>
            </w14:solidFill>
          </w14:textFill>
        </w:rPr>
        <w:t>钢架拼装应符合设计要求，允许偏差应符合表</w:t>
      </w:r>
      <w:r>
        <w:rPr>
          <w:rFonts w:hint="eastAsia" w:hAnsi="宋体"/>
          <w:b/>
          <w:bCs/>
          <w:color w:val="000000" w:themeColor="text1"/>
          <w:szCs w:val="21"/>
          <w14:textFill>
            <w14:solidFill>
              <w14:schemeClr w14:val="tx1"/>
            </w14:solidFill>
          </w14:textFill>
        </w:rPr>
        <w:t>8.2.4</w:t>
      </w:r>
      <w:r>
        <w:rPr>
          <w:rFonts w:hint="eastAsia" w:hAnsi="宋体" w:cstheme="minorEastAsia"/>
          <w:color w:val="000000" w:themeColor="text1"/>
          <w:szCs w:val="21"/>
          <w14:textFill>
            <w14:solidFill>
              <w14:schemeClr w14:val="tx1"/>
            </w14:solidFill>
          </w14:textFill>
        </w:rPr>
        <w:t>的规定。</w:t>
      </w:r>
    </w:p>
    <w:p>
      <w:pPr>
        <w:tabs>
          <w:tab w:val="left" w:pos="851"/>
        </w:tabs>
        <w:spacing w:line="360" w:lineRule="auto"/>
        <w:jc w:val="center"/>
        <w:rPr>
          <w:bCs/>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表</w:t>
      </w:r>
      <w:r>
        <w:rPr>
          <w:rFonts w:hint="eastAsia" w:hAnsi="宋体"/>
          <w:b/>
          <w:bCs/>
          <w:color w:val="000000" w:themeColor="text1"/>
          <w:szCs w:val="21"/>
          <w14:textFill>
            <w14:solidFill>
              <w14:schemeClr w14:val="tx1"/>
            </w14:solidFill>
          </w14:textFill>
        </w:rPr>
        <w:t xml:space="preserve">8.2.4 </w:t>
      </w:r>
      <w:r>
        <w:rPr>
          <w:rFonts w:ascii="宋体" w:hAnsi="宋体"/>
          <w:color w:val="000000" w:themeColor="text1"/>
          <w14:textFill>
            <w14:solidFill>
              <w14:schemeClr w14:val="tx1"/>
            </w14:solidFill>
          </w14:textFill>
        </w:rPr>
        <w:t xml:space="preserve"> </w:t>
      </w:r>
      <w:r>
        <w:rPr>
          <w:rFonts w:hint="eastAsia" w:ascii="宋体" w:hAnsi="宋体"/>
          <w:color w:val="000000" w:themeColor="text1"/>
          <w:lang w:bidi="en-US"/>
          <w14:textFill>
            <w14:solidFill>
              <w14:schemeClr w14:val="tx1"/>
            </w14:solidFill>
          </w14:textFill>
        </w:rPr>
        <w:t>钢架拼装允许偏差</w:t>
      </w:r>
    </w:p>
    <w:tbl>
      <w:tblPr>
        <w:tblStyle w:val="12"/>
        <w:tblW w:w="68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99"/>
        <w:gridCol w:w="3000"/>
        <w:gridCol w:w="201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4799" w:type="dxa"/>
            <w:gridSpan w:val="2"/>
            <w:shd w:val="clear" w:color="auto" w:fill="auto"/>
            <w:vAlign w:val="center"/>
          </w:tcPr>
          <w:p>
            <w:pPr>
              <w:tabs>
                <w:tab w:val="left" w:pos="851"/>
              </w:tabs>
              <w:jc w:val="center"/>
              <w:rPr>
                <w:rFonts w:ascii="宋体" w:hAnsi="宋体"/>
                <w:color w:val="000000" w:themeColor="text1"/>
                <w:lang w:bidi="en-US"/>
                <w14:textFill>
                  <w14:solidFill>
                    <w14:schemeClr w14:val="tx1"/>
                  </w14:solidFill>
                </w14:textFill>
              </w:rPr>
            </w:pPr>
            <w:r>
              <w:rPr>
                <w:rFonts w:hint="eastAsia" w:ascii="宋体" w:hAnsi="宋体"/>
                <w:color w:val="000000" w:themeColor="text1"/>
                <w:lang w:bidi="en-US"/>
                <w14:textFill>
                  <w14:solidFill>
                    <w14:schemeClr w14:val="tx1"/>
                  </w14:solidFill>
                </w14:textFill>
              </w:rPr>
              <w:t>项        目</w:t>
            </w:r>
          </w:p>
        </w:tc>
        <w:tc>
          <w:tcPr>
            <w:tcW w:w="2012" w:type="dxa"/>
            <w:shd w:val="clear" w:color="auto" w:fill="auto"/>
            <w:vAlign w:val="center"/>
          </w:tcPr>
          <w:p>
            <w:pPr>
              <w:tabs>
                <w:tab w:val="left" w:pos="851"/>
              </w:tabs>
              <w:jc w:val="center"/>
              <w:rPr>
                <w:rFonts w:ascii="宋体" w:hAnsi="宋体"/>
                <w:color w:val="000000" w:themeColor="text1"/>
                <w:lang w:bidi="en-US"/>
                <w14:textFill>
                  <w14:solidFill>
                    <w14:schemeClr w14:val="tx1"/>
                  </w14:solidFill>
                </w14:textFill>
              </w:rPr>
            </w:pPr>
            <w:r>
              <w:rPr>
                <w:rFonts w:hint="eastAsia" w:ascii="宋体" w:hAnsi="宋体"/>
                <w:color w:val="000000" w:themeColor="text1"/>
                <w:lang w:bidi="en-US"/>
                <w14:textFill>
                  <w14:solidFill>
                    <w14:schemeClr w14:val="tx1"/>
                  </w14:solidFill>
                </w14:textFill>
              </w:rPr>
              <w:t>允许偏差（mm）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799" w:type="dxa"/>
            <w:vMerge w:val="restart"/>
            <w:shd w:val="clear" w:color="auto" w:fill="auto"/>
            <w:vAlign w:val="center"/>
          </w:tcPr>
          <w:p>
            <w:pPr>
              <w:tabs>
                <w:tab w:val="left" w:pos="851"/>
              </w:tabs>
              <w:jc w:val="center"/>
              <w:rPr>
                <w:rFonts w:ascii="宋体" w:hAnsi="宋体"/>
                <w:color w:val="000000" w:themeColor="text1"/>
                <w:lang w:bidi="en-US"/>
                <w14:textFill>
                  <w14:solidFill>
                    <w14:schemeClr w14:val="tx1"/>
                  </w14:solidFill>
                </w14:textFill>
              </w:rPr>
            </w:pPr>
          </w:p>
          <w:p>
            <w:pPr>
              <w:tabs>
                <w:tab w:val="left" w:pos="851"/>
              </w:tabs>
              <w:ind w:firstLine="420" w:firstLineChars="200"/>
              <w:rPr>
                <w:rFonts w:ascii="宋体" w:hAnsi="宋体"/>
                <w:color w:val="000000" w:themeColor="text1"/>
                <w:lang w:bidi="en-US"/>
                <w14:textFill>
                  <w14:solidFill>
                    <w14:schemeClr w14:val="tx1"/>
                  </w14:solidFill>
                </w14:textFill>
              </w:rPr>
            </w:pPr>
            <w:r>
              <w:rPr>
                <w:rFonts w:hint="eastAsia" w:ascii="宋体" w:hAnsi="宋体"/>
                <w:color w:val="000000" w:themeColor="text1"/>
                <w:lang w:bidi="en-US"/>
                <w14:textFill>
                  <w14:solidFill>
                    <w14:schemeClr w14:val="tx1"/>
                  </w14:solidFill>
                </w14:textFill>
              </w:rPr>
              <w:t>格栅钢架</w:t>
            </w:r>
          </w:p>
          <w:p>
            <w:pPr>
              <w:tabs>
                <w:tab w:val="left" w:pos="851"/>
              </w:tabs>
              <w:ind w:firstLine="420" w:firstLineChars="200"/>
              <w:rPr>
                <w:rFonts w:ascii="宋体" w:hAnsi="宋体"/>
                <w:color w:val="000000" w:themeColor="text1"/>
                <w:lang w:bidi="en-US"/>
                <w14:textFill>
                  <w14:solidFill>
                    <w14:schemeClr w14:val="tx1"/>
                  </w14:solidFill>
                </w14:textFill>
              </w:rPr>
            </w:pPr>
            <w:r>
              <w:rPr>
                <w:rFonts w:hint="eastAsia" w:ascii="宋体" w:hAnsi="宋体"/>
                <w:color w:val="000000" w:themeColor="text1"/>
                <w:lang w:bidi="en-US"/>
                <w14:textFill>
                  <w14:solidFill>
                    <w14:schemeClr w14:val="tx1"/>
                  </w14:solidFill>
                </w14:textFill>
              </w:rPr>
              <w:t>（型钢钢架）</w:t>
            </w:r>
          </w:p>
        </w:tc>
        <w:tc>
          <w:tcPr>
            <w:tcW w:w="3000" w:type="dxa"/>
            <w:shd w:val="clear" w:color="auto" w:fill="auto"/>
            <w:vAlign w:val="center"/>
          </w:tcPr>
          <w:p>
            <w:pPr>
              <w:tabs>
                <w:tab w:val="left" w:pos="851"/>
              </w:tabs>
              <w:jc w:val="center"/>
              <w:rPr>
                <w:rFonts w:ascii="宋体" w:hAnsi="宋体"/>
                <w:color w:val="000000" w:themeColor="text1"/>
                <w:lang w:bidi="en-US"/>
                <w14:textFill>
                  <w14:solidFill>
                    <w14:schemeClr w14:val="tx1"/>
                  </w14:solidFill>
                </w14:textFill>
              </w:rPr>
            </w:pPr>
            <w:r>
              <w:rPr>
                <w:rFonts w:hint="eastAsia" w:ascii="宋体" w:hAnsi="宋体"/>
                <w:color w:val="000000" w:themeColor="text1"/>
                <w:lang w:bidi="en-US"/>
                <w14:textFill>
                  <w14:solidFill>
                    <w14:schemeClr w14:val="tx1"/>
                  </w14:solidFill>
                </w14:textFill>
              </w:rPr>
              <w:t>拱部矢高及弧长</w:t>
            </w:r>
          </w:p>
        </w:tc>
        <w:tc>
          <w:tcPr>
            <w:tcW w:w="2012" w:type="dxa"/>
            <w:shd w:val="clear" w:color="auto" w:fill="auto"/>
            <w:vAlign w:val="center"/>
          </w:tcPr>
          <w:p>
            <w:pPr>
              <w:tabs>
                <w:tab w:val="left" w:pos="851"/>
              </w:tabs>
              <w:jc w:val="center"/>
              <w:rPr>
                <w:rFonts w:ascii="宋体" w:hAnsi="宋体"/>
                <w:color w:val="000000" w:themeColor="text1"/>
                <w:lang w:bidi="en-US"/>
                <w14:textFill>
                  <w14:solidFill>
                    <w14:schemeClr w14:val="tx1"/>
                  </w14:solidFill>
                </w14:textFill>
              </w:rPr>
            </w:pPr>
            <w:r>
              <w:rPr>
                <w:rFonts w:hint="eastAsia" w:ascii="宋体" w:hAnsi="宋体"/>
                <w:color w:val="000000" w:themeColor="text1"/>
                <w:lang w:bidi="en-US"/>
                <w14:textFill>
                  <w14:solidFill>
                    <w14:schemeClr w14:val="tx1"/>
                  </w14:solidFill>
                </w14:textFill>
              </w:rPr>
              <w:t xml:space="preserve">  </w:t>
            </w:r>
            <w:r>
              <w:rPr>
                <w:rFonts w:ascii="宋体" w:hAnsi="宋体"/>
                <w:color w:val="000000" w:themeColor="text1"/>
                <w:lang w:bidi="en-US"/>
                <w14:textFill>
                  <w14:solidFill>
                    <w14:schemeClr w14:val="tx1"/>
                  </w14:solidFill>
                </w14:textFill>
              </w:rPr>
              <w:t>0</w:t>
            </w:r>
            <w:r>
              <w:rPr>
                <w:rFonts w:hint="eastAsia" w:ascii="宋体" w:hAnsi="宋体" w:cs="宋体"/>
                <w:color w:val="000000" w:themeColor="text1"/>
                <w:lang w:bidi="en-US"/>
                <w14:textFill>
                  <w14:solidFill>
                    <w14:schemeClr w14:val="tx1"/>
                  </w14:solidFill>
                </w14:textFill>
              </w:rPr>
              <w:t>，</w:t>
            </w:r>
            <w:r>
              <w:rPr>
                <w:rFonts w:hint="eastAsia" w:ascii="宋体" w:hAnsi="宋体"/>
                <w:color w:val="000000" w:themeColor="text1"/>
                <w:lang w:bidi="en-US"/>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799" w:type="dxa"/>
            <w:vMerge w:val="continue"/>
            <w:shd w:val="clear" w:color="auto" w:fill="auto"/>
            <w:vAlign w:val="center"/>
          </w:tcPr>
          <w:p>
            <w:pPr>
              <w:tabs>
                <w:tab w:val="left" w:pos="851"/>
              </w:tabs>
              <w:ind w:firstLine="420" w:firstLineChars="200"/>
              <w:jc w:val="center"/>
              <w:rPr>
                <w:rFonts w:ascii="宋体" w:hAnsi="宋体"/>
                <w:color w:val="000000" w:themeColor="text1"/>
                <w:lang w:bidi="en-US"/>
                <w14:textFill>
                  <w14:solidFill>
                    <w14:schemeClr w14:val="tx1"/>
                  </w14:solidFill>
                </w14:textFill>
              </w:rPr>
            </w:pPr>
          </w:p>
        </w:tc>
        <w:tc>
          <w:tcPr>
            <w:tcW w:w="3000" w:type="dxa"/>
            <w:shd w:val="clear" w:color="auto" w:fill="auto"/>
            <w:vAlign w:val="center"/>
          </w:tcPr>
          <w:p>
            <w:pPr>
              <w:tabs>
                <w:tab w:val="left" w:pos="851"/>
              </w:tabs>
              <w:ind w:firstLine="210" w:firstLineChars="100"/>
              <w:jc w:val="center"/>
              <w:rPr>
                <w:rFonts w:ascii="宋体" w:hAnsi="宋体"/>
                <w:color w:val="000000" w:themeColor="text1"/>
                <w:lang w:bidi="en-US"/>
                <w14:textFill>
                  <w14:solidFill>
                    <w14:schemeClr w14:val="tx1"/>
                  </w14:solidFill>
                </w14:textFill>
              </w:rPr>
            </w:pPr>
            <w:r>
              <w:rPr>
                <w:rFonts w:hint="eastAsia" w:ascii="宋体" w:hAnsi="宋体"/>
                <w:color w:val="000000" w:themeColor="text1"/>
                <w:lang w:bidi="en-US"/>
                <w14:textFill>
                  <w14:solidFill>
                    <w14:schemeClr w14:val="tx1"/>
                  </w14:solidFill>
                </w14:textFill>
              </w:rPr>
              <w:t>墙、底板钢架长度</w:t>
            </w:r>
          </w:p>
        </w:tc>
        <w:tc>
          <w:tcPr>
            <w:tcW w:w="2012" w:type="dxa"/>
            <w:shd w:val="clear" w:color="auto" w:fill="auto"/>
            <w:vAlign w:val="center"/>
          </w:tcPr>
          <w:p>
            <w:pPr>
              <w:tabs>
                <w:tab w:val="left" w:pos="851"/>
              </w:tabs>
              <w:jc w:val="center"/>
              <w:rPr>
                <w:rFonts w:ascii="宋体" w:hAnsi="宋体"/>
                <w:color w:val="000000" w:themeColor="text1"/>
                <w:lang w:bidi="en-US"/>
                <w14:textFill>
                  <w14:solidFill>
                    <w14:schemeClr w14:val="tx1"/>
                  </w14:solidFill>
                </w14:textFill>
              </w:rPr>
            </w:pPr>
            <w:r>
              <w:rPr>
                <w:rFonts w:hint="eastAsia" w:ascii="宋体" w:hAnsi="宋体"/>
                <w:color w:val="000000" w:themeColor="text1"/>
                <w:lang w:bidi="en-US"/>
                <w14:textFill>
                  <w14:solidFill>
                    <w14:schemeClr w14:val="tx1"/>
                  </w14:solidFill>
                </w14:textFill>
              </w:rPr>
              <w:t>±</w:t>
            </w:r>
            <w:r>
              <w:rPr>
                <w:rFonts w:ascii="宋体" w:hAnsi="宋体"/>
                <w:color w:val="000000" w:themeColor="text1"/>
                <w:lang w:bidi="en-US"/>
                <w14:textFill>
                  <w14:solidFill>
                    <w14:schemeClr w14:val="tx1"/>
                  </w14:solidFill>
                </w14:textFill>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799" w:type="dxa"/>
            <w:vMerge w:val="continue"/>
            <w:shd w:val="clear" w:color="auto" w:fill="auto"/>
            <w:vAlign w:val="center"/>
          </w:tcPr>
          <w:p>
            <w:pPr>
              <w:tabs>
                <w:tab w:val="left" w:pos="851"/>
              </w:tabs>
              <w:ind w:firstLine="420" w:firstLineChars="200"/>
              <w:jc w:val="center"/>
              <w:rPr>
                <w:rFonts w:ascii="宋体" w:hAnsi="宋体"/>
                <w:color w:val="000000" w:themeColor="text1"/>
                <w:lang w:bidi="en-US"/>
                <w14:textFill>
                  <w14:solidFill>
                    <w14:schemeClr w14:val="tx1"/>
                  </w14:solidFill>
                </w14:textFill>
              </w:rPr>
            </w:pPr>
          </w:p>
        </w:tc>
        <w:tc>
          <w:tcPr>
            <w:tcW w:w="3000" w:type="dxa"/>
            <w:shd w:val="clear" w:color="auto" w:fill="auto"/>
            <w:vAlign w:val="center"/>
          </w:tcPr>
          <w:p>
            <w:pPr>
              <w:tabs>
                <w:tab w:val="left" w:pos="851"/>
              </w:tabs>
              <w:jc w:val="center"/>
              <w:rPr>
                <w:rFonts w:ascii="宋体" w:hAnsi="宋体"/>
                <w:color w:val="000000" w:themeColor="text1"/>
                <w:lang w:bidi="en-US"/>
                <w14:textFill>
                  <w14:solidFill>
                    <w14:schemeClr w14:val="tx1"/>
                  </w14:solidFill>
                </w14:textFill>
              </w:rPr>
            </w:pPr>
            <w:r>
              <w:rPr>
                <w:rFonts w:hint="eastAsia" w:ascii="宋体" w:hAnsi="宋体"/>
                <w:color w:val="000000" w:themeColor="text1"/>
                <w:lang w:bidi="en-US"/>
                <w14:textFill>
                  <w14:solidFill>
                    <w14:schemeClr w14:val="tx1"/>
                  </w14:solidFill>
                </w14:textFill>
              </w:rPr>
              <w:t>横断面尺寸（高、宽）</w:t>
            </w:r>
          </w:p>
        </w:tc>
        <w:tc>
          <w:tcPr>
            <w:tcW w:w="2012" w:type="dxa"/>
            <w:shd w:val="clear" w:color="auto" w:fill="auto"/>
            <w:vAlign w:val="center"/>
          </w:tcPr>
          <w:p>
            <w:pPr>
              <w:tabs>
                <w:tab w:val="left" w:pos="851"/>
              </w:tabs>
              <w:jc w:val="center"/>
              <w:rPr>
                <w:rFonts w:ascii="宋体" w:hAnsi="宋体"/>
                <w:color w:val="000000" w:themeColor="text1"/>
                <w:lang w:bidi="en-US"/>
                <w14:textFill>
                  <w14:solidFill>
                    <w14:schemeClr w14:val="tx1"/>
                  </w14:solidFill>
                </w14:textFill>
              </w:rPr>
            </w:pPr>
            <w:r>
              <w:rPr>
                <w:rFonts w:ascii="宋体" w:hAnsi="宋体"/>
                <w:color w:val="000000" w:themeColor="text1"/>
                <w:lang w:bidi="en-US"/>
                <w14:textFill>
                  <w14:solidFill>
                    <w14:schemeClr w14:val="tx1"/>
                  </w14:solidFill>
                </w14:textFill>
              </w:rPr>
              <w:t>0</w:t>
            </w:r>
            <w:r>
              <w:rPr>
                <w:rFonts w:hint="eastAsia" w:ascii="宋体" w:hAnsi="宋体"/>
                <w:color w:val="000000" w:themeColor="text1"/>
                <w:lang w:bidi="en-US"/>
                <w14:textFill>
                  <w14:solidFill>
                    <w14:schemeClr w14:val="tx1"/>
                  </w14:solidFill>
                </w14:textFill>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799" w:type="dxa"/>
            <w:vMerge w:val="continue"/>
            <w:shd w:val="clear" w:color="auto" w:fill="auto"/>
            <w:vAlign w:val="center"/>
          </w:tcPr>
          <w:p>
            <w:pPr>
              <w:tabs>
                <w:tab w:val="left" w:pos="851"/>
              </w:tabs>
              <w:ind w:firstLine="420" w:firstLineChars="200"/>
              <w:rPr>
                <w:rFonts w:ascii="宋体" w:hAnsi="宋体"/>
                <w:color w:val="000000" w:themeColor="text1"/>
                <w:lang w:bidi="en-US"/>
                <w14:textFill>
                  <w14:solidFill>
                    <w14:schemeClr w14:val="tx1"/>
                  </w14:solidFill>
                </w14:textFill>
              </w:rPr>
            </w:pPr>
          </w:p>
        </w:tc>
        <w:tc>
          <w:tcPr>
            <w:tcW w:w="3000" w:type="dxa"/>
            <w:shd w:val="clear" w:color="auto" w:fill="auto"/>
            <w:vAlign w:val="center"/>
          </w:tcPr>
          <w:p>
            <w:pPr>
              <w:tabs>
                <w:tab w:val="left" w:pos="851"/>
              </w:tabs>
              <w:jc w:val="center"/>
              <w:rPr>
                <w:rFonts w:ascii="宋体" w:hAnsi="宋体"/>
                <w:color w:val="000000" w:themeColor="text1"/>
                <w:lang w:bidi="en-US"/>
                <w14:textFill>
                  <w14:solidFill>
                    <w14:schemeClr w14:val="tx1"/>
                  </w14:solidFill>
                </w14:textFill>
              </w:rPr>
            </w:pPr>
            <w:r>
              <w:rPr>
                <w:rFonts w:hint="eastAsia" w:ascii="宋体" w:hAnsi="宋体"/>
                <w:color w:val="000000" w:themeColor="text1"/>
                <w:lang w:bidi="en-US"/>
                <w14:textFill>
                  <w14:solidFill>
                    <w14:schemeClr w14:val="tx1"/>
                  </w14:solidFill>
                </w14:textFill>
              </w:rPr>
              <w:t>整体高度</w:t>
            </w:r>
          </w:p>
        </w:tc>
        <w:tc>
          <w:tcPr>
            <w:tcW w:w="2012" w:type="dxa"/>
            <w:shd w:val="clear" w:color="auto" w:fill="auto"/>
            <w:vAlign w:val="center"/>
          </w:tcPr>
          <w:p>
            <w:pPr>
              <w:tabs>
                <w:tab w:val="left" w:pos="851"/>
              </w:tabs>
              <w:jc w:val="center"/>
              <w:rPr>
                <w:rFonts w:ascii="宋体" w:hAnsi="宋体"/>
                <w:color w:val="000000" w:themeColor="text1"/>
                <w:lang w:bidi="en-US"/>
                <w14:textFill>
                  <w14:solidFill>
                    <w14:schemeClr w14:val="tx1"/>
                  </w14:solidFill>
                </w14:textFill>
              </w:rPr>
            </w:pPr>
            <w:r>
              <w:rPr>
                <w:rFonts w:hint="eastAsia" w:hAnsi="宋体"/>
                <w:color w:val="000000" w:themeColor="text1"/>
                <w:szCs w:val="21"/>
                <w14:textFill>
                  <w14:solidFill>
                    <w14:schemeClr w14:val="tx1"/>
                  </w14:solidFill>
                </w14:textFill>
              </w:rPr>
              <w:t>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2" w:hRule="atLeast"/>
          <w:jc w:val="center"/>
        </w:trPr>
        <w:tc>
          <w:tcPr>
            <w:tcW w:w="1799" w:type="dxa"/>
            <w:vMerge w:val="continue"/>
            <w:shd w:val="clear" w:color="auto" w:fill="auto"/>
            <w:vAlign w:val="center"/>
          </w:tcPr>
          <w:p>
            <w:pPr>
              <w:tabs>
                <w:tab w:val="left" w:pos="851"/>
              </w:tabs>
              <w:ind w:firstLine="420" w:firstLineChars="200"/>
              <w:jc w:val="center"/>
              <w:rPr>
                <w:rFonts w:ascii="宋体" w:hAnsi="宋体"/>
                <w:color w:val="000000" w:themeColor="text1"/>
                <w:lang w:bidi="en-US"/>
                <w14:textFill>
                  <w14:solidFill>
                    <w14:schemeClr w14:val="tx1"/>
                  </w14:solidFill>
                </w14:textFill>
              </w:rPr>
            </w:pPr>
          </w:p>
        </w:tc>
        <w:tc>
          <w:tcPr>
            <w:tcW w:w="3000" w:type="dxa"/>
            <w:shd w:val="clear" w:color="auto" w:fill="auto"/>
            <w:vAlign w:val="center"/>
          </w:tcPr>
          <w:p>
            <w:pPr>
              <w:tabs>
                <w:tab w:val="left" w:pos="851"/>
              </w:tabs>
              <w:jc w:val="center"/>
              <w:rPr>
                <w:rFonts w:ascii="宋体" w:hAnsi="宋体"/>
                <w:color w:val="000000" w:themeColor="text1"/>
                <w:lang w:bidi="en-US"/>
                <w14:textFill>
                  <w14:solidFill>
                    <w14:schemeClr w14:val="tx1"/>
                  </w14:solidFill>
                </w14:textFill>
              </w:rPr>
            </w:pPr>
            <w:r>
              <w:rPr>
                <w:rFonts w:hint="eastAsia" w:ascii="宋体" w:hAnsi="宋体"/>
                <w:color w:val="000000" w:themeColor="text1"/>
                <w:lang w:bidi="en-US"/>
                <w14:textFill>
                  <w14:solidFill>
                    <w14:schemeClr w14:val="tx1"/>
                  </w14:solidFill>
                </w14:textFill>
              </w:rPr>
              <w:t>整体宽度</w:t>
            </w:r>
          </w:p>
        </w:tc>
        <w:tc>
          <w:tcPr>
            <w:tcW w:w="2012" w:type="dxa"/>
            <w:shd w:val="clear" w:color="auto" w:fill="auto"/>
            <w:vAlign w:val="center"/>
          </w:tcPr>
          <w:p>
            <w:pPr>
              <w:tabs>
                <w:tab w:val="left" w:pos="851"/>
              </w:tabs>
              <w:jc w:val="center"/>
              <w:rPr>
                <w:rFonts w:ascii="宋体" w:hAnsi="宋体"/>
                <w:color w:val="000000" w:themeColor="text1"/>
                <w:lang w:bidi="en-US"/>
                <w14:textFill>
                  <w14:solidFill>
                    <w14:schemeClr w14:val="tx1"/>
                  </w14:solidFill>
                </w14:textFill>
              </w:rPr>
            </w:pPr>
            <w:r>
              <w:rPr>
                <w:rFonts w:hint="eastAsia" w:hAnsi="宋体"/>
                <w:color w:val="000000" w:themeColor="text1"/>
                <w:szCs w:val="21"/>
                <w14:textFill>
                  <w14:solidFill>
                    <w14:schemeClr w14:val="tx1"/>
                  </w14:solidFill>
                </w14:textFill>
              </w:rPr>
              <w:t>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jc w:val="center"/>
        </w:trPr>
        <w:tc>
          <w:tcPr>
            <w:tcW w:w="1799" w:type="dxa"/>
            <w:vMerge w:val="continue"/>
            <w:shd w:val="clear" w:color="auto" w:fill="auto"/>
            <w:vAlign w:val="center"/>
          </w:tcPr>
          <w:p>
            <w:pPr>
              <w:tabs>
                <w:tab w:val="left" w:pos="851"/>
              </w:tabs>
              <w:ind w:firstLine="420" w:firstLineChars="200"/>
              <w:jc w:val="center"/>
              <w:rPr>
                <w:rFonts w:ascii="宋体" w:hAnsi="宋体"/>
                <w:color w:val="000000" w:themeColor="text1"/>
                <w:lang w:bidi="en-US"/>
                <w14:textFill>
                  <w14:solidFill>
                    <w14:schemeClr w14:val="tx1"/>
                  </w14:solidFill>
                </w14:textFill>
              </w:rPr>
            </w:pPr>
          </w:p>
        </w:tc>
        <w:tc>
          <w:tcPr>
            <w:tcW w:w="3000" w:type="dxa"/>
            <w:shd w:val="clear" w:color="auto" w:fill="auto"/>
            <w:vAlign w:val="center"/>
          </w:tcPr>
          <w:p>
            <w:pPr>
              <w:tabs>
                <w:tab w:val="left" w:pos="851"/>
              </w:tabs>
              <w:jc w:val="center"/>
              <w:rPr>
                <w:rFonts w:ascii="宋体" w:hAnsi="宋体"/>
                <w:color w:val="000000" w:themeColor="text1"/>
                <w:lang w:bidi="en-US"/>
                <w14:textFill>
                  <w14:solidFill>
                    <w14:schemeClr w14:val="tx1"/>
                  </w14:solidFill>
                </w14:textFill>
              </w:rPr>
            </w:pPr>
            <w:r>
              <w:rPr>
                <w:rFonts w:hint="eastAsia" w:ascii="宋体" w:hAnsi="宋体"/>
                <w:color w:val="000000" w:themeColor="text1"/>
                <w:lang w:bidi="en-US"/>
                <w14:textFill>
                  <w14:solidFill>
                    <w14:schemeClr w14:val="tx1"/>
                  </w14:solidFill>
                </w14:textFill>
              </w:rPr>
              <w:t>整体翘曲</w:t>
            </w:r>
          </w:p>
        </w:tc>
        <w:tc>
          <w:tcPr>
            <w:tcW w:w="2012" w:type="dxa"/>
            <w:shd w:val="clear" w:color="auto" w:fill="auto"/>
            <w:vAlign w:val="center"/>
          </w:tcPr>
          <w:p>
            <w:pPr>
              <w:tabs>
                <w:tab w:val="left" w:pos="851"/>
              </w:tabs>
              <w:jc w:val="center"/>
              <w:rPr>
                <w:rFonts w:ascii="宋体" w:hAnsi="宋体"/>
                <w:color w:val="000000" w:themeColor="text1"/>
                <w:lang w:bidi="en-US"/>
                <w14:textFill>
                  <w14:solidFill>
                    <w14:schemeClr w14:val="tx1"/>
                  </w14:solidFill>
                </w14:textFill>
              </w:rPr>
            </w:pPr>
            <w:r>
              <w:rPr>
                <w:rFonts w:hint="eastAsia" w:ascii="宋体" w:hAnsi="宋体"/>
                <w:color w:val="000000" w:themeColor="text1"/>
                <w:lang w:bidi="en-US"/>
                <w14:textFill>
                  <w14:solidFill>
                    <w14:schemeClr w14:val="tx1"/>
                  </w14:solidFill>
                </w14:textFill>
              </w:rPr>
              <w:t>±2</w:t>
            </w:r>
            <w:r>
              <w:rPr>
                <w:rFonts w:ascii="宋体" w:hAnsi="宋体"/>
                <w:color w:val="000000" w:themeColor="text1"/>
                <w:lang w:bidi="en-US"/>
                <w14:textFill>
                  <w14:solidFill>
                    <w14:schemeClr w14:val="tx1"/>
                  </w14:solidFill>
                </w14:textFill>
              </w:rPr>
              <w:t>0</w:t>
            </w:r>
          </w:p>
        </w:tc>
      </w:tr>
    </w:tbl>
    <w:p>
      <w:pPr>
        <w:pStyle w:val="22"/>
        <w:tabs>
          <w:tab w:val="left" w:pos="851"/>
          <w:tab w:val="left" w:pos="5835"/>
        </w:tabs>
        <w:snapToGrid w:val="0"/>
        <w:spacing w:line="360" w:lineRule="auto"/>
        <w:ind w:firstLine="0" w:firstLineChars="0"/>
        <w:jc w:val="left"/>
        <w:rPr>
          <w:rFonts w:hAnsi="宋体"/>
          <w:b/>
          <w:bCs/>
          <w:color w:val="000000" w:themeColor="text1"/>
          <w:szCs w:val="21"/>
          <w14:textFill>
            <w14:solidFill>
              <w14:schemeClr w14:val="tx1"/>
            </w14:solidFill>
          </w14:textFill>
        </w:rPr>
      </w:pP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8.2.5</w:t>
      </w:r>
      <w:r>
        <w:rPr>
          <w:rFonts w:hint="eastAsia" w:hAnsi="宋体"/>
          <w:color w:val="000000" w:themeColor="text1"/>
          <w:szCs w:val="21"/>
          <w14:textFill>
            <w14:solidFill>
              <w14:schemeClr w14:val="tx1"/>
            </w14:solidFill>
          </w14:textFill>
        </w:rPr>
        <w:t xml:space="preserve"> 格栅钢架、钢筋网应分类存放、标识，并应采取防锈蚀措施；运输、存放过程中应采取防变形措施，装卸应轻拿轻放。</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182" w:name="_Toc20507"/>
      <w:bookmarkStart w:id="183" w:name="_Toc8769"/>
      <w:bookmarkStart w:id="184" w:name="_Toc4799"/>
      <w:bookmarkStart w:id="185" w:name="_Toc20368"/>
      <w:bookmarkStart w:id="186" w:name="_Toc1043"/>
      <w:bookmarkStart w:id="187" w:name="_Toc7229"/>
      <w:r>
        <w:rPr>
          <w:rFonts w:hint="eastAsia" w:hAnsi="宋体"/>
          <w:b/>
          <w:color w:val="000000" w:themeColor="text1"/>
          <w:sz w:val="24"/>
          <w14:textFill>
            <w14:solidFill>
              <w14:schemeClr w14:val="tx1"/>
            </w14:solidFill>
          </w14:textFill>
        </w:rPr>
        <w:t>8.3  钢筋加工</w:t>
      </w:r>
      <w:bookmarkEnd w:id="182"/>
      <w:bookmarkEnd w:id="183"/>
      <w:bookmarkEnd w:id="184"/>
      <w:bookmarkEnd w:id="185"/>
      <w:bookmarkEnd w:id="186"/>
      <w:bookmarkEnd w:id="187"/>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8.3.1 </w:t>
      </w:r>
      <w:r>
        <w:rPr>
          <w:rFonts w:hint="eastAsia" w:hAnsi="宋体"/>
          <w:color w:val="000000" w:themeColor="text1"/>
          <w:szCs w:val="21"/>
          <w14:textFill>
            <w14:solidFill>
              <w14:schemeClr w14:val="tx1"/>
            </w14:solidFill>
          </w14:textFill>
        </w:rPr>
        <w:t>现浇混凝土结构钢筋的品种、级别应符合设计要求，钢筋表面应平直、无损伤，不应有裂纹、油污、颗粒状或片状老锈等缺陷，力学性能应符合现行国家标准《钢筋混凝土用热轧带肋钢筋》GB1499的有关规定，质量证明文件应齐全，并经进场验收合格。</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8.3.2 </w:t>
      </w:r>
      <w:r>
        <w:rPr>
          <w:rFonts w:hint="eastAsia" w:hAnsi="宋体"/>
          <w:color w:val="000000" w:themeColor="text1"/>
          <w:szCs w:val="21"/>
          <w14:textFill>
            <w14:solidFill>
              <w14:schemeClr w14:val="tx1"/>
            </w14:solidFill>
          </w14:textFill>
        </w:rPr>
        <w:t>对有抗震设防要求的框架结构，其纵向受力钢筋的强度应满足设计要求；当设计无具体要求时，对一、二级抗震等级，检验所得的强度实测值应符合下列规定：</w:t>
      </w:r>
    </w:p>
    <w:p>
      <w:pPr>
        <w:pStyle w:val="22"/>
        <w:tabs>
          <w:tab w:val="left" w:pos="851"/>
        </w:tabs>
        <w:snapToGrid w:val="0"/>
        <w:spacing w:line="360" w:lineRule="auto"/>
        <w:ind w:firstLine="422"/>
        <w:jc w:val="left"/>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1</w:t>
      </w:r>
      <w:r>
        <w:rPr>
          <w:rFonts w:hint="eastAsia" w:ascii="宋体" w:hAnsi="宋体" w:cstheme="minorEastAsia"/>
          <w:color w:val="000000" w:themeColor="text1"/>
          <w:kern w:val="0"/>
          <w:szCs w:val="21"/>
          <w14:textFill>
            <w14:solidFill>
              <w14:schemeClr w14:val="tx1"/>
            </w14:solidFill>
          </w14:textFill>
        </w:rPr>
        <w:t xml:space="preserve"> 钢筋的抗拉强度实测值与屈服强度实测值的比值不应小于1.25；</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钢筋的屈服强度实测值与强度标准值的比值不应大于1.3。</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8.3.3 </w:t>
      </w:r>
      <w:r>
        <w:rPr>
          <w:rFonts w:hint="eastAsia" w:hAnsi="宋体"/>
          <w:color w:val="000000" w:themeColor="text1"/>
          <w:szCs w:val="21"/>
          <w14:textFill>
            <w14:solidFill>
              <w14:schemeClr w14:val="tx1"/>
            </w14:solidFill>
          </w14:textFill>
        </w:rPr>
        <w:t xml:space="preserve">受力钢筋的弯钩和弯折应符合下列规定： </w:t>
      </w:r>
    </w:p>
    <w:p>
      <w:pPr>
        <w:spacing w:line="360" w:lineRule="auto"/>
        <w:ind w:firstLine="361" w:firstLineChars="171"/>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1</w:t>
      </w:r>
      <w:r>
        <w:rPr>
          <w:rFonts w:hint="eastAsia" w:ascii="宋体" w:hAnsi="宋体" w:cstheme="minorEastAsia"/>
          <w:color w:val="000000" w:themeColor="text1"/>
          <w:kern w:val="0"/>
          <w:szCs w:val="21"/>
          <w14:textFill>
            <w14:solidFill>
              <w14:schemeClr w14:val="tx1"/>
            </w14:solidFill>
          </w14:textFill>
        </w:rPr>
        <w:t xml:space="preserve"> HPB235 级钢筋末端应作180°弯钩，其弯弧内直径不应小于钢筋直径的2.5倍，弯钩的弯后平直部分长度不应小于钢筋直径的3倍；</w:t>
      </w:r>
    </w:p>
    <w:p>
      <w:pPr>
        <w:spacing w:line="360" w:lineRule="auto"/>
        <w:ind w:firstLine="361" w:firstLineChars="171"/>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当设计要求钢筋末端需作135°弯钩时，HRB335级、HRB400级钢筋的弯弧内直径不应小于钢筋直径的4倍，弯钩的弯后平直部分长度应符合设计要求；</w:t>
      </w:r>
    </w:p>
    <w:p>
      <w:pPr>
        <w:spacing w:line="360" w:lineRule="auto"/>
        <w:ind w:firstLine="361" w:firstLineChars="171"/>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theme="minorEastAsia"/>
          <w:color w:val="000000" w:themeColor="text1"/>
          <w:kern w:val="0"/>
          <w:szCs w:val="21"/>
          <w14:textFill>
            <w14:solidFill>
              <w14:schemeClr w14:val="tx1"/>
            </w14:solidFill>
          </w14:textFill>
        </w:rPr>
        <w:t>钢筋作不大于90°的弯折时，弯折处的弯弧内直径不应小于钢筋直径的5倍。</w:t>
      </w:r>
    </w:p>
    <w:p>
      <w:pPr>
        <w:spacing w:line="360" w:lineRule="auto"/>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8.3.4 </w:t>
      </w:r>
      <w:r>
        <w:rPr>
          <w:rFonts w:hint="eastAsia" w:hAnsi="宋体"/>
          <w:color w:val="000000" w:themeColor="text1"/>
          <w:szCs w:val="21"/>
          <w14:textFill>
            <w14:solidFill>
              <w14:schemeClr w14:val="tx1"/>
            </w14:solidFill>
          </w14:textFill>
        </w:rPr>
        <w:t>除焊接封闭环式箍筋外，箍筋的末端应作弯钩，弯钩形式应符合设计要求，当设计无具体要求时，应符合下列规定：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箍筋弯钩的弯弧内直径应符合本规程第</w:t>
      </w:r>
      <w:r>
        <w:rPr>
          <w:rFonts w:hint="eastAsia" w:hAnsi="宋体"/>
          <w:b/>
          <w:bCs/>
          <w:color w:val="000000" w:themeColor="text1"/>
          <w:szCs w:val="21"/>
          <w14:textFill>
            <w14:solidFill>
              <w14:schemeClr w14:val="tx1"/>
            </w14:solidFill>
          </w14:textFill>
        </w:rPr>
        <w:t xml:space="preserve"> 8.3.3 </w:t>
      </w:r>
      <w:r>
        <w:rPr>
          <w:rFonts w:hint="eastAsia" w:ascii="宋体" w:hAnsi="宋体" w:cstheme="minorEastAsia"/>
          <w:color w:val="000000" w:themeColor="text1"/>
          <w:kern w:val="0"/>
          <w:szCs w:val="21"/>
          <w14:textFill>
            <w14:solidFill>
              <w14:schemeClr w14:val="tx1"/>
            </w14:solidFill>
          </w14:textFill>
        </w:rPr>
        <w:t>条的规定，且不应小于受力钢筋直径；箍筋弯钩的弯折角度应为135°；</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 xml:space="preserve">箍筋弯后平直部分长度不应小于箍筋直径的10倍。  </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8.3.5</w:t>
      </w:r>
      <w:r>
        <w:rPr>
          <w:rFonts w:hint="eastAsia" w:hAnsi="宋体"/>
          <w:color w:val="000000" w:themeColor="text1"/>
          <w:szCs w:val="21"/>
          <w14:textFill>
            <w14:solidFill>
              <w14:schemeClr w14:val="tx1"/>
            </w14:solidFill>
          </w14:textFill>
        </w:rPr>
        <w:t xml:space="preserve"> 钢筋调直宜采用机械方法，也可采用冷拉方法。当采用冷拉方法调直钢筋时，HPB235 级钢筋的冷拉率不宜大于4%，HRB335级、HRB400级和RRB400级钢筋的冷拉率不宜大于1%。</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8.3.6</w:t>
      </w:r>
      <w:r>
        <w:rPr>
          <w:rFonts w:hint="eastAsia" w:hAnsi="宋体"/>
          <w:color w:val="000000" w:themeColor="text1"/>
          <w:szCs w:val="21"/>
          <w14:textFill>
            <w14:solidFill>
              <w14:schemeClr w14:val="tx1"/>
            </w14:solidFill>
          </w14:textFill>
        </w:rPr>
        <w:t xml:space="preserve"> 钢筋加工的形状、尺寸应符合设计要求，其质量检查验收应符合下列规定：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受力钢筋顺长度方向全长的净尺寸允许偏差±10mm；</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弯起钢筋的弯折位置允许偏差±20mm；</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theme="minorEastAsia"/>
          <w:color w:val="000000" w:themeColor="text1"/>
          <w:kern w:val="0"/>
          <w:szCs w:val="21"/>
          <w14:textFill>
            <w14:solidFill>
              <w14:schemeClr w14:val="tx1"/>
            </w14:solidFill>
          </w14:textFill>
        </w:rPr>
        <w:t>钢筋内净尺寸允许偏差±5mm。</w:t>
      </w:r>
    </w:p>
    <w:p>
      <w:pPr>
        <w:pStyle w:val="22"/>
        <w:tabs>
          <w:tab w:val="left" w:pos="851"/>
        </w:tabs>
        <w:snapToGrid w:val="0"/>
        <w:spacing w:line="360" w:lineRule="auto"/>
        <w:ind w:firstLine="0" w:firstLineChars="0"/>
        <w:jc w:val="left"/>
        <w:rPr>
          <w:rFonts w:ascii="宋体" w:hAnsi="宋体" w:cstheme="minorEastAsia"/>
          <w:strike/>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8.3.7</w:t>
      </w:r>
      <w:r>
        <w:rPr>
          <w:rFonts w:hint="eastAsia" w:hAnsi="宋体"/>
          <w:color w:val="000000" w:themeColor="text1"/>
          <w:szCs w:val="21"/>
          <w14:textFill>
            <w14:solidFill>
              <w14:schemeClr w14:val="tx1"/>
            </w14:solidFill>
          </w14:textFill>
        </w:rPr>
        <w:t xml:space="preserve"> 钢筋直螺纹接头的加工应符合现行国家标准的规定。</w:t>
      </w:r>
    </w:p>
    <w:p>
      <w:pPr>
        <w:tabs>
          <w:tab w:val="left" w:pos="576"/>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188" w:name="_Toc22222"/>
      <w:bookmarkStart w:id="189" w:name="_Toc8474"/>
      <w:bookmarkStart w:id="190" w:name="_Toc390"/>
      <w:bookmarkStart w:id="191" w:name="_Toc23231"/>
      <w:bookmarkStart w:id="192" w:name="_Toc26278"/>
      <w:bookmarkStart w:id="193" w:name="_Toc32646"/>
      <w:r>
        <w:rPr>
          <w:b/>
          <w:color w:val="000000" w:themeColor="text1"/>
          <w:sz w:val="24"/>
          <w14:textFill>
            <w14:solidFill>
              <w14:schemeClr w14:val="tx1"/>
            </w14:solidFill>
          </w14:textFill>
        </w:rPr>
        <w:t>8.4</w:t>
      </w:r>
      <w:r>
        <w:rPr>
          <w:rFonts w:hint="eastAsia" w:hAnsi="宋体"/>
          <w:b/>
          <w:color w:val="000000" w:themeColor="text1"/>
          <w:sz w:val="24"/>
          <w14:textFill>
            <w14:solidFill>
              <w14:schemeClr w14:val="tx1"/>
            </w14:solidFill>
          </w14:textFill>
        </w:rPr>
        <w:t xml:space="preserve">  喷射混凝土</w:t>
      </w:r>
      <w:bookmarkEnd w:id="188"/>
      <w:bookmarkEnd w:id="189"/>
      <w:bookmarkEnd w:id="190"/>
      <w:bookmarkEnd w:id="191"/>
      <w:bookmarkEnd w:id="192"/>
      <w:bookmarkEnd w:id="193"/>
    </w:p>
    <w:p>
      <w:pPr>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8.4.1 </w:t>
      </w:r>
      <w:r>
        <w:rPr>
          <w:rFonts w:hint="eastAsia" w:hAnsi="宋体"/>
          <w:color w:val="000000" w:themeColor="text1"/>
          <w:szCs w:val="21"/>
          <w14:textFill>
            <w14:solidFill>
              <w14:schemeClr w14:val="tx1"/>
            </w14:solidFill>
          </w14:textFill>
        </w:rPr>
        <w:t>喷射混凝土原材料应符合下列规定：</w:t>
      </w:r>
    </w:p>
    <w:p>
      <w:pPr>
        <w:adjustRightInd w:val="0"/>
        <w:snapToGrid w:val="0"/>
        <w:spacing w:line="360" w:lineRule="auto"/>
        <w:ind w:firstLine="361" w:firstLineChars="171"/>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 xml:space="preserve"> 水泥：宜选用硅酸盐水泥、普通硅酸盐水泥，强度等级不应低于42.5级，性能应符合现行国家标准《通用硅酸盐水泥》GB175等的规定；</w:t>
      </w:r>
    </w:p>
    <w:p>
      <w:pPr>
        <w:adjustRightInd w:val="0"/>
        <w:snapToGrid w:val="0"/>
        <w:spacing w:line="360" w:lineRule="auto"/>
        <w:ind w:firstLine="361" w:firstLineChars="171"/>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color w:val="000000" w:themeColor="text1"/>
          <w:szCs w:val="21"/>
          <w14:textFill>
            <w14:solidFill>
              <w14:schemeClr w14:val="tx1"/>
            </w14:solidFill>
          </w14:textFill>
        </w:rPr>
        <w:t xml:space="preserve">细骨料：应采用坚硬耐久的中砂或粗砂，细度模数应大于2.5，含水率宜控制在5%～7%。质量应符合现行国家标准《普通混凝土用砂、石质量及检验方法标准》JGJ52 的规定；  </w:t>
      </w:r>
    </w:p>
    <w:p>
      <w:pPr>
        <w:adjustRightInd w:val="0"/>
        <w:snapToGrid w:val="0"/>
        <w:spacing w:line="360" w:lineRule="auto"/>
        <w:ind w:firstLine="361" w:firstLineChars="171"/>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color w:val="000000" w:themeColor="text1"/>
          <w:szCs w:val="21"/>
          <w14:textFill>
            <w14:solidFill>
              <w14:schemeClr w14:val="tx1"/>
            </w14:solidFill>
          </w14:textFill>
        </w:rPr>
        <w:t xml:space="preserve"> 粗骨料：应采用坚硬的卵石或碎石，粒径不应大于15mm。质量应符合现行国家标准《普通混凝土用碎石或卵石质量及检验方法标准》JGJ53 的规定；</w:t>
      </w:r>
    </w:p>
    <w:p>
      <w:pPr>
        <w:adjustRightInd w:val="0"/>
        <w:snapToGrid w:val="0"/>
        <w:spacing w:line="360" w:lineRule="auto"/>
        <w:ind w:firstLine="361" w:firstLineChars="171"/>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color w:val="000000" w:themeColor="text1"/>
          <w:szCs w:val="21"/>
          <w14:textFill>
            <w14:solidFill>
              <w14:schemeClr w14:val="tx1"/>
            </w14:solidFill>
          </w14:textFill>
        </w:rPr>
        <w:t>骨料级配通过各筛径累计重量百分数应符合表</w:t>
      </w:r>
      <w:r>
        <w:rPr>
          <w:rFonts w:hint="eastAsia" w:hAnsi="宋体"/>
          <w:b/>
          <w:bCs/>
          <w:color w:val="000000" w:themeColor="text1"/>
          <w:szCs w:val="21"/>
          <w14:textFill>
            <w14:solidFill>
              <w14:schemeClr w14:val="tx1"/>
            </w14:solidFill>
          </w14:textFill>
        </w:rPr>
        <w:t>8.4.1</w:t>
      </w:r>
      <w:r>
        <w:rPr>
          <w:rFonts w:hint="eastAsia"/>
          <w:color w:val="000000" w:themeColor="text1"/>
          <w:szCs w:val="21"/>
          <w14:textFill>
            <w14:solidFill>
              <w14:schemeClr w14:val="tx1"/>
            </w14:solidFill>
          </w14:textFill>
        </w:rPr>
        <w:t>的规定；</w:t>
      </w:r>
    </w:p>
    <w:p>
      <w:pPr>
        <w:pStyle w:val="24"/>
        <w:snapToGrid w:val="0"/>
        <w:spacing w:line="360" w:lineRule="auto"/>
        <w:rPr>
          <w:b w:val="0"/>
          <w:color w:val="000000" w:themeColor="text1"/>
          <w:sz w:val="21"/>
          <w:szCs w:val="21"/>
          <w14:textFill>
            <w14:solidFill>
              <w14:schemeClr w14:val="tx1"/>
            </w14:solidFill>
          </w14:textFill>
        </w:rPr>
      </w:pPr>
      <w:r>
        <w:rPr>
          <w:rFonts w:hint="eastAsia"/>
          <w:b w:val="0"/>
          <w:color w:val="000000" w:themeColor="text1"/>
          <w:sz w:val="21"/>
          <w:szCs w:val="21"/>
          <w14:textFill>
            <w14:solidFill>
              <w14:schemeClr w14:val="tx1"/>
            </w14:solidFill>
          </w14:textFill>
        </w:rPr>
        <w:t>表</w:t>
      </w:r>
      <w:r>
        <w:rPr>
          <w:rFonts w:hint="eastAsia" w:hAnsi="宋体"/>
          <w:bCs/>
          <w:color w:val="000000" w:themeColor="text1"/>
          <w:sz w:val="21"/>
          <w:szCs w:val="21"/>
          <w14:textFill>
            <w14:solidFill>
              <w14:schemeClr w14:val="tx1"/>
            </w14:solidFill>
          </w14:textFill>
        </w:rPr>
        <w:t>8.4.1</w:t>
      </w:r>
      <w:r>
        <w:rPr>
          <w:rFonts w:hint="eastAsia"/>
          <w:b w:val="0"/>
          <w:color w:val="000000" w:themeColor="text1"/>
          <w:sz w:val="21"/>
          <w:szCs w:val="21"/>
          <w14:textFill>
            <w14:solidFill>
              <w14:schemeClr w14:val="tx1"/>
            </w14:solidFill>
          </w14:textFill>
        </w:rPr>
        <w:t xml:space="preserve">  骨料级配筛分率（%）</w:t>
      </w:r>
    </w:p>
    <w:tbl>
      <w:tblPr>
        <w:tblStyle w:val="12"/>
        <w:tblW w:w="8042" w:type="dxa"/>
        <w:tblInd w:w="28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57"/>
        <w:gridCol w:w="636"/>
        <w:gridCol w:w="846"/>
        <w:gridCol w:w="846"/>
        <w:gridCol w:w="846"/>
        <w:gridCol w:w="846"/>
        <w:gridCol w:w="846"/>
        <w:gridCol w:w="846"/>
        <w:gridCol w:w="7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8" w:hRule="atLeast"/>
        </w:trPr>
        <w:tc>
          <w:tcPr>
            <w:tcW w:w="1557" w:type="dxa"/>
            <w:tcBorders>
              <w:tl2br w:val="single" w:color="auto" w:sz="4" w:space="0"/>
            </w:tcBorders>
          </w:tcPr>
          <w:p>
            <w:pPr>
              <w:snapToGrid w:val="0"/>
              <w:ind w:left="564" w:leftChars="172" w:hanging="203" w:hangingChars="97"/>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骨料粒径</w:t>
            </w:r>
          </w:p>
          <w:p>
            <w:pPr>
              <w:snapToGrid w:val="0"/>
              <w:ind w:left="594" w:leftChars="283"/>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（mm</w:t>
            </w:r>
            <w:r>
              <w:rPr>
                <w:bCs/>
                <w:color w:val="000000" w:themeColor="text1"/>
                <w:szCs w:val="21"/>
                <w14:textFill>
                  <w14:solidFill>
                    <w14:schemeClr w14:val="tx1"/>
                  </w14:solidFill>
                </w14:textFill>
              </w:rPr>
              <w:t>）</w:t>
            </w:r>
          </w:p>
          <w:p>
            <w:pPr>
              <w:snapToGrid w:val="0"/>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等级</w:t>
            </w:r>
          </w:p>
        </w:tc>
        <w:tc>
          <w:tcPr>
            <w:tcW w:w="636"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0.15</w:t>
            </w:r>
          </w:p>
        </w:tc>
        <w:tc>
          <w:tcPr>
            <w:tcW w:w="846"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0.30</w:t>
            </w:r>
          </w:p>
        </w:tc>
        <w:tc>
          <w:tcPr>
            <w:tcW w:w="846"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0.60</w:t>
            </w:r>
          </w:p>
        </w:tc>
        <w:tc>
          <w:tcPr>
            <w:tcW w:w="846"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1.20</w:t>
            </w:r>
          </w:p>
        </w:tc>
        <w:tc>
          <w:tcPr>
            <w:tcW w:w="846"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2.5</w:t>
            </w:r>
          </w:p>
        </w:tc>
        <w:tc>
          <w:tcPr>
            <w:tcW w:w="846"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5</w:t>
            </w:r>
          </w:p>
        </w:tc>
        <w:tc>
          <w:tcPr>
            <w:tcW w:w="846"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10</w:t>
            </w:r>
          </w:p>
        </w:tc>
        <w:tc>
          <w:tcPr>
            <w:tcW w:w="773"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trPr>
        <w:tc>
          <w:tcPr>
            <w:tcW w:w="1557"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优</w:t>
            </w:r>
          </w:p>
        </w:tc>
        <w:tc>
          <w:tcPr>
            <w:tcW w:w="636"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5～7</w:t>
            </w:r>
          </w:p>
        </w:tc>
        <w:tc>
          <w:tcPr>
            <w:tcW w:w="846"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10～15</w:t>
            </w:r>
          </w:p>
        </w:tc>
        <w:tc>
          <w:tcPr>
            <w:tcW w:w="846"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17～22</w:t>
            </w:r>
          </w:p>
        </w:tc>
        <w:tc>
          <w:tcPr>
            <w:tcW w:w="846"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23～31</w:t>
            </w:r>
          </w:p>
        </w:tc>
        <w:tc>
          <w:tcPr>
            <w:tcW w:w="846"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35～43</w:t>
            </w:r>
          </w:p>
        </w:tc>
        <w:tc>
          <w:tcPr>
            <w:tcW w:w="846"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50～60</w:t>
            </w:r>
          </w:p>
        </w:tc>
        <w:tc>
          <w:tcPr>
            <w:tcW w:w="846"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73～82</w:t>
            </w:r>
          </w:p>
        </w:tc>
        <w:tc>
          <w:tcPr>
            <w:tcW w:w="773"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trPr>
        <w:tc>
          <w:tcPr>
            <w:tcW w:w="1557"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良</w:t>
            </w:r>
          </w:p>
        </w:tc>
        <w:tc>
          <w:tcPr>
            <w:tcW w:w="636"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4～8</w:t>
            </w:r>
          </w:p>
        </w:tc>
        <w:tc>
          <w:tcPr>
            <w:tcW w:w="846"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5～22</w:t>
            </w:r>
          </w:p>
        </w:tc>
        <w:tc>
          <w:tcPr>
            <w:tcW w:w="846"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13～31</w:t>
            </w:r>
          </w:p>
        </w:tc>
        <w:tc>
          <w:tcPr>
            <w:tcW w:w="846"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18～41</w:t>
            </w:r>
          </w:p>
        </w:tc>
        <w:tc>
          <w:tcPr>
            <w:tcW w:w="846"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26～54</w:t>
            </w:r>
          </w:p>
        </w:tc>
        <w:tc>
          <w:tcPr>
            <w:tcW w:w="846"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40～70</w:t>
            </w:r>
          </w:p>
        </w:tc>
        <w:tc>
          <w:tcPr>
            <w:tcW w:w="846"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62～90</w:t>
            </w:r>
          </w:p>
        </w:tc>
        <w:tc>
          <w:tcPr>
            <w:tcW w:w="773" w:type="dxa"/>
            <w:vAlign w:val="center"/>
          </w:tcPr>
          <w:p>
            <w:pPr>
              <w:snapToGrid w:val="0"/>
              <w:jc w:val="center"/>
              <w:rPr>
                <w:bCs/>
                <w:color w:val="000000" w:themeColor="text1"/>
                <w:szCs w:val="21"/>
                <w14:textFill>
                  <w14:solidFill>
                    <w14:schemeClr w14:val="tx1"/>
                  </w14:solidFill>
                </w14:textFill>
              </w:rPr>
            </w:pPr>
            <w:r>
              <w:rPr>
                <w:rFonts w:hint="eastAsia"/>
                <w:bCs/>
                <w:color w:val="000000" w:themeColor="text1"/>
                <w:szCs w:val="21"/>
                <w14:textFill>
                  <w14:solidFill>
                    <w14:schemeClr w14:val="tx1"/>
                  </w14:solidFill>
                </w14:textFill>
              </w:rPr>
              <w:t>100</w:t>
            </w:r>
          </w:p>
        </w:tc>
      </w:tr>
    </w:tbl>
    <w:p>
      <w:pPr>
        <w:adjustRightInd w:val="0"/>
        <w:snapToGrid w:val="0"/>
        <w:spacing w:line="360" w:lineRule="auto"/>
        <w:ind w:firstLine="361" w:firstLineChars="171"/>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5 </w:t>
      </w:r>
      <w:r>
        <w:rPr>
          <w:rFonts w:hint="eastAsia"/>
          <w:color w:val="000000" w:themeColor="text1"/>
          <w:szCs w:val="21"/>
          <w14:textFill>
            <w14:solidFill>
              <w14:schemeClr w14:val="tx1"/>
            </w14:solidFill>
          </w14:textFill>
        </w:rPr>
        <w:t>水：应采用洁净水；</w:t>
      </w:r>
    </w:p>
    <w:p>
      <w:pPr>
        <w:adjustRightInd w:val="0"/>
        <w:snapToGrid w:val="0"/>
        <w:spacing w:line="360" w:lineRule="auto"/>
        <w:ind w:firstLine="361" w:firstLineChars="171"/>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6 </w:t>
      </w:r>
      <w:r>
        <w:rPr>
          <w:rFonts w:hint="eastAsia"/>
          <w:color w:val="000000" w:themeColor="text1"/>
          <w:szCs w:val="21"/>
          <w14:textFill>
            <w14:solidFill>
              <w14:schemeClr w14:val="tx1"/>
            </w14:solidFill>
          </w14:textFill>
        </w:rPr>
        <w:t xml:space="preserve">外加剂：质量应符合现行国家标准《混凝土外加剂》GB8076、《混凝土外加剂应用技术规范》GB50119和《喷射混凝土用速凝剂》JC477 的规定。 </w:t>
      </w:r>
    </w:p>
    <w:p>
      <w:pPr>
        <w:snapToGrid w:val="0"/>
        <w:spacing w:line="360" w:lineRule="auto"/>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8.4.2 </w:t>
      </w:r>
      <w:r>
        <w:rPr>
          <w:rFonts w:hint="eastAsia" w:hAnsi="宋体"/>
          <w:color w:val="000000" w:themeColor="text1"/>
          <w:szCs w:val="21"/>
          <w14:textFill>
            <w14:solidFill>
              <w14:schemeClr w14:val="tx1"/>
            </w14:solidFill>
          </w14:textFill>
        </w:rPr>
        <w:t>喷射混凝土配合比应满足施工要求，并应符合下列规定：</w:t>
      </w:r>
    </w:p>
    <w:p>
      <w:pPr>
        <w:snapToGrid w:val="0"/>
        <w:spacing w:line="360" w:lineRule="auto"/>
        <w:ind w:firstLine="422" w:firstLineChars="200"/>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color w:val="000000" w:themeColor="text1"/>
          <w:szCs w:val="21"/>
          <w14:textFill>
            <w14:solidFill>
              <w14:schemeClr w14:val="tx1"/>
            </w14:solidFill>
          </w14:textFill>
        </w:rPr>
        <w:t>混凝土配合比应根据试验确定。其中，潮法喷射混凝土水泥与砂石重量比宜为 1：4～1:4.5，水灰比宜为 0.40～0.45，砂率宜为45%～55%；湿法喷射混凝土水泥与砂石重量比宜为 1:3.5～1:4；水灰比宜为 0.42～0.50，砂率宜为 50%～60%，坍落度宜为50</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60mm；</w:t>
      </w:r>
    </w:p>
    <w:p>
      <w:pPr>
        <w:snapToGrid w:val="0"/>
        <w:spacing w:line="360" w:lineRule="auto"/>
        <w:ind w:firstLine="422" w:firstLineChars="200"/>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color w:val="000000" w:themeColor="text1"/>
          <w:szCs w:val="21"/>
          <w14:textFill>
            <w14:solidFill>
              <w14:schemeClr w14:val="tx1"/>
            </w14:solidFill>
          </w14:textFill>
        </w:rPr>
        <w:t>速凝剂：应根据水泥品种、水灰比等通过试验确定最佳掺量，初凝时间不应超过 5min，终凝时间不应超过10min；</w:t>
      </w:r>
    </w:p>
    <w:p>
      <w:pPr>
        <w:snapToGrid w:val="0"/>
        <w:spacing w:line="360" w:lineRule="auto"/>
        <w:ind w:firstLine="422" w:firstLineChars="200"/>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color w:val="000000" w:themeColor="text1"/>
          <w:szCs w:val="21"/>
          <w14:textFill>
            <w14:solidFill>
              <w14:schemeClr w14:val="tx1"/>
            </w14:solidFill>
          </w14:textFill>
        </w:rPr>
        <w:t>混凝土中的氯化物和碱的总含量应符合设计要求及现行地方标准的规定。使用碱性速凝剂时，不应使用活性二氧化硅石料。</w:t>
      </w:r>
    </w:p>
    <w:p>
      <w:pPr>
        <w:pStyle w:val="22"/>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8.4.3 </w:t>
      </w:r>
      <w:r>
        <w:rPr>
          <w:rFonts w:hint="eastAsia" w:hAnsi="宋体"/>
          <w:color w:val="000000" w:themeColor="text1"/>
          <w:szCs w:val="21"/>
          <w14:textFill>
            <w14:solidFill>
              <w14:schemeClr w14:val="tx1"/>
            </w14:solidFill>
          </w14:textFill>
        </w:rPr>
        <w:t>喷射混凝土拌合应符合下列规定：</w:t>
      </w:r>
    </w:p>
    <w:p>
      <w:pPr>
        <w:adjustRightInd w:val="0"/>
        <w:snapToGrid w:val="0"/>
        <w:spacing w:line="360" w:lineRule="auto"/>
        <w:ind w:firstLine="361" w:firstLineChars="171"/>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color w:val="000000" w:themeColor="text1"/>
          <w:szCs w:val="21"/>
          <w14:textFill>
            <w14:solidFill>
              <w14:schemeClr w14:val="tx1"/>
            </w14:solidFill>
          </w14:textFill>
        </w:rPr>
        <w:t>喷射混凝土原材料应按施工配合比进行称量，允许偏差为：水泥和速凝剂±2%，砂石±3%；</w:t>
      </w:r>
    </w:p>
    <w:p>
      <w:pPr>
        <w:pStyle w:val="22"/>
        <w:numPr>
          <w:ilvl w:val="255"/>
          <w:numId w:val="0"/>
        </w:numPr>
        <w:tabs>
          <w:tab w:val="left" w:pos="851"/>
        </w:tabs>
        <w:snapToGrid w:val="0"/>
        <w:spacing w:line="360" w:lineRule="auto"/>
        <w:ind w:firstLine="422" w:firstLineChars="200"/>
        <w:jc w:val="left"/>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color w:val="000000" w:themeColor="text1"/>
          <w:szCs w:val="21"/>
          <w14:textFill>
            <w14:solidFill>
              <w14:schemeClr w14:val="tx1"/>
            </w14:solidFill>
          </w14:textFill>
        </w:rPr>
        <w:t>混合料</w:t>
      </w:r>
      <w:r>
        <w:rPr>
          <w:rFonts w:hint="eastAsia" w:hAnsi="宋体"/>
          <w:color w:val="000000" w:themeColor="text1"/>
          <w:szCs w:val="21"/>
          <w14:textFill>
            <w14:solidFill>
              <w14:schemeClr w14:val="tx1"/>
            </w14:solidFill>
          </w14:textFill>
        </w:rPr>
        <w:t>应搅拌均匀</w:t>
      </w:r>
      <w:r>
        <w:rPr>
          <w:rFonts w:hint="eastAsia"/>
          <w:color w:val="000000" w:themeColor="text1"/>
          <w:szCs w:val="21"/>
          <w14:textFill>
            <w14:solidFill>
              <w14:schemeClr w14:val="tx1"/>
            </w14:solidFill>
          </w14:textFill>
        </w:rPr>
        <w:t>、随拌随用，装入喷射机前应过筛，不应混入大块石等杂物，掺速凝剂后应及时使用，存放时间不应超过20min；</w:t>
      </w:r>
    </w:p>
    <w:p>
      <w:pPr>
        <w:pStyle w:val="22"/>
        <w:numPr>
          <w:ilvl w:val="255"/>
          <w:numId w:val="0"/>
        </w:numPr>
        <w:tabs>
          <w:tab w:val="left" w:pos="851"/>
        </w:tabs>
        <w:snapToGrid w:val="0"/>
        <w:spacing w:line="360" w:lineRule="auto"/>
        <w:ind w:firstLine="422" w:firstLineChars="200"/>
        <w:jc w:val="left"/>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color w:val="000000" w:themeColor="text1"/>
          <w:szCs w:val="21"/>
          <w14:textFill>
            <w14:solidFill>
              <w14:schemeClr w14:val="tx1"/>
            </w14:solidFill>
          </w14:textFill>
        </w:rPr>
        <w:t>混合料在运输、存放过程中应采取防潮、防雨淋等措施。</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194" w:name="_Toc18652"/>
      <w:bookmarkStart w:id="195" w:name="_Toc17247"/>
      <w:bookmarkStart w:id="196" w:name="_Toc32493"/>
      <w:bookmarkStart w:id="197" w:name="_Toc22665"/>
      <w:bookmarkStart w:id="198" w:name="_Toc11221"/>
      <w:bookmarkStart w:id="199" w:name="_Toc21228"/>
      <w:r>
        <w:rPr>
          <w:rFonts w:hint="eastAsia" w:hAnsi="宋体"/>
          <w:b/>
          <w:color w:val="000000" w:themeColor="text1"/>
          <w:sz w:val="24"/>
          <w14:textFill>
            <w14:solidFill>
              <w14:schemeClr w14:val="tx1"/>
            </w14:solidFill>
          </w14:textFill>
        </w:rPr>
        <w:t>8.5  防水混凝土</w:t>
      </w:r>
      <w:bookmarkEnd w:id="194"/>
      <w:bookmarkEnd w:id="195"/>
      <w:bookmarkEnd w:id="196"/>
      <w:bookmarkEnd w:id="197"/>
      <w:bookmarkEnd w:id="198"/>
      <w:bookmarkEnd w:id="199"/>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8.5.1 </w:t>
      </w:r>
      <w:r>
        <w:rPr>
          <w:rFonts w:hint="eastAsia" w:hAnsi="宋体"/>
          <w:color w:val="000000" w:themeColor="text1"/>
          <w:szCs w:val="21"/>
          <w14:textFill>
            <w14:solidFill>
              <w14:schemeClr w14:val="tx1"/>
            </w14:solidFill>
          </w14:textFill>
        </w:rPr>
        <w:t>水泥应符合现行国家标准《通用硅酸盐水泥》GB 175的规定，并应符合下列规定：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水泥品种宜采用硅酸盐水泥、普通硅酸盐水泥，采用其他品种水泥时应经试验确定；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ascii="宋体" w:hAnsi="宋体" w:cstheme="minorEastAsia"/>
          <w:color w:val="000000" w:themeColor="text1"/>
          <w:kern w:val="0"/>
          <w:szCs w:val="21"/>
          <w14:textFill>
            <w14:solidFill>
              <w14:schemeClr w14:val="tx1"/>
            </w14:solidFill>
          </w14:textFill>
        </w:rPr>
        <w:t xml:space="preserve"> 在受侵蚀性介质作用时，应按介质的性质选用相应的水泥品种；</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ascii="宋体" w:hAnsi="宋体" w:cstheme="minorEastAsia"/>
          <w:color w:val="000000" w:themeColor="text1"/>
          <w:kern w:val="0"/>
          <w:szCs w:val="21"/>
          <w14:textFill>
            <w14:solidFill>
              <w14:schemeClr w14:val="tx1"/>
            </w14:solidFill>
          </w14:textFill>
        </w:rPr>
        <w:t xml:space="preserve"> 不应使用过期或受潮结块的水泥，不同品种或强度等级的水泥不得混合使用。</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8.5.2 </w:t>
      </w:r>
      <w:r>
        <w:rPr>
          <w:rFonts w:hint="eastAsia" w:hAnsi="宋体"/>
          <w:color w:val="000000" w:themeColor="text1"/>
          <w:szCs w:val="21"/>
          <w14:textFill>
            <w14:solidFill>
              <w14:schemeClr w14:val="tx1"/>
            </w14:solidFill>
          </w14:textFill>
        </w:rPr>
        <w:t>防水混凝土使用的砂、石应符合下列规定：</w:t>
      </w:r>
    </w:p>
    <w:p>
      <w:pPr>
        <w:spacing w:line="360" w:lineRule="auto"/>
        <w:ind w:firstLine="422" w:firstLineChars="200"/>
        <w:jc w:val="left"/>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宜选用坚固耐久、洁净的碎石或卵石；最大粒径不宜大于40mm，泵送时其最大粒径不应大于输送管径的1／4；吸水率不应大于1.5％；不应使用碱活性骨料；碎石或卵石的质量应符合现行国家标准《普通混凝土用碎石或卵石质量标准及检验方法》JGJ 53的规定；</w:t>
      </w:r>
    </w:p>
    <w:p>
      <w:pPr>
        <w:spacing w:line="360" w:lineRule="auto"/>
        <w:ind w:firstLine="422" w:firstLineChars="200"/>
        <w:jc w:val="left"/>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砂宜选用坚硬、洁净的中粗砂，不应使用海砂；砂的质量应符合现行国家标准《普通混凝土用砂质量标准及检验方法》JGJ 52的有关规定。</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8.5.3 </w:t>
      </w:r>
      <w:r>
        <w:rPr>
          <w:rFonts w:hint="eastAsia" w:hAnsi="宋体"/>
          <w:color w:val="000000" w:themeColor="text1"/>
          <w:szCs w:val="21"/>
          <w14:textFill>
            <w14:solidFill>
              <w14:schemeClr w14:val="tx1"/>
            </w14:solidFill>
          </w14:textFill>
        </w:rPr>
        <w:t>混凝土用水应符合现行国家标准《混凝土用水标准》JGJ 63的有关规定。</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8.5.4 </w:t>
      </w:r>
      <w:r>
        <w:rPr>
          <w:rFonts w:hint="eastAsia" w:hAnsi="宋体"/>
          <w:color w:val="000000" w:themeColor="text1"/>
          <w:szCs w:val="21"/>
          <w14:textFill>
            <w14:solidFill>
              <w14:schemeClr w14:val="tx1"/>
            </w14:solidFill>
          </w14:textFill>
        </w:rPr>
        <w:t>防水混凝土可根据工程需要掺入减水剂、膨胀剂、防水剂、密实剂、引气剂、复合型外加剂及水泥基渗透结晶型材料，其品种和用量应经试验确定，所用外加剂的技术性能和质量应符合现行国家标准的有关规定。</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8.5.5 </w:t>
      </w:r>
      <w:r>
        <w:rPr>
          <w:rFonts w:hint="eastAsia" w:hAnsi="宋体"/>
          <w:color w:val="000000" w:themeColor="text1"/>
          <w:szCs w:val="21"/>
          <w14:textFill>
            <w14:solidFill>
              <w14:schemeClr w14:val="tx1"/>
            </w14:solidFill>
          </w14:textFill>
        </w:rPr>
        <w:t xml:space="preserve">防水层混凝土配合比应符合下列规定： </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防水混凝土的施工配合比应经试验确定，试配混凝土的抗渗等级应比设计要求提高0.2MPa；</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防水混凝土抗渗等级应符合设计要求，且不应小于P6；并应根据地下工程所处的环境和工作条件，满足设计抗压强度、抗冻和抗侵蚀性等耐久性要求；</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ascii="宋体" w:hAnsi="宋体" w:cstheme="minorEastAsia"/>
          <w:color w:val="000000" w:themeColor="text1"/>
          <w:kern w:val="0"/>
          <w:szCs w:val="21"/>
          <w14:textFill>
            <w14:solidFill>
              <w14:schemeClr w14:val="tx1"/>
            </w14:solidFill>
          </w14:textFill>
        </w:rPr>
        <w:t xml:space="preserve"> 水泥用量不应少于320kg/m</w:t>
      </w:r>
      <w:r>
        <w:rPr>
          <w:rFonts w:hint="eastAsia" w:ascii="宋体" w:hAnsi="宋体" w:cstheme="minorEastAsia"/>
          <w:color w:val="000000" w:themeColor="text1"/>
          <w:kern w:val="0"/>
          <w:szCs w:val="21"/>
          <w:vertAlign w:val="superscript"/>
          <w14:textFill>
            <w14:solidFill>
              <w14:schemeClr w14:val="tx1"/>
            </w14:solidFill>
          </w14:textFill>
        </w:rPr>
        <w:t>3</w:t>
      </w:r>
      <w:r>
        <w:rPr>
          <w:rFonts w:hint="eastAsia" w:ascii="宋体" w:hAnsi="宋体" w:cstheme="minorEastAsia"/>
          <w:color w:val="000000" w:themeColor="text1"/>
          <w:kern w:val="0"/>
          <w:szCs w:val="21"/>
          <w14:textFill>
            <w14:solidFill>
              <w14:schemeClr w14:val="tx1"/>
            </w14:solidFill>
          </w14:textFill>
        </w:rPr>
        <w:t>；当掺有活性掺合料时，水泥用量不应低于 260kg/m</w:t>
      </w:r>
      <w:r>
        <w:rPr>
          <w:rFonts w:hint="eastAsia" w:ascii="宋体" w:hAnsi="宋体" w:cstheme="minorEastAsia"/>
          <w:color w:val="000000" w:themeColor="text1"/>
          <w:kern w:val="0"/>
          <w:szCs w:val="21"/>
          <w:vertAlign w:val="superscript"/>
          <w14:textFill>
            <w14:solidFill>
              <w14:schemeClr w14:val="tx1"/>
            </w14:solidFill>
          </w14:textFill>
        </w:rPr>
        <w:t>3</w:t>
      </w:r>
      <w:r>
        <w:rPr>
          <w:rFonts w:hint="eastAsia" w:ascii="宋体" w:hAnsi="宋体" w:cstheme="minorEastAsia"/>
          <w:color w:val="000000" w:themeColor="text1"/>
          <w:kern w:val="0"/>
          <w:szCs w:val="21"/>
          <w14:textFill>
            <w14:solidFill>
              <w14:schemeClr w14:val="tx1"/>
            </w14:solidFill>
          </w14:textFill>
        </w:rPr>
        <w:t>；</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4</w:t>
      </w:r>
      <w:r>
        <w:rPr>
          <w:rFonts w:hint="eastAsia" w:ascii="宋体" w:hAnsi="宋体" w:cstheme="minorEastAsia"/>
          <w:color w:val="000000" w:themeColor="text1"/>
          <w:kern w:val="0"/>
          <w:szCs w:val="21"/>
          <w14:textFill>
            <w14:solidFill>
              <w14:schemeClr w14:val="tx1"/>
            </w14:solidFill>
          </w14:textFill>
        </w:rPr>
        <w:t xml:space="preserve"> 防水混凝土的总碱量(Na</w:t>
      </w:r>
      <w:r>
        <w:rPr>
          <w:rFonts w:hint="eastAsia" w:ascii="宋体" w:hAnsi="宋体" w:cstheme="minorEastAsia"/>
          <w:color w:val="000000" w:themeColor="text1"/>
          <w:kern w:val="0"/>
          <w:szCs w:val="21"/>
          <w:vertAlign w:val="subscript"/>
          <w14:textFill>
            <w14:solidFill>
              <w14:schemeClr w14:val="tx1"/>
            </w14:solidFill>
          </w14:textFill>
        </w:rPr>
        <w:t>2</w:t>
      </w:r>
      <w:r>
        <w:rPr>
          <w:rFonts w:hint="eastAsia" w:ascii="宋体" w:hAnsi="宋体" w:cstheme="minorEastAsia"/>
          <w:color w:val="000000" w:themeColor="text1"/>
          <w:kern w:val="0"/>
          <w:szCs w:val="21"/>
          <w14:textFill>
            <w14:solidFill>
              <w14:schemeClr w14:val="tx1"/>
            </w14:solidFill>
          </w14:textFill>
        </w:rPr>
        <w:t>0当量)不应大于3kg／m³，氯离子含量不应超过胶凝材料总量的0.1％；</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5 </w:t>
      </w:r>
      <w:r>
        <w:rPr>
          <w:rFonts w:hint="eastAsia" w:ascii="宋体" w:hAnsi="宋体" w:cstheme="minorEastAsia"/>
          <w:color w:val="000000" w:themeColor="text1"/>
          <w:kern w:val="0"/>
          <w:szCs w:val="21"/>
          <w14:textFill>
            <w14:solidFill>
              <w14:schemeClr w14:val="tx1"/>
            </w14:solidFill>
          </w14:textFill>
        </w:rPr>
        <w:t xml:space="preserve">砂率宜为35%～40％，泵送时可增至45%； </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6 </w:t>
      </w:r>
      <w:r>
        <w:rPr>
          <w:rFonts w:hint="eastAsia" w:ascii="宋体" w:hAnsi="宋体" w:cstheme="minorEastAsia"/>
          <w:color w:val="000000" w:themeColor="text1"/>
          <w:kern w:val="0"/>
          <w:szCs w:val="21"/>
          <w14:textFill>
            <w14:solidFill>
              <w14:schemeClr w14:val="tx1"/>
            </w14:solidFill>
          </w14:textFill>
        </w:rPr>
        <w:t xml:space="preserve">灰砂比宜为 1:1.5～1:2.5，水胶比不应大于0.50，有侵蚀性介质时水胶比不宜大于0.45； </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 </w:t>
      </w:r>
      <w:r>
        <w:rPr>
          <w:rFonts w:hint="eastAsia" w:ascii="宋体" w:hAnsi="宋体" w:cstheme="minorEastAsia"/>
          <w:color w:val="000000" w:themeColor="text1"/>
          <w:kern w:val="0"/>
          <w:szCs w:val="21"/>
          <w14:textFill>
            <w14:solidFill>
              <w14:schemeClr w14:val="tx1"/>
            </w14:solidFill>
          </w14:textFill>
        </w:rPr>
        <w:t xml:space="preserve">防水混凝土采用预拌混凝土时，入泵塌落度宜控制在120～160mm，坍落度每小时总损失值不应大于40mm； </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8 </w:t>
      </w:r>
      <w:r>
        <w:rPr>
          <w:rFonts w:hint="eastAsia" w:ascii="宋体" w:hAnsi="宋体" w:cstheme="minorEastAsia"/>
          <w:color w:val="000000" w:themeColor="text1"/>
          <w:kern w:val="0"/>
          <w:szCs w:val="21"/>
          <w14:textFill>
            <w14:solidFill>
              <w14:schemeClr w14:val="tx1"/>
            </w14:solidFill>
          </w14:textFill>
        </w:rPr>
        <w:t xml:space="preserve">掺加引气剂或引气型减水剂时，混凝土含气量应控制在 3％～5％； </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9</w:t>
      </w:r>
      <w:r>
        <w:rPr>
          <w:rFonts w:hint="eastAsia" w:ascii="宋体" w:hAnsi="宋体" w:cstheme="minorEastAsia"/>
          <w:color w:val="000000" w:themeColor="text1"/>
          <w:kern w:val="0"/>
          <w:szCs w:val="21"/>
          <w14:textFill>
            <w14:solidFill>
              <w14:schemeClr w14:val="tx1"/>
            </w14:solidFill>
          </w14:textFill>
        </w:rPr>
        <w:t xml:space="preserve"> 常温时，预拌混凝土的初凝时间宜为6～8h；冬期时，不宜早于8h。</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8.5.6 </w:t>
      </w:r>
      <w:r>
        <w:rPr>
          <w:rFonts w:hint="eastAsia" w:hAnsi="宋体"/>
          <w:color w:val="000000" w:themeColor="text1"/>
          <w:szCs w:val="21"/>
          <w14:textFill>
            <w14:solidFill>
              <w14:schemeClr w14:val="tx1"/>
            </w14:solidFill>
          </w14:textFill>
        </w:rPr>
        <w:t>防水混凝土搅拌应符合下列规定：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应采用机械搅拌，并应根据外加剂的技术要求确定搅拌时间；</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 xml:space="preserve">水温不宜高于60℃，骨料温度不宜高于28℃； </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theme="minorEastAsia"/>
          <w:color w:val="000000" w:themeColor="text1"/>
          <w:kern w:val="0"/>
          <w:szCs w:val="21"/>
          <w14:textFill>
            <w14:solidFill>
              <w14:schemeClr w14:val="tx1"/>
            </w14:solidFill>
          </w14:textFill>
        </w:rPr>
        <w:t>防水混凝土配料计量允许偏差应符合表</w:t>
      </w:r>
      <w:r>
        <w:rPr>
          <w:rFonts w:hint="eastAsia" w:hAnsi="宋体"/>
          <w:b/>
          <w:bCs/>
          <w:color w:val="000000" w:themeColor="text1"/>
          <w:szCs w:val="21"/>
          <w14:textFill>
            <w14:solidFill>
              <w14:schemeClr w14:val="tx1"/>
            </w14:solidFill>
          </w14:textFill>
        </w:rPr>
        <w:t>8.5.6</w:t>
      </w:r>
      <w:r>
        <w:rPr>
          <w:rFonts w:hint="eastAsia" w:ascii="宋体" w:hAnsi="宋体" w:cstheme="minorEastAsia"/>
          <w:color w:val="000000" w:themeColor="text1"/>
          <w:kern w:val="0"/>
          <w:szCs w:val="21"/>
          <w14:textFill>
            <w14:solidFill>
              <w14:schemeClr w14:val="tx1"/>
            </w14:solidFill>
          </w14:textFill>
        </w:rPr>
        <w:t>的规定；</w:t>
      </w:r>
    </w:p>
    <w:p>
      <w:pPr>
        <w:spacing w:line="360" w:lineRule="auto"/>
        <w:ind w:firstLine="420" w:firstLineChars="200"/>
        <w:jc w:val="center"/>
        <w:rPr>
          <w:rFonts w:hAnsi="宋体"/>
          <w:b/>
          <w:bCs/>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表</w:t>
      </w:r>
      <w:r>
        <w:rPr>
          <w:rFonts w:hint="eastAsia" w:hAnsi="宋体"/>
          <w:b/>
          <w:bCs/>
          <w:color w:val="000000" w:themeColor="text1"/>
          <w:szCs w:val="21"/>
          <w14:textFill>
            <w14:solidFill>
              <w14:schemeClr w14:val="tx1"/>
            </w14:solidFill>
          </w14:textFill>
        </w:rPr>
        <w:t>8.5.6</w:t>
      </w:r>
      <w:r>
        <w:rPr>
          <w:rFonts w:hint="eastAsia"/>
          <w:color w:val="000000" w:themeColor="text1"/>
          <w:szCs w:val="21"/>
          <w14:textFill>
            <w14:solidFill>
              <w14:schemeClr w14:val="tx1"/>
            </w14:solidFill>
          </w14:textFill>
        </w:rPr>
        <w:t xml:space="preserve">  </w:t>
      </w:r>
      <w:r>
        <w:rPr>
          <w:rFonts w:hint="eastAsia" w:ascii="宋体" w:hAnsi="宋体" w:cstheme="minorEastAsia"/>
          <w:color w:val="000000" w:themeColor="text1"/>
          <w:kern w:val="0"/>
          <w:szCs w:val="21"/>
          <w14:textFill>
            <w14:solidFill>
              <w14:schemeClr w14:val="tx1"/>
            </w14:solidFill>
          </w14:textFill>
        </w:rPr>
        <w:t>配料计量允许偏差</w:t>
      </w:r>
    </w:p>
    <w:tbl>
      <w:tblPr>
        <w:tblStyle w:val="12"/>
        <w:tblW w:w="7162" w:type="dxa"/>
        <w:tblInd w:w="411" w:type="dxa"/>
        <w:tblLayout w:type="fixed"/>
        <w:tblCellMar>
          <w:top w:w="15" w:type="dxa"/>
          <w:left w:w="15" w:type="dxa"/>
          <w:bottom w:w="15" w:type="dxa"/>
          <w:right w:w="15" w:type="dxa"/>
        </w:tblCellMar>
      </w:tblPr>
      <w:tblGrid>
        <w:gridCol w:w="3051"/>
        <w:gridCol w:w="2410"/>
        <w:gridCol w:w="1701"/>
      </w:tblGrid>
      <w:tr>
        <w:tblPrEx>
          <w:tblCellMar>
            <w:top w:w="15" w:type="dxa"/>
            <w:left w:w="15" w:type="dxa"/>
            <w:bottom w:w="15" w:type="dxa"/>
            <w:right w:w="15" w:type="dxa"/>
          </w:tblCellMar>
        </w:tblPrEx>
        <w:tc>
          <w:tcPr>
            <w:tcW w:w="3051" w:type="dxa"/>
            <w:tcBorders>
              <w:top w:val="single" w:color="333333" w:sz="6" w:space="0"/>
              <w:left w:val="single" w:color="333333" w:sz="6" w:space="0"/>
              <w:bottom w:val="single" w:color="333333" w:sz="6" w:space="0"/>
              <w:right w:val="single" w:color="333333" w:sz="6" w:space="0"/>
            </w:tcBorders>
            <w:tcMar>
              <w:top w:w="60" w:type="dxa"/>
              <w:left w:w="60" w:type="dxa"/>
              <w:bottom w:w="60" w:type="dxa"/>
              <w:right w:w="60" w:type="dxa"/>
            </w:tcMar>
            <w:vAlign w:val="center"/>
          </w:tcPr>
          <w:p>
            <w:pPr>
              <w:ind w:firstLine="420" w:firstLineChars="200"/>
              <w:jc w:val="center"/>
              <w:rPr>
                <w:rFonts w:ascii="宋体" w:hAnsi="宋体"/>
                <w:color w:val="000000" w:themeColor="text1"/>
                <w:lang w:bidi="en-US"/>
                <w14:textFill>
                  <w14:solidFill>
                    <w14:schemeClr w14:val="tx1"/>
                  </w14:solidFill>
                </w14:textFill>
              </w:rPr>
            </w:pPr>
            <w:r>
              <w:rPr>
                <w:rFonts w:ascii="宋体" w:hAnsi="宋体"/>
                <w:color w:val="000000" w:themeColor="text1"/>
                <w:lang w:bidi="en-US"/>
                <w14:textFill>
                  <w14:solidFill>
                    <w14:schemeClr w14:val="tx1"/>
                  </w14:solidFill>
                </w14:textFill>
              </w:rPr>
              <w:t>混凝土组成材料</w:t>
            </w:r>
          </w:p>
        </w:tc>
        <w:tc>
          <w:tcPr>
            <w:tcW w:w="2410" w:type="dxa"/>
            <w:tcBorders>
              <w:top w:val="single" w:color="333333" w:sz="6" w:space="0"/>
              <w:left w:val="single" w:color="333333" w:sz="6" w:space="0"/>
              <w:bottom w:val="single" w:color="333333" w:sz="6" w:space="0"/>
              <w:right w:val="single" w:color="333333" w:sz="6" w:space="0"/>
            </w:tcBorders>
            <w:tcMar>
              <w:top w:w="60" w:type="dxa"/>
              <w:left w:w="60" w:type="dxa"/>
              <w:bottom w:w="60" w:type="dxa"/>
              <w:right w:w="60" w:type="dxa"/>
            </w:tcMar>
            <w:vAlign w:val="center"/>
          </w:tcPr>
          <w:p>
            <w:pPr>
              <w:jc w:val="center"/>
              <w:rPr>
                <w:rFonts w:ascii="宋体" w:hAnsi="宋体"/>
                <w:color w:val="000000" w:themeColor="text1"/>
                <w:lang w:bidi="en-US"/>
                <w14:textFill>
                  <w14:solidFill>
                    <w14:schemeClr w14:val="tx1"/>
                  </w14:solidFill>
                </w14:textFill>
              </w:rPr>
            </w:pPr>
            <w:r>
              <w:rPr>
                <w:rFonts w:ascii="宋体" w:hAnsi="宋体"/>
                <w:color w:val="000000" w:themeColor="text1"/>
                <w:lang w:bidi="en-US"/>
                <w14:textFill>
                  <w14:solidFill>
                    <w14:schemeClr w14:val="tx1"/>
                  </w14:solidFill>
                </w14:textFill>
              </w:rPr>
              <w:t>每盘计量（%）</w:t>
            </w:r>
          </w:p>
        </w:tc>
        <w:tc>
          <w:tcPr>
            <w:tcW w:w="1701" w:type="dxa"/>
            <w:tcBorders>
              <w:top w:val="single" w:color="333333" w:sz="6" w:space="0"/>
              <w:left w:val="single" w:color="333333" w:sz="6" w:space="0"/>
              <w:bottom w:val="single" w:color="333333" w:sz="6" w:space="0"/>
              <w:right w:val="single" w:color="333333" w:sz="6" w:space="0"/>
            </w:tcBorders>
            <w:tcMar>
              <w:top w:w="60" w:type="dxa"/>
              <w:left w:w="60" w:type="dxa"/>
              <w:bottom w:w="60" w:type="dxa"/>
              <w:right w:w="60" w:type="dxa"/>
            </w:tcMar>
            <w:vAlign w:val="center"/>
          </w:tcPr>
          <w:p>
            <w:pPr>
              <w:rPr>
                <w:rFonts w:ascii="宋体" w:hAnsi="宋体"/>
                <w:color w:val="000000" w:themeColor="text1"/>
                <w:lang w:bidi="en-US"/>
                <w14:textFill>
                  <w14:solidFill>
                    <w14:schemeClr w14:val="tx1"/>
                  </w14:solidFill>
                </w14:textFill>
              </w:rPr>
            </w:pPr>
            <w:r>
              <w:rPr>
                <w:rFonts w:ascii="宋体" w:hAnsi="宋体"/>
                <w:color w:val="000000" w:themeColor="text1"/>
                <w:lang w:bidi="en-US"/>
                <w14:textFill>
                  <w14:solidFill>
                    <w14:schemeClr w14:val="tx1"/>
                  </w14:solidFill>
                </w14:textFill>
              </w:rPr>
              <w:t>累计计量（%）</w:t>
            </w:r>
          </w:p>
        </w:tc>
      </w:tr>
      <w:tr>
        <w:tblPrEx>
          <w:tblCellMar>
            <w:top w:w="15" w:type="dxa"/>
            <w:left w:w="15" w:type="dxa"/>
            <w:bottom w:w="15" w:type="dxa"/>
            <w:right w:w="15" w:type="dxa"/>
          </w:tblCellMar>
        </w:tblPrEx>
        <w:tc>
          <w:tcPr>
            <w:tcW w:w="3051" w:type="dxa"/>
            <w:tcBorders>
              <w:top w:val="single" w:color="333333" w:sz="6" w:space="0"/>
              <w:left w:val="single" w:color="333333" w:sz="6" w:space="0"/>
              <w:bottom w:val="single" w:color="333333" w:sz="6" w:space="0"/>
              <w:right w:val="single" w:color="333333" w:sz="6" w:space="0"/>
            </w:tcBorders>
            <w:tcMar>
              <w:top w:w="60" w:type="dxa"/>
              <w:left w:w="60" w:type="dxa"/>
              <w:bottom w:w="60" w:type="dxa"/>
              <w:right w:w="60" w:type="dxa"/>
            </w:tcMar>
            <w:vAlign w:val="center"/>
          </w:tcPr>
          <w:p>
            <w:pPr>
              <w:ind w:firstLine="420" w:firstLineChars="200"/>
              <w:jc w:val="center"/>
              <w:rPr>
                <w:rFonts w:ascii="宋体" w:hAnsi="宋体"/>
                <w:color w:val="000000" w:themeColor="text1"/>
                <w:lang w:bidi="en-US"/>
                <w14:textFill>
                  <w14:solidFill>
                    <w14:schemeClr w14:val="tx1"/>
                  </w14:solidFill>
                </w14:textFill>
              </w:rPr>
            </w:pPr>
            <w:r>
              <w:rPr>
                <w:rFonts w:ascii="宋体" w:hAnsi="宋体"/>
                <w:color w:val="000000" w:themeColor="text1"/>
                <w:lang w:bidi="en-US"/>
                <w14:textFill>
                  <w14:solidFill>
                    <w14:schemeClr w14:val="tx1"/>
                  </w14:solidFill>
                </w14:textFill>
              </w:rPr>
              <w:t>水泥、掺合料</w:t>
            </w:r>
          </w:p>
        </w:tc>
        <w:tc>
          <w:tcPr>
            <w:tcW w:w="2410" w:type="dxa"/>
            <w:tcBorders>
              <w:top w:val="single" w:color="333333" w:sz="6" w:space="0"/>
              <w:left w:val="single" w:color="333333" w:sz="6" w:space="0"/>
              <w:bottom w:val="single" w:color="333333" w:sz="6" w:space="0"/>
              <w:right w:val="single" w:color="333333" w:sz="6" w:space="0"/>
            </w:tcBorders>
            <w:tcMar>
              <w:top w:w="60" w:type="dxa"/>
              <w:left w:w="60" w:type="dxa"/>
              <w:bottom w:w="60" w:type="dxa"/>
              <w:right w:w="60" w:type="dxa"/>
            </w:tcMar>
            <w:vAlign w:val="center"/>
          </w:tcPr>
          <w:p>
            <w:pPr>
              <w:ind w:firstLine="420" w:firstLineChars="200"/>
              <w:jc w:val="center"/>
              <w:rPr>
                <w:rFonts w:ascii="宋体" w:hAnsi="宋体"/>
                <w:color w:val="000000" w:themeColor="text1"/>
                <w:lang w:bidi="en-US"/>
                <w14:textFill>
                  <w14:solidFill>
                    <w14:schemeClr w14:val="tx1"/>
                  </w14:solidFill>
                </w14:textFill>
              </w:rPr>
            </w:pPr>
            <w:r>
              <w:rPr>
                <w:rFonts w:ascii="宋体" w:hAnsi="宋体"/>
                <w:color w:val="000000" w:themeColor="text1"/>
                <w:lang w:bidi="en-US"/>
                <w14:textFill>
                  <w14:solidFill>
                    <w14:schemeClr w14:val="tx1"/>
                  </w14:solidFill>
                </w14:textFill>
              </w:rPr>
              <w:t>±2</w:t>
            </w:r>
          </w:p>
        </w:tc>
        <w:tc>
          <w:tcPr>
            <w:tcW w:w="1701" w:type="dxa"/>
            <w:tcBorders>
              <w:top w:val="single" w:color="333333" w:sz="6" w:space="0"/>
              <w:left w:val="single" w:color="333333" w:sz="6" w:space="0"/>
              <w:bottom w:val="single" w:color="333333" w:sz="6" w:space="0"/>
              <w:right w:val="single" w:color="333333" w:sz="6" w:space="0"/>
            </w:tcBorders>
            <w:tcMar>
              <w:top w:w="60" w:type="dxa"/>
              <w:left w:w="60" w:type="dxa"/>
              <w:bottom w:w="60" w:type="dxa"/>
              <w:right w:w="60" w:type="dxa"/>
            </w:tcMar>
            <w:vAlign w:val="center"/>
          </w:tcPr>
          <w:p>
            <w:pPr>
              <w:ind w:firstLine="420" w:firstLineChars="200"/>
              <w:rPr>
                <w:rFonts w:ascii="宋体" w:hAnsi="宋体"/>
                <w:color w:val="000000" w:themeColor="text1"/>
                <w:lang w:bidi="en-US"/>
                <w14:textFill>
                  <w14:solidFill>
                    <w14:schemeClr w14:val="tx1"/>
                  </w14:solidFill>
                </w14:textFill>
              </w:rPr>
            </w:pPr>
            <w:r>
              <w:rPr>
                <w:rFonts w:ascii="宋体" w:hAnsi="宋体"/>
                <w:color w:val="000000" w:themeColor="text1"/>
                <w:lang w:bidi="en-US"/>
                <w14:textFill>
                  <w14:solidFill>
                    <w14:schemeClr w14:val="tx1"/>
                  </w14:solidFill>
                </w14:textFill>
              </w:rPr>
              <w:t>±1</w:t>
            </w:r>
          </w:p>
        </w:tc>
      </w:tr>
      <w:tr>
        <w:tblPrEx>
          <w:tblCellMar>
            <w:top w:w="15" w:type="dxa"/>
            <w:left w:w="15" w:type="dxa"/>
            <w:bottom w:w="15" w:type="dxa"/>
            <w:right w:w="15" w:type="dxa"/>
          </w:tblCellMar>
        </w:tblPrEx>
        <w:tc>
          <w:tcPr>
            <w:tcW w:w="3051" w:type="dxa"/>
            <w:tcBorders>
              <w:top w:val="single" w:color="333333" w:sz="6" w:space="0"/>
              <w:left w:val="single" w:color="333333" w:sz="6" w:space="0"/>
              <w:bottom w:val="single" w:color="333333" w:sz="6" w:space="0"/>
              <w:right w:val="single" w:color="333333" w:sz="6" w:space="0"/>
            </w:tcBorders>
            <w:tcMar>
              <w:top w:w="60" w:type="dxa"/>
              <w:left w:w="60" w:type="dxa"/>
              <w:bottom w:w="60" w:type="dxa"/>
              <w:right w:w="60" w:type="dxa"/>
            </w:tcMar>
            <w:vAlign w:val="center"/>
          </w:tcPr>
          <w:p>
            <w:pPr>
              <w:ind w:firstLine="420" w:firstLineChars="200"/>
              <w:jc w:val="center"/>
              <w:rPr>
                <w:rFonts w:ascii="宋体" w:hAnsi="宋体"/>
                <w:color w:val="000000" w:themeColor="text1"/>
                <w:lang w:bidi="en-US"/>
                <w14:textFill>
                  <w14:solidFill>
                    <w14:schemeClr w14:val="tx1"/>
                  </w14:solidFill>
                </w14:textFill>
              </w:rPr>
            </w:pPr>
            <w:r>
              <w:rPr>
                <w:rFonts w:ascii="宋体" w:hAnsi="宋体"/>
                <w:color w:val="000000" w:themeColor="text1"/>
                <w:lang w:bidi="en-US"/>
                <w14:textFill>
                  <w14:solidFill>
                    <w14:schemeClr w14:val="tx1"/>
                  </w14:solidFill>
                </w14:textFill>
              </w:rPr>
              <w:t>粗、细骨料</w:t>
            </w:r>
          </w:p>
        </w:tc>
        <w:tc>
          <w:tcPr>
            <w:tcW w:w="2410" w:type="dxa"/>
            <w:tcBorders>
              <w:top w:val="single" w:color="333333" w:sz="6" w:space="0"/>
              <w:left w:val="single" w:color="333333" w:sz="6" w:space="0"/>
              <w:bottom w:val="single" w:color="333333" w:sz="6" w:space="0"/>
              <w:right w:val="single" w:color="333333" w:sz="6" w:space="0"/>
            </w:tcBorders>
            <w:tcMar>
              <w:top w:w="60" w:type="dxa"/>
              <w:left w:w="60" w:type="dxa"/>
              <w:bottom w:w="60" w:type="dxa"/>
              <w:right w:w="60" w:type="dxa"/>
            </w:tcMar>
            <w:vAlign w:val="center"/>
          </w:tcPr>
          <w:p>
            <w:pPr>
              <w:ind w:firstLine="420" w:firstLineChars="200"/>
              <w:jc w:val="center"/>
              <w:rPr>
                <w:rFonts w:ascii="宋体" w:hAnsi="宋体"/>
                <w:color w:val="000000" w:themeColor="text1"/>
                <w:lang w:bidi="en-US"/>
                <w14:textFill>
                  <w14:solidFill>
                    <w14:schemeClr w14:val="tx1"/>
                  </w14:solidFill>
                </w14:textFill>
              </w:rPr>
            </w:pPr>
            <w:r>
              <w:rPr>
                <w:rFonts w:ascii="宋体" w:hAnsi="宋体"/>
                <w:color w:val="000000" w:themeColor="text1"/>
                <w:lang w:bidi="en-US"/>
                <w14:textFill>
                  <w14:solidFill>
                    <w14:schemeClr w14:val="tx1"/>
                  </w14:solidFill>
                </w14:textFill>
              </w:rPr>
              <w:t>±2</w:t>
            </w:r>
          </w:p>
        </w:tc>
        <w:tc>
          <w:tcPr>
            <w:tcW w:w="1701" w:type="dxa"/>
            <w:tcBorders>
              <w:top w:val="single" w:color="333333" w:sz="6" w:space="0"/>
              <w:left w:val="single" w:color="333333" w:sz="6" w:space="0"/>
              <w:bottom w:val="single" w:color="333333" w:sz="6" w:space="0"/>
              <w:right w:val="single" w:color="333333" w:sz="6" w:space="0"/>
            </w:tcBorders>
            <w:tcMar>
              <w:top w:w="60" w:type="dxa"/>
              <w:left w:w="60" w:type="dxa"/>
              <w:bottom w:w="60" w:type="dxa"/>
              <w:right w:w="60" w:type="dxa"/>
            </w:tcMar>
            <w:vAlign w:val="center"/>
          </w:tcPr>
          <w:p>
            <w:pPr>
              <w:ind w:firstLine="420" w:firstLineChars="200"/>
              <w:rPr>
                <w:rFonts w:ascii="宋体" w:hAnsi="宋体"/>
                <w:color w:val="000000" w:themeColor="text1"/>
                <w:lang w:bidi="en-US"/>
                <w14:textFill>
                  <w14:solidFill>
                    <w14:schemeClr w14:val="tx1"/>
                  </w14:solidFill>
                </w14:textFill>
              </w:rPr>
            </w:pPr>
            <w:r>
              <w:rPr>
                <w:rFonts w:ascii="宋体" w:hAnsi="宋体"/>
                <w:color w:val="000000" w:themeColor="text1"/>
                <w:lang w:bidi="en-US"/>
                <w14:textFill>
                  <w14:solidFill>
                    <w14:schemeClr w14:val="tx1"/>
                  </w14:solidFill>
                </w14:textFill>
              </w:rPr>
              <w:t>±2</w:t>
            </w:r>
          </w:p>
        </w:tc>
      </w:tr>
      <w:tr>
        <w:tblPrEx>
          <w:tblCellMar>
            <w:top w:w="15" w:type="dxa"/>
            <w:left w:w="15" w:type="dxa"/>
            <w:bottom w:w="15" w:type="dxa"/>
            <w:right w:w="15" w:type="dxa"/>
          </w:tblCellMar>
        </w:tblPrEx>
        <w:tc>
          <w:tcPr>
            <w:tcW w:w="3051" w:type="dxa"/>
            <w:tcBorders>
              <w:top w:val="single" w:color="333333" w:sz="6" w:space="0"/>
              <w:left w:val="single" w:color="333333" w:sz="6" w:space="0"/>
              <w:bottom w:val="single" w:color="333333" w:sz="6" w:space="0"/>
              <w:right w:val="single" w:color="333333" w:sz="6" w:space="0"/>
            </w:tcBorders>
            <w:tcMar>
              <w:top w:w="60" w:type="dxa"/>
              <w:left w:w="60" w:type="dxa"/>
              <w:bottom w:w="60" w:type="dxa"/>
              <w:right w:w="60" w:type="dxa"/>
            </w:tcMar>
            <w:vAlign w:val="center"/>
          </w:tcPr>
          <w:p>
            <w:pPr>
              <w:ind w:firstLine="420" w:firstLineChars="200"/>
              <w:jc w:val="center"/>
              <w:rPr>
                <w:rFonts w:ascii="宋体" w:hAnsi="宋体"/>
                <w:color w:val="000000" w:themeColor="text1"/>
                <w:lang w:bidi="en-US"/>
                <w14:textFill>
                  <w14:solidFill>
                    <w14:schemeClr w14:val="tx1"/>
                  </w14:solidFill>
                </w14:textFill>
              </w:rPr>
            </w:pPr>
            <w:r>
              <w:rPr>
                <w:rFonts w:ascii="宋体" w:hAnsi="宋体"/>
                <w:color w:val="000000" w:themeColor="text1"/>
                <w:lang w:bidi="en-US"/>
                <w14:textFill>
                  <w14:solidFill>
                    <w14:schemeClr w14:val="tx1"/>
                  </w14:solidFill>
                </w14:textFill>
              </w:rPr>
              <w:t>水、外加剂</w:t>
            </w:r>
          </w:p>
        </w:tc>
        <w:tc>
          <w:tcPr>
            <w:tcW w:w="2410" w:type="dxa"/>
            <w:tcBorders>
              <w:top w:val="single" w:color="333333" w:sz="6" w:space="0"/>
              <w:left w:val="single" w:color="333333" w:sz="6" w:space="0"/>
              <w:bottom w:val="single" w:color="333333" w:sz="6" w:space="0"/>
              <w:right w:val="single" w:color="333333" w:sz="6" w:space="0"/>
            </w:tcBorders>
            <w:tcMar>
              <w:top w:w="60" w:type="dxa"/>
              <w:left w:w="60" w:type="dxa"/>
              <w:bottom w:w="60" w:type="dxa"/>
              <w:right w:w="60" w:type="dxa"/>
            </w:tcMar>
            <w:vAlign w:val="center"/>
          </w:tcPr>
          <w:p>
            <w:pPr>
              <w:ind w:firstLine="420" w:firstLineChars="200"/>
              <w:jc w:val="center"/>
              <w:rPr>
                <w:rFonts w:ascii="宋体" w:hAnsi="宋体"/>
                <w:color w:val="000000" w:themeColor="text1"/>
                <w:lang w:bidi="en-US"/>
                <w14:textFill>
                  <w14:solidFill>
                    <w14:schemeClr w14:val="tx1"/>
                  </w14:solidFill>
                </w14:textFill>
              </w:rPr>
            </w:pPr>
            <w:r>
              <w:rPr>
                <w:rFonts w:ascii="宋体" w:hAnsi="宋体"/>
                <w:color w:val="000000" w:themeColor="text1"/>
                <w:lang w:bidi="en-US"/>
                <w14:textFill>
                  <w14:solidFill>
                    <w14:schemeClr w14:val="tx1"/>
                  </w14:solidFill>
                </w14:textFill>
              </w:rPr>
              <w:t>±2</w:t>
            </w:r>
          </w:p>
        </w:tc>
        <w:tc>
          <w:tcPr>
            <w:tcW w:w="1701" w:type="dxa"/>
            <w:tcBorders>
              <w:top w:val="single" w:color="333333" w:sz="6" w:space="0"/>
              <w:left w:val="single" w:color="333333" w:sz="6" w:space="0"/>
              <w:bottom w:val="single" w:color="333333" w:sz="6" w:space="0"/>
              <w:right w:val="single" w:color="333333" w:sz="6" w:space="0"/>
            </w:tcBorders>
            <w:tcMar>
              <w:top w:w="60" w:type="dxa"/>
              <w:left w:w="60" w:type="dxa"/>
              <w:bottom w:w="60" w:type="dxa"/>
              <w:right w:w="60" w:type="dxa"/>
            </w:tcMar>
            <w:vAlign w:val="center"/>
          </w:tcPr>
          <w:p>
            <w:pPr>
              <w:ind w:firstLine="420" w:firstLineChars="200"/>
              <w:rPr>
                <w:rFonts w:ascii="宋体" w:hAnsi="宋体"/>
                <w:color w:val="000000" w:themeColor="text1"/>
                <w:lang w:bidi="en-US"/>
                <w14:textFill>
                  <w14:solidFill>
                    <w14:schemeClr w14:val="tx1"/>
                  </w14:solidFill>
                </w14:textFill>
              </w:rPr>
            </w:pPr>
            <w:r>
              <w:rPr>
                <w:rFonts w:ascii="宋体" w:hAnsi="宋体"/>
                <w:color w:val="000000" w:themeColor="text1"/>
                <w:lang w:bidi="en-US"/>
                <w14:textFill>
                  <w14:solidFill>
                    <w14:schemeClr w14:val="tx1"/>
                  </w14:solidFill>
                </w14:textFill>
              </w:rPr>
              <w:t>±1</w:t>
            </w:r>
          </w:p>
        </w:tc>
      </w:tr>
    </w:tbl>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ascii="宋体" w:hAnsi="宋体" w:cstheme="minorEastAsia"/>
          <w:color w:val="000000" w:themeColor="text1"/>
          <w:kern w:val="0"/>
          <w:szCs w:val="21"/>
          <w14:textFill>
            <w14:solidFill>
              <w14:schemeClr w14:val="tx1"/>
            </w14:solidFill>
          </w14:textFill>
        </w:rPr>
        <w:t>外加剂应配置成较小浓度、溶液加入搅拌机内；</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5 </w:t>
      </w:r>
      <w:r>
        <w:rPr>
          <w:rFonts w:hint="eastAsia" w:ascii="宋体" w:hAnsi="宋体" w:cstheme="minorEastAsia"/>
          <w:color w:val="000000" w:themeColor="text1"/>
          <w:kern w:val="0"/>
          <w:szCs w:val="21"/>
          <w14:textFill>
            <w14:solidFill>
              <w14:schemeClr w14:val="tx1"/>
            </w14:solidFill>
          </w14:textFill>
        </w:rPr>
        <w:t xml:space="preserve">塌落度应符合现场施工要求。 </w:t>
      </w:r>
    </w:p>
    <w:p>
      <w:pPr>
        <w:pStyle w:val="22"/>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p>
    <w:p>
      <w:pPr>
        <w:numPr>
          <w:ilvl w:val="255"/>
          <w:numId w:val="0"/>
        </w:numPr>
        <w:jc w:val="left"/>
        <w:rPr>
          <w:b/>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br w:type="page"/>
      </w:r>
    </w:p>
    <w:p>
      <w:pPr>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p>
    <w:p>
      <w:pPr>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200" w:name="_Toc22714"/>
      <w:bookmarkStart w:id="201" w:name="_Toc1253"/>
      <w:bookmarkStart w:id="202" w:name="_Toc31394"/>
      <w:bookmarkStart w:id="203" w:name="_Toc25090"/>
      <w:bookmarkStart w:id="204" w:name="_Toc781"/>
      <w:bookmarkStart w:id="205" w:name="_Toc29861"/>
      <w:r>
        <w:rPr>
          <w:rFonts w:hint="eastAsia"/>
          <w:b/>
          <w:color w:val="000000" w:themeColor="text1"/>
          <w:sz w:val="28"/>
          <w:szCs w:val="28"/>
          <w14:textFill>
            <w14:solidFill>
              <w14:schemeClr w14:val="tx1"/>
            </w14:solidFill>
          </w14:textFill>
        </w:rPr>
        <w:t>9  施工竖井</w:t>
      </w:r>
      <w:bookmarkEnd w:id="200"/>
      <w:bookmarkEnd w:id="201"/>
      <w:bookmarkEnd w:id="202"/>
      <w:bookmarkEnd w:id="203"/>
      <w:bookmarkEnd w:id="204"/>
      <w:bookmarkEnd w:id="205"/>
    </w:p>
    <w:p>
      <w:pPr>
        <w:pStyle w:val="22"/>
        <w:numPr>
          <w:ilvl w:val="255"/>
          <w:numId w:val="0"/>
        </w:num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206" w:name="_Toc8129"/>
      <w:bookmarkStart w:id="207" w:name="_Toc15797"/>
      <w:bookmarkStart w:id="208" w:name="_Toc24460"/>
      <w:bookmarkStart w:id="209" w:name="_Toc17412"/>
      <w:bookmarkStart w:id="210" w:name="_Toc31763"/>
      <w:bookmarkStart w:id="211" w:name="_Toc24004"/>
      <w:r>
        <w:rPr>
          <w:rFonts w:hint="eastAsia" w:hAnsi="宋体"/>
          <w:b/>
          <w:color w:val="000000" w:themeColor="text1"/>
          <w:sz w:val="24"/>
          <w14:textFill>
            <w14:solidFill>
              <w14:schemeClr w14:val="tx1"/>
            </w14:solidFill>
          </w14:textFill>
        </w:rPr>
        <w:t>9.1  一般规定</w:t>
      </w:r>
      <w:bookmarkEnd w:id="206"/>
      <w:bookmarkEnd w:id="207"/>
      <w:bookmarkEnd w:id="208"/>
      <w:bookmarkEnd w:id="209"/>
      <w:bookmarkEnd w:id="210"/>
      <w:bookmarkEnd w:id="211"/>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9</w:t>
      </w:r>
      <w:r>
        <w:rPr>
          <w:rFonts w:hAnsi="宋体"/>
          <w:b/>
          <w:color w:val="000000" w:themeColor="text1"/>
          <w:szCs w:val="21"/>
          <w14:textFill>
            <w14:solidFill>
              <w14:schemeClr w14:val="tx1"/>
            </w14:solidFill>
          </w14:textFill>
        </w:rPr>
        <w:t>.1.1</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本章适用于锚喷支护竖井施工，</w:t>
      </w:r>
      <w:r>
        <w:rPr>
          <w:rFonts w:hint="eastAsia" w:ascii="宋体" w:hAnsi="宋体" w:cs="宋体"/>
          <w:color w:val="000000" w:themeColor="text1"/>
          <w:kern w:val="0"/>
          <w:szCs w:val="21"/>
          <w:lang w:bidi="ar"/>
          <w14:textFill>
            <w14:solidFill>
              <w14:schemeClr w14:val="tx1"/>
            </w14:solidFill>
          </w14:textFill>
        </w:rPr>
        <w:t>设计采用钻孔灌注桩、地下连续墙、SMW桩支护时，开挖和支护施工应符合现行行业标准《建筑基坑支护技术规程》JGJ 120的有关规定。</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9</w:t>
      </w:r>
      <w:r>
        <w:rPr>
          <w:rFonts w:hAnsi="宋体"/>
          <w:b/>
          <w:color w:val="000000" w:themeColor="text1"/>
          <w:szCs w:val="21"/>
          <w14:textFill>
            <w14:solidFill>
              <w14:schemeClr w14:val="tx1"/>
            </w14:solidFill>
          </w14:textFill>
        </w:rPr>
        <w:t>.1.</w:t>
      </w:r>
      <w:r>
        <w:rPr>
          <w:rFonts w:hint="eastAsia" w:hAnsi="宋体"/>
          <w:b/>
          <w:color w:val="000000" w:themeColor="text1"/>
          <w:szCs w:val="21"/>
          <w14:textFill>
            <w14:solidFill>
              <w14:schemeClr w14:val="tx1"/>
            </w14:solidFill>
          </w14:textFill>
        </w:rPr>
        <w:t xml:space="preserve">2 </w:t>
      </w:r>
      <w:r>
        <w:rPr>
          <w:rFonts w:hint="eastAsia" w:ascii="宋体" w:hAnsi="宋体" w:cs="宋体"/>
          <w:color w:val="000000" w:themeColor="text1"/>
          <w:kern w:val="0"/>
          <w:szCs w:val="21"/>
          <w:lang w:bidi="ar"/>
          <w14:textFill>
            <w14:solidFill>
              <w14:schemeClr w14:val="tx1"/>
            </w14:solidFill>
          </w14:textFill>
        </w:rPr>
        <w:t>竖井开挖应根据地质、水文条件采取适宜的地下水控制、超前预支护及地层加固措施，</w:t>
      </w:r>
      <w:r>
        <w:rPr>
          <w:rFonts w:hint="eastAsia" w:hAnsi="宋体"/>
          <w:color w:val="000000" w:themeColor="text1"/>
          <w:szCs w:val="21"/>
          <w14:textFill>
            <w14:solidFill>
              <w14:schemeClr w14:val="tx1"/>
            </w14:solidFill>
          </w14:textFill>
        </w:rPr>
        <w:t>并应符合本规程第6章、第7章的规定。</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9</w:t>
      </w:r>
      <w:r>
        <w:rPr>
          <w:rFonts w:hAnsi="宋体"/>
          <w:b/>
          <w:color w:val="000000" w:themeColor="text1"/>
          <w:szCs w:val="21"/>
          <w14:textFill>
            <w14:solidFill>
              <w14:schemeClr w14:val="tx1"/>
            </w14:solidFill>
          </w14:textFill>
        </w:rPr>
        <w:t>.1.3</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竖井初期支护应随挖随支护，做到连续施工。</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9</w:t>
      </w:r>
      <w:r>
        <w:rPr>
          <w:rFonts w:hAnsi="宋体"/>
          <w:b/>
          <w:color w:val="000000" w:themeColor="text1"/>
          <w:szCs w:val="21"/>
          <w14:textFill>
            <w14:solidFill>
              <w14:schemeClr w14:val="tx1"/>
            </w14:solidFill>
          </w14:textFill>
        </w:rPr>
        <w:t xml:space="preserve">.1.4 </w:t>
      </w:r>
      <w:r>
        <w:rPr>
          <w:rFonts w:hint="eastAsia" w:hAnsi="宋体"/>
          <w:color w:val="000000" w:themeColor="text1"/>
          <w:szCs w:val="21"/>
          <w14:textFill>
            <w14:solidFill>
              <w14:schemeClr w14:val="tx1"/>
            </w14:solidFill>
          </w14:textFill>
        </w:rPr>
        <w:t>竖井尺寸应符合设计要求，竖井内提升土斗、通风管、供水管、排水管、供风管、混凝土输送管及安全梯等应合理布置。</w:t>
      </w:r>
    </w:p>
    <w:p>
      <w:pPr>
        <w:snapToGrid w:val="0"/>
        <w:spacing w:line="360" w:lineRule="auto"/>
        <w:jc w:val="left"/>
        <w:rPr>
          <w:rFonts w:hAnsi="宋体"/>
          <w:b/>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9</w:t>
      </w:r>
      <w:r>
        <w:rPr>
          <w:rFonts w:hAnsi="宋体"/>
          <w:b/>
          <w:color w:val="000000" w:themeColor="text1"/>
          <w:szCs w:val="21"/>
          <w14:textFill>
            <w14:solidFill>
              <w14:schemeClr w14:val="tx1"/>
            </w14:solidFill>
          </w14:textFill>
        </w:rPr>
        <w:t>.1.</w:t>
      </w:r>
      <w:r>
        <w:rPr>
          <w:rFonts w:hint="eastAsia" w:hAnsi="宋体"/>
          <w:b/>
          <w:color w:val="000000" w:themeColor="text1"/>
          <w:szCs w:val="21"/>
          <w14:textFill>
            <w14:solidFill>
              <w14:schemeClr w14:val="tx1"/>
            </w14:solidFill>
          </w14:textFill>
        </w:rPr>
        <w:t xml:space="preserve">5 </w:t>
      </w:r>
      <w:r>
        <w:rPr>
          <w:rFonts w:hint="eastAsia" w:hAnsi="宋体"/>
          <w:color w:val="000000" w:themeColor="text1"/>
          <w:szCs w:val="21"/>
          <w14:textFill>
            <w14:solidFill>
              <w14:schemeClr w14:val="tx1"/>
            </w14:solidFill>
          </w14:textFill>
        </w:rPr>
        <w:t>竖井周边应做好周边排水和安全防护措施，宜设置截水沟、</w:t>
      </w:r>
      <w:r>
        <w:rPr>
          <w:rFonts w:hint="eastAsia" w:hAnsi="宋体"/>
          <w:bCs/>
          <w:color w:val="000000" w:themeColor="text1"/>
          <w:szCs w:val="21"/>
          <w14:textFill>
            <w14:solidFill>
              <w14:schemeClr w14:val="tx1"/>
            </w14:solidFill>
          </w14:textFill>
        </w:rPr>
        <w:t>防汛挡墙，</w:t>
      </w:r>
      <w:r>
        <w:rPr>
          <w:rFonts w:hint="eastAsia" w:ascii="宋体" w:hAnsi="宋体" w:cs="宋体"/>
          <w:color w:val="000000" w:themeColor="text1"/>
          <w:kern w:val="0"/>
          <w:szCs w:val="21"/>
          <w:lang w:bidi="ar"/>
          <w14:textFill>
            <w14:solidFill>
              <w14:schemeClr w14:val="tx1"/>
            </w14:solidFill>
          </w14:textFill>
        </w:rPr>
        <w:t>地面应进行硬化处理，</w:t>
      </w:r>
      <w:r>
        <w:rPr>
          <w:rFonts w:hint="eastAsia" w:hAnsi="宋体"/>
          <w:bCs/>
          <w:color w:val="000000" w:themeColor="text1"/>
          <w:szCs w:val="21"/>
          <w14:textFill>
            <w14:solidFill>
              <w14:schemeClr w14:val="tx1"/>
            </w14:solidFill>
          </w14:textFill>
        </w:rPr>
        <w:t>防汛挡墙高度不宜小于500mm。</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9.1.6 </w:t>
      </w:r>
      <w:r>
        <w:rPr>
          <w:rFonts w:hint="eastAsia" w:hAnsi="宋体"/>
          <w:color w:val="000000" w:themeColor="text1"/>
          <w:szCs w:val="21"/>
          <w14:textFill>
            <w14:solidFill>
              <w14:schemeClr w14:val="tx1"/>
            </w14:solidFill>
          </w14:textFill>
        </w:rPr>
        <w:t>竖井井口周围应设置护栏和安全警示标识。圈梁上部挡土墙砌筑时宜设构造柱和压顶梁，构造柱间距不应大于3m，挡土墙的转角位置应设构造柱。</w:t>
      </w:r>
    </w:p>
    <w:p>
      <w:pPr>
        <w:pStyle w:val="22"/>
        <w:tabs>
          <w:tab w:val="left" w:pos="851"/>
          <w:tab w:val="left" w:pos="5835"/>
        </w:tabs>
        <w:snapToGrid w:val="0"/>
        <w:spacing w:line="360" w:lineRule="auto"/>
        <w:ind w:firstLine="0" w:firstLineChars="0"/>
        <w:jc w:val="left"/>
        <w:rPr>
          <w:rFonts w:ascii="宋体" w:hAnsi="宋体" w:cs="宋体"/>
          <w:color w:val="000000" w:themeColor="text1"/>
          <w:kern w:val="0"/>
          <w:szCs w:val="21"/>
          <w:lang w:bidi="ar"/>
          <w14:textFill>
            <w14:solidFill>
              <w14:schemeClr w14:val="tx1"/>
            </w14:solidFill>
          </w14:textFill>
        </w:rPr>
      </w:pPr>
      <w:r>
        <w:rPr>
          <w:rFonts w:hint="eastAsia" w:hAnsi="宋体"/>
          <w:b/>
          <w:color w:val="000000" w:themeColor="text1"/>
          <w:szCs w:val="21"/>
          <w14:textFill>
            <w14:solidFill>
              <w14:schemeClr w14:val="tx1"/>
            </w14:solidFill>
          </w14:textFill>
        </w:rPr>
        <w:t xml:space="preserve">9.1.7 </w:t>
      </w:r>
      <w:r>
        <w:rPr>
          <w:rFonts w:hint="eastAsia" w:ascii="宋体" w:hAnsi="宋体" w:cs="宋体"/>
          <w:color w:val="000000" w:themeColor="text1"/>
          <w:kern w:val="0"/>
          <w:szCs w:val="21"/>
          <w:lang w:bidi="ar"/>
          <w14:textFill>
            <w14:solidFill>
              <w14:schemeClr w14:val="tx1"/>
            </w14:solidFill>
          </w14:textFill>
        </w:rPr>
        <w:t>竖井起重吊装设备应由有资质的单位安装、拆除；安装完成后，应进行安全检验，合格后方可使用。</w:t>
      </w:r>
    </w:p>
    <w:p>
      <w:pPr>
        <w:widowControl/>
        <w:jc w:val="left"/>
        <w:rPr>
          <w:rFonts w:ascii="宋体" w:hAnsi="宋体" w:cs="宋体"/>
          <w:color w:val="000000" w:themeColor="text1"/>
          <w:kern w:val="0"/>
          <w:szCs w:val="21"/>
          <w:lang w:bidi="ar"/>
          <w14:textFill>
            <w14:solidFill>
              <w14:schemeClr w14:val="tx1"/>
            </w14:solidFill>
          </w14:textFill>
        </w:rPr>
      </w:pPr>
      <w:r>
        <w:rPr>
          <w:rFonts w:hint="eastAsia" w:hAnsi="宋体"/>
          <w:b/>
          <w:color w:val="000000" w:themeColor="text1"/>
          <w:szCs w:val="21"/>
          <w14:textFill>
            <w14:solidFill>
              <w14:schemeClr w14:val="tx1"/>
            </w14:solidFill>
          </w14:textFill>
        </w:rPr>
        <w:t xml:space="preserve">9.1.8 </w:t>
      </w:r>
      <w:r>
        <w:rPr>
          <w:rFonts w:hint="eastAsia" w:ascii="宋体" w:hAnsi="宋体" w:cs="宋体"/>
          <w:color w:val="000000" w:themeColor="text1"/>
          <w:kern w:val="0"/>
          <w:szCs w:val="21"/>
          <w:lang w:bidi="ar"/>
          <w14:textFill>
            <w14:solidFill>
              <w14:schemeClr w14:val="tx1"/>
            </w14:solidFill>
          </w14:textFill>
        </w:rPr>
        <w:t>竖井的井口地面荷载不得超过设计规定值。</w:t>
      </w:r>
    </w:p>
    <w:p>
      <w:pPr>
        <w:widowControl/>
        <w:spacing w:line="360" w:lineRule="auto"/>
        <w:jc w:val="left"/>
        <w:rPr>
          <w:rFonts w:ascii="宋体" w:hAnsi="宋体" w:cs="宋体"/>
          <w:color w:val="000000" w:themeColor="text1"/>
          <w:kern w:val="0"/>
          <w:szCs w:val="21"/>
          <w:lang w:bidi="ar"/>
          <w14:textFill>
            <w14:solidFill>
              <w14:schemeClr w14:val="tx1"/>
            </w14:solidFill>
          </w14:textFill>
        </w:rPr>
      </w:pPr>
      <w:r>
        <w:rPr>
          <w:rFonts w:hint="eastAsia" w:hAnsi="宋体"/>
          <w:b/>
          <w:color w:val="000000" w:themeColor="text1"/>
          <w:szCs w:val="21"/>
          <w14:textFill>
            <w14:solidFill>
              <w14:schemeClr w14:val="tx1"/>
            </w14:solidFill>
          </w14:textFill>
        </w:rPr>
        <w:t xml:space="preserve">9.1.9 </w:t>
      </w:r>
      <w:r>
        <w:rPr>
          <w:rFonts w:hint="eastAsia" w:ascii="宋体" w:hAnsi="宋体" w:cs="宋体"/>
          <w:color w:val="000000" w:themeColor="text1"/>
          <w:kern w:val="0"/>
          <w:szCs w:val="21"/>
          <w:lang w:bidi="ar"/>
          <w14:textFill>
            <w14:solidFill>
              <w14:schemeClr w14:val="tx1"/>
            </w14:solidFill>
          </w14:textFill>
        </w:rPr>
        <w:t>竖井施工现场应按合同约定搭设封闭式罩棚结构，</w:t>
      </w:r>
      <w:r>
        <w:rPr>
          <w:rFonts w:hint="eastAsia" w:hAnsi="宋体"/>
          <w:color w:val="000000" w:themeColor="text1"/>
          <w:szCs w:val="21"/>
          <w14:textFill>
            <w14:solidFill>
              <w14:schemeClr w14:val="tx1"/>
            </w14:solidFill>
          </w14:textFill>
        </w:rPr>
        <w:t>经质量验收合格方可使用，</w:t>
      </w:r>
      <w:r>
        <w:rPr>
          <w:rFonts w:hint="eastAsia" w:ascii="宋体" w:hAnsi="宋体" w:cs="宋体"/>
          <w:color w:val="000000" w:themeColor="text1"/>
          <w:kern w:val="0"/>
          <w:szCs w:val="21"/>
          <w:lang w:bidi="ar"/>
          <w14:textFill>
            <w14:solidFill>
              <w14:schemeClr w14:val="tx1"/>
            </w14:solidFill>
          </w14:textFill>
        </w:rPr>
        <w:t>厂界施工噪声、扬尘排放应符合现行国家标准和地方标准的规定。</w:t>
      </w:r>
    </w:p>
    <w:p>
      <w:pPr>
        <w:tabs>
          <w:tab w:val="left" w:pos="576"/>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212" w:name="_Toc3521"/>
      <w:bookmarkStart w:id="213" w:name="_Toc11526"/>
      <w:bookmarkStart w:id="214" w:name="_Toc16826"/>
      <w:bookmarkStart w:id="215" w:name="_Toc29615"/>
      <w:bookmarkStart w:id="216" w:name="_Toc12023"/>
      <w:bookmarkStart w:id="217" w:name="_Toc11778"/>
      <w:r>
        <w:rPr>
          <w:rFonts w:hint="eastAsia" w:hAnsi="宋体"/>
          <w:b/>
          <w:color w:val="000000" w:themeColor="text1"/>
          <w:sz w:val="24"/>
          <w14:textFill>
            <w14:solidFill>
              <w14:schemeClr w14:val="tx1"/>
            </w14:solidFill>
          </w14:textFill>
        </w:rPr>
        <w:t>9.2  土方开挖</w:t>
      </w:r>
      <w:bookmarkEnd w:id="212"/>
      <w:bookmarkEnd w:id="213"/>
      <w:bookmarkEnd w:id="214"/>
      <w:bookmarkEnd w:id="215"/>
      <w:bookmarkEnd w:id="216"/>
      <w:bookmarkEnd w:id="217"/>
    </w:p>
    <w:p>
      <w:pPr>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9</w:t>
      </w:r>
      <w:r>
        <w:rPr>
          <w:rFonts w:hAnsi="宋体"/>
          <w:b/>
          <w:color w:val="000000" w:themeColor="text1"/>
          <w:szCs w:val="21"/>
          <w14:textFill>
            <w14:solidFill>
              <w14:schemeClr w14:val="tx1"/>
            </w14:solidFill>
          </w14:textFill>
        </w:rPr>
        <w:t>.2.</w:t>
      </w:r>
      <w:r>
        <w:rPr>
          <w:rFonts w:hint="eastAsia" w:hAnsi="宋体"/>
          <w:b/>
          <w:color w:val="000000" w:themeColor="text1"/>
          <w:szCs w:val="21"/>
          <w14:textFill>
            <w14:solidFill>
              <w14:schemeClr w14:val="tx1"/>
            </w14:solidFill>
          </w14:textFill>
        </w:rPr>
        <w:t xml:space="preserve">1 </w:t>
      </w:r>
      <w:r>
        <w:rPr>
          <w:rFonts w:hint="eastAsia" w:hAnsi="宋体"/>
          <w:color w:val="000000" w:themeColor="text1"/>
          <w:szCs w:val="21"/>
          <w14:textFill>
            <w14:solidFill>
              <w14:schemeClr w14:val="tx1"/>
            </w14:solidFill>
          </w14:textFill>
        </w:rPr>
        <w:t>圈梁混凝土应达到设计强度的</w:t>
      </w:r>
      <w:r>
        <w:rPr>
          <w:rFonts w:hAnsi="宋体"/>
          <w:b/>
          <w:color w:val="000000" w:themeColor="text1"/>
          <w:szCs w:val="21"/>
          <w14:textFill>
            <w14:solidFill>
              <w14:schemeClr w14:val="tx1"/>
            </w14:solidFill>
          </w14:textFill>
        </w:rPr>
        <w:t>75%</w:t>
      </w:r>
      <w:r>
        <w:rPr>
          <w:rFonts w:hint="eastAsia" w:hAnsi="宋体"/>
          <w:color w:val="000000" w:themeColor="text1"/>
          <w:szCs w:val="21"/>
          <w14:textFill>
            <w14:solidFill>
              <w14:schemeClr w14:val="tx1"/>
            </w14:solidFill>
          </w14:textFill>
        </w:rPr>
        <w:t>方可</w:t>
      </w:r>
      <w:r>
        <w:rPr>
          <w:rFonts w:hint="eastAsia" w:ascii="宋体" w:hAnsi="宋体" w:cs="宋体"/>
          <w:color w:val="000000" w:themeColor="text1"/>
          <w:kern w:val="0"/>
          <w:szCs w:val="21"/>
          <w:lang w:bidi="ar"/>
          <w14:textFill>
            <w14:solidFill>
              <w14:schemeClr w14:val="tx1"/>
            </w14:solidFill>
          </w14:textFill>
        </w:rPr>
        <w:t>开挖</w:t>
      </w:r>
      <w:r>
        <w:rPr>
          <w:rFonts w:hint="eastAsia" w:hAnsi="宋体"/>
          <w:color w:val="000000" w:themeColor="text1"/>
          <w:szCs w:val="21"/>
          <w14:textFill>
            <w14:solidFill>
              <w14:schemeClr w14:val="tx1"/>
            </w14:solidFill>
          </w14:textFill>
        </w:rPr>
        <w:t>。土质松散、临近建（构）筑物时，应按设计要求加固后方可施工。</w:t>
      </w:r>
    </w:p>
    <w:p>
      <w:pPr>
        <w:pStyle w:val="22"/>
        <w:numPr>
          <w:ilvl w:val="255"/>
          <w:numId w:val="0"/>
        </w:numPr>
        <w:tabs>
          <w:tab w:val="left" w:pos="851"/>
        </w:tabs>
        <w:adjustRightInd w:val="0"/>
        <w:snapToGrid w:val="0"/>
        <w:spacing w:line="360" w:lineRule="auto"/>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9</w:t>
      </w:r>
      <w:r>
        <w:rPr>
          <w:rFonts w:hAnsi="宋体"/>
          <w:b/>
          <w:color w:val="000000" w:themeColor="text1"/>
          <w:szCs w:val="21"/>
          <w14:textFill>
            <w14:solidFill>
              <w14:schemeClr w14:val="tx1"/>
            </w14:solidFill>
          </w14:textFill>
        </w:rPr>
        <w:t>.2.</w:t>
      </w:r>
      <w:r>
        <w:rPr>
          <w:rFonts w:hint="eastAsia" w:hAnsi="宋体"/>
          <w:b/>
          <w:color w:val="000000" w:themeColor="text1"/>
          <w:szCs w:val="21"/>
          <w14:textFill>
            <w14:solidFill>
              <w14:schemeClr w14:val="tx1"/>
            </w14:solidFill>
          </w14:textFill>
        </w:rPr>
        <w:t xml:space="preserve">2 </w:t>
      </w:r>
      <w:r>
        <w:rPr>
          <w:rFonts w:hint="eastAsia" w:hAnsi="宋体"/>
          <w:color w:val="000000" w:themeColor="text1"/>
          <w:szCs w:val="21"/>
          <w14:textFill>
            <w14:solidFill>
              <w14:schemeClr w14:val="tx1"/>
            </w14:solidFill>
          </w14:textFill>
        </w:rPr>
        <w:t>竖井宜人工开挖，机械开挖时，必须与初期支护施工密切配合，不得超挖。竖井</w:t>
      </w:r>
      <w:r>
        <w:rPr>
          <w:rFonts w:hint="eastAsia" w:ascii="宋体" w:hAnsi="宋体" w:cs="宋体"/>
          <w:color w:val="000000" w:themeColor="text1"/>
          <w:kern w:val="0"/>
          <w:szCs w:val="21"/>
          <w:lang w:bidi="ar"/>
          <w14:textFill>
            <w14:solidFill>
              <w14:schemeClr w14:val="tx1"/>
            </w14:solidFill>
          </w14:textFill>
        </w:rPr>
        <w:t>开挖</w:t>
      </w:r>
      <w:r>
        <w:rPr>
          <w:rFonts w:hint="eastAsia" w:hAnsi="宋体"/>
          <w:color w:val="000000" w:themeColor="text1"/>
          <w:szCs w:val="21"/>
          <w14:textFill>
            <w14:solidFill>
              <w14:schemeClr w14:val="tx1"/>
            </w14:solidFill>
          </w14:textFill>
        </w:rPr>
        <w:t>应</w:t>
      </w:r>
      <w:r>
        <w:rPr>
          <w:rFonts w:hint="eastAsia" w:ascii="宋体" w:hAnsi="宋体" w:cs="宋体"/>
          <w:color w:val="000000" w:themeColor="text1"/>
          <w:kern w:val="0"/>
          <w:szCs w:val="21"/>
          <w:lang w:bidi="ar"/>
          <w14:textFill>
            <w14:solidFill>
              <w14:schemeClr w14:val="tx1"/>
            </w14:solidFill>
          </w14:textFill>
        </w:rPr>
        <w:t>分层、分块、对称进行，</w:t>
      </w:r>
      <w:r>
        <w:rPr>
          <w:rFonts w:hint="eastAsia" w:hAnsi="宋体"/>
          <w:color w:val="000000" w:themeColor="text1"/>
          <w:szCs w:val="21"/>
          <w14:textFill>
            <w14:solidFill>
              <w14:schemeClr w14:val="tx1"/>
            </w14:solidFill>
          </w14:textFill>
        </w:rPr>
        <w:t>开挖方法和步序应根据支护结构设计及地质条件合理确定，并应符合下列规定：</w:t>
      </w:r>
    </w:p>
    <w:p>
      <w:pPr>
        <w:pStyle w:val="22"/>
        <w:numPr>
          <w:ilvl w:val="255"/>
          <w:numId w:val="0"/>
        </w:numPr>
        <w:tabs>
          <w:tab w:val="left" w:pos="851"/>
        </w:tabs>
        <w:adjustRightInd w:val="0"/>
        <w:snapToGrid w:val="0"/>
        <w:spacing w:line="360" w:lineRule="auto"/>
        <w:ind w:firstLine="422" w:firstLineChars="200"/>
        <w:jc w:val="left"/>
        <w:rPr>
          <w:rFonts w:hAnsi="宋体"/>
          <w:bCs/>
          <w:color w:val="000000" w:themeColor="text1"/>
          <w:szCs w:val="21"/>
          <w:lang w:bidi="ar"/>
          <w14:textFill>
            <w14:solidFill>
              <w14:schemeClr w14:val="tx1"/>
            </w14:solidFill>
          </w14:textFill>
        </w:rPr>
      </w:pPr>
      <w:r>
        <w:rPr>
          <w:rFonts w:hAnsi="宋体"/>
          <w:b/>
          <w:color w:val="000000" w:themeColor="text1"/>
          <w:szCs w:val="21"/>
          <w14:textFill>
            <w14:solidFill>
              <w14:schemeClr w14:val="tx1"/>
            </w14:solidFill>
          </w14:textFill>
        </w:rPr>
        <w:t xml:space="preserve">1 </w:t>
      </w:r>
      <w:r>
        <w:rPr>
          <w:rFonts w:hAnsi="宋体"/>
          <w:color w:val="000000" w:themeColor="text1"/>
          <w:szCs w:val="21"/>
          <w14:textFill>
            <w14:solidFill>
              <w14:schemeClr w14:val="tx1"/>
            </w14:solidFill>
          </w14:textFill>
        </w:rPr>
        <w:t>每层开挖的深度应为格栅间距，不得超挖；</w:t>
      </w:r>
      <w:r>
        <w:rPr>
          <w:rFonts w:hint="eastAsia" w:hAnsi="宋体"/>
          <w:color w:val="000000" w:themeColor="text1"/>
          <w:szCs w:val="21"/>
          <w14:textFill>
            <w14:solidFill>
              <w14:schemeClr w14:val="tx1"/>
            </w14:solidFill>
          </w14:textFill>
        </w:rPr>
        <w:t>采用机械开挖时，</w:t>
      </w:r>
      <w:r>
        <w:rPr>
          <w:rFonts w:hAnsi="宋体"/>
          <w:color w:val="000000" w:themeColor="text1"/>
          <w:szCs w:val="21"/>
          <w:lang w:bidi="ar"/>
          <w14:textFill>
            <w14:solidFill>
              <w14:schemeClr w14:val="tx1"/>
            </w14:solidFill>
          </w14:textFill>
        </w:rPr>
        <w:t>每层开挖高度不</w:t>
      </w:r>
      <w:r>
        <w:rPr>
          <w:rFonts w:hint="eastAsia" w:hAnsi="宋体"/>
          <w:color w:val="000000" w:themeColor="text1"/>
          <w:szCs w:val="21"/>
          <w:lang w:bidi="ar"/>
          <w14:textFill>
            <w14:solidFill>
              <w14:schemeClr w14:val="tx1"/>
            </w14:solidFill>
          </w14:textFill>
        </w:rPr>
        <w:t>应</w:t>
      </w:r>
      <w:r>
        <w:rPr>
          <w:rFonts w:hAnsi="宋体"/>
          <w:color w:val="000000" w:themeColor="text1"/>
          <w:szCs w:val="21"/>
          <w:lang w:bidi="ar"/>
          <w14:textFill>
            <w14:solidFill>
              <w14:schemeClr w14:val="tx1"/>
            </w14:solidFill>
          </w14:textFill>
        </w:rPr>
        <w:t>大于设计规定</w:t>
      </w:r>
      <w:r>
        <w:rPr>
          <w:rFonts w:hint="eastAsia" w:hAnsi="宋体"/>
          <w:color w:val="000000" w:themeColor="text1"/>
          <w:szCs w:val="21"/>
          <w:lang w:bidi="ar"/>
          <w14:textFill>
            <w14:solidFill>
              <w14:schemeClr w14:val="tx1"/>
            </w14:solidFill>
          </w14:textFill>
        </w:rPr>
        <w:t>；</w:t>
      </w:r>
    </w:p>
    <w:p>
      <w:pPr>
        <w:pStyle w:val="22"/>
        <w:numPr>
          <w:ilvl w:val="255"/>
          <w:numId w:val="0"/>
        </w:numPr>
        <w:tabs>
          <w:tab w:val="left" w:pos="851"/>
        </w:tabs>
        <w:adjustRightInd w:val="0"/>
        <w:snapToGrid w:val="0"/>
        <w:spacing w:line="360" w:lineRule="auto"/>
        <w:ind w:firstLine="422" w:firstLineChars="20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2</w:t>
      </w:r>
      <w:r>
        <w:rPr>
          <w:rFonts w:hAnsi="宋体"/>
          <w:color w:val="000000" w:themeColor="text1"/>
          <w:szCs w:val="21"/>
          <w14:textFill>
            <w14:solidFill>
              <w14:schemeClr w14:val="tx1"/>
            </w14:solidFill>
          </w14:textFill>
        </w:rPr>
        <w:t xml:space="preserve"> </w:t>
      </w:r>
      <w:r>
        <w:rPr>
          <w:rFonts w:hAnsi="宋体"/>
          <w:bCs/>
          <w:color w:val="000000" w:themeColor="text1"/>
          <w:szCs w:val="21"/>
          <w14:textFill>
            <w14:solidFill>
              <w14:schemeClr w14:val="tx1"/>
            </w14:solidFill>
          </w14:textFill>
        </w:rPr>
        <w:t>每层土体应</w:t>
      </w:r>
      <w:r>
        <w:rPr>
          <w:rFonts w:hint="eastAsia" w:hAnsi="宋体"/>
          <w:bCs/>
          <w:color w:val="000000" w:themeColor="text1"/>
          <w:szCs w:val="21"/>
          <w14:textFill>
            <w14:solidFill>
              <w14:schemeClr w14:val="tx1"/>
            </w14:solidFill>
          </w14:textFill>
        </w:rPr>
        <w:t>均衡进行，</w:t>
      </w:r>
      <w:r>
        <w:rPr>
          <w:rFonts w:hAnsi="宋体"/>
          <w:bCs/>
          <w:color w:val="000000" w:themeColor="text1"/>
          <w:szCs w:val="21"/>
          <w:lang w:bidi="ar"/>
          <w14:textFill>
            <w14:solidFill>
              <w14:schemeClr w14:val="tx1"/>
            </w14:solidFill>
          </w14:textFill>
        </w:rPr>
        <w:t>遵循先开挖周边、后开挖中部的顺序</w:t>
      </w:r>
      <w:r>
        <w:rPr>
          <w:rFonts w:hint="eastAsia" w:hAnsi="宋体"/>
          <w:bCs/>
          <w:color w:val="000000" w:themeColor="text1"/>
          <w:szCs w:val="21"/>
          <w:lang w:bidi="ar"/>
          <w14:textFill>
            <w14:solidFill>
              <w14:schemeClr w14:val="tx1"/>
            </w14:solidFill>
          </w14:textFill>
        </w:rPr>
        <w:t>，分块尺寸应与格栅安装相适应，做到</w:t>
      </w:r>
      <w:r>
        <w:rPr>
          <w:rFonts w:hAnsi="宋体"/>
          <w:color w:val="000000" w:themeColor="text1"/>
          <w:szCs w:val="21"/>
          <w14:textFill>
            <w14:solidFill>
              <w14:schemeClr w14:val="tx1"/>
            </w14:solidFill>
          </w14:textFill>
        </w:rPr>
        <w:t>开挖完成后，应及时进行钢筋格栅安装、挂钢筋网并喷射混凝土</w:t>
      </w:r>
      <w:r>
        <w:rPr>
          <w:rFonts w:hint="eastAsia" w:hAnsi="宋体"/>
          <w:bCs/>
          <w:color w:val="000000" w:themeColor="text1"/>
          <w:szCs w:val="21"/>
          <w:lang w:bidi="ar"/>
          <w14:textFill>
            <w14:solidFill>
              <w14:schemeClr w14:val="tx1"/>
            </w14:solidFill>
          </w14:textFill>
        </w:rPr>
        <w:t>；</w:t>
      </w:r>
    </w:p>
    <w:p>
      <w:pPr>
        <w:pStyle w:val="22"/>
        <w:numPr>
          <w:ilvl w:val="255"/>
          <w:numId w:val="0"/>
        </w:numPr>
        <w:tabs>
          <w:tab w:val="left" w:pos="851"/>
        </w:tabs>
        <w:adjustRightInd w:val="0"/>
        <w:snapToGrid w:val="0"/>
        <w:spacing w:line="360" w:lineRule="auto"/>
        <w:ind w:firstLine="422" w:firstLineChars="20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3</w:t>
      </w:r>
      <w:r>
        <w:rPr>
          <w:rFonts w:hAnsi="宋体"/>
          <w:color w:val="000000" w:themeColor="text1"/>
          <w:szCs w:val="21"/>
          <w14:textFill>
            <w14:solidFill>
              <w14:schemeClr w14:val="tx1"/>
            </w14:solidFill>
          </w14:textFill>
        </w:rPr>
        <w:t xml:space="preserve"> </w:t>
      </w:r>
      <w:r>
        <w:rPr>
          <w:rFonts w:hint="eastAsia" w:hAnsi="宋体"/>
          <w:color w:val="000000" w:themeColor="text1"/>
          <w:szCs w:val="21"/>
          <w:lang w:bidi="ar"/>
          <w14:textFill>
            <w14:solidFill>
              <w14:schemeClr w14:val="tx1"/>
            </w14:solidFill>
          </w14:textFill>
        </w:rPr>
        <w:t>严格控制竖井开挖断面尺寸和高程，不得欠挖，竖井开挖到底后应及时封底；</w:t>
      </w:r>
      <w:r>
        <w:rPr>
          <w:rFonts w:hint="eastAsia" w:hAnsi="宋体"/>
          <w:color w:val="000000" w:themeColor="text1"/>
          <w:szCs w:val="21"/>
          <w14:textFill>
            <w14:solidFill>
              <w14:schemeClr w14:val="tx1"/>
            </w14:solidFill>
          </w14:textFill>
        </w:rPr>
        <w:t xml:space="preserve"> </w:t>
      </w:r>
    </w:p>
    <w:p>
      <w:pPr>
        <w:pStyle w:val="22"/>
        <w:numPr>
          <w:ilvl w:val="255"/>
          <w:numId w:val="0"/>
        </w:numPr>
        <w:tabs>
          <w:tab w:val="left" w:pos="851"/>
        </w:tabs>
        <w:adjustRightInd w:val="0"/>
        <w:snapToGrid w:val="0"/>
        <w:spacing w:line="360" w:lineRule="auto"/>
        <w:ind w:firstLine="422" w:firstLineChars="20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4</w:t>
      </w:r>
      <w:r>
        <w:rPr>
          <w:rFonts w:hAnsi="宋体"/>
          <w:color w:val="000000" w:themeColor="text1"/>
          <w:szCs w:val="21"/>
          <w14:textFill>
            <w14:solidFill>
              <w14:schemeClr w14:val="tx1"/>
            </w14:solidFill>
          </w14:textFill>
        </w:rPr>
        <w:t xml:space="preserve"> 土质松散时，应减少分层开挖厚度，及时进行锚喷支护施工。</w:t>
      </w:r>
    </w:p>
    <w:p>
      <w:pPr>
        <w:pStyle w:val="22"/>
        <w:widowControl/>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9</w:t>
      </w:r>
      <w:r>
        <w:rPr>
          <w:rFonts w:hAnsi="宋体"/>
          <w:b/>
          <w:color w:val="000000" w:themeColor="text1"/>
          <w:szCs w:val="21"/>
          <w14:textFill>
            <w14:solidFill>
              <w14:schemeClr w14:val="tx1"/>
            </w14:solidFill>
          </w14:textFill>
        </w:rPr>
        <w:t>.</w:t>
      </w:r>
      <w:r>
        <w:rPr>
          <w:rFonts w:hint="eastAsia" w:hAnsi="宋体"/>
          <w:b/>
          <w:color w:val="000000" w:themeColor="text1"/>
          <w:szCs w:val="21"/>
          <w14:textFill>
            <w14:solidFill>
              <w14:schemeClr w14:val="tx1"/>
            </w14:solidFill>
          </w14:textFill>
        </w:rPr>
        <w:t>2</w:t>
      </w:r>
      <w:r>
        <w:rPr>
          <w:rFonts w:hAnsi="宋体"/>
          <w:b/>
          <w:color w:val="000000" w:themeColor="text1"/>
          <w:szCs w:val="21"/>
          <w14:textFill>
            <w14:solidFill>
              <w14:schemeClr w14:val="tx1"/>
            </w14:solidFill>
          </w14:textFill>
        </w:rPr>
        <w:t>.</w:t>
      </w:r>
      <w:r>
        <w:rPr>
          <w:rFonts w:hint="eastAsia" w:hAnsi="宋体"/>
          <w:b/>
          <w:color w:val="000000" w:themeColor="text1"/>
          <w:szCs w:val="21"/>
          <w14:textFill>
            <w14:solidFill>
              <w14:schemeClr w14:val="tx1"/>
            </w14:solidFill>
          </w14:textFill>
        </w:rPr>
        <w:t>3</w:t>
      </w:r>
      <w:r>
        <w:rPr>
          <w:rFonts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存在地层滞水时，应设置集水坑、排水盲管，及时引流、排除地下水。</w:t>
      </w:r>
    </w:p>
    <w:p>
      <w:pPr>
        <w:pStyle w:val="22"/>
        <w:numPr>
          <w:ilvl w:val="255"/>
          <w:numId w:val="0"/>
        </w:numPr>
        <w:tabs>
          <w:tab w:val="left" w:pos="851"/>
        </w:tabs>
        <w:snapToGrid w:val="0"/>
        <w:spacing w:line="360" w:lineRule="auto"/>
        <w:jc w:val="left"/>
        <w:rPr>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9</w:t>
      </w:r>
      <w:r>
        <w:rPr>
          <w:rFonts w:hAnsi="宋体"/>
          <w:b/>
          <w:color w:val="000000" w:themeColor="text1"/>
          <w:szCs w:val="21"/>
          <w14:textFill>
            <w14:solidFill>
              <w14:schemeClr w14:val="tx1"/>
            </w14:solidFill>
          </w14:textFill>
        </w:rPr>
        <w:t>.</w:t>
      </w:r>
      <w:r>
        <w:rPr>
          <w:rFonts w:hint="eastAsia" w:hAnsi="宋体"/>
          <w:b/>
          <w:color w:val="000000" w:themeColor="text1"/>
          <w:szCs w:val="21"/>
          <w14:textFill>
            <w14:solidFill>
              <w14:schemeClr w14:val="tx1"/>
            </w14:solidFill>
          </w14:textFill>
        </w:rPr>
        <w:t>2</w:t>
      </w:r>
      <w:r>
        <w:rPr>
          <w:rFonts w:hAnsi="宋体"/>
          <w:b/>
          <w:color w:val="000000" w:themeColor="text1"/>
          <w:szCs w:val="21"/>
          <w14:textFill>
            <w14:solidFill>
              <w14:schemeClr w14:val="tx1"/>
            </w14:solidFill>
          </w14:textFill>
        </w:rPr>
        <w:t>.</w:t>
      </w:r>
      <w:r>
        <w:rPr>
          <w:rFonts w:hint="eastAsia" w:hAnsi="宋体"/>
          <w:b/>
          <w:color w:val="000000" w:themeColor="text1"/>
          <w:szCs w:val="21"/>
          <w14:textFill>
            <w14:solidFill>
              <w14:schemeClr w14:val="tx1"/>
            </w14:solidFill>
          </w14:textFill>
        </w:rPr>
        <w:t>4</w:t>
      </w:r>
      <w:r>
        <w:rPr>
          <w:rFonts w:hAnsi="宋体"/>
          <w:b/>
          <w:color w:val="000000" w:themeColor="text1"/>
          <w:szCs w:val="21"/>
          <w14:textFill>
            <w14:solidFill>
              <w14:schemeClr w14:val="tx1"/>
            </w14:solidFill>
          </w14:textFill>
        </w:rPr>
        <w:t xml:space="preserve"> </w:t>
      </w:r>
      <w:r>
        <w:rPr>
          <w:rFonts w:hint="eastAsia"/>
          <w:color w:val="000000" w:themeColor="text1"/>
          <w:szCs w:val="21"/>
          <w14:textFill>
            <w14:solidFill>
              <w14:schemeClr w14:val="tx1"/>
            </w14:solidFill>
          </w14:textFill>
        </w:rPr>
        <w:t>竖井开挖至马头门，宜对马头门土体进行注浆加固。</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9</w:t>
      </w:r>
      <w:r>
        <w:rPr>
          <w:rFonts w:hAnsi="宋体"/>
          <w:b/>
          <w:color w:val="000000" w:themeColor="text1"/>
          <w:szCs w:val="21"/>
          <w14:textFill>
            <w14:solidFill>
              <w14:schemeClr w14:val="tx1"/>
            </w14:solidFill>
          </w14:textFill>
        </w:rPr>
        <w:t>.</w:t>
      </w:r>
      <w:r>
        <w:rPr>
          <w:rFonts w:hint="eastAsia" w:hAnsi="宋体"/>
          <w:b/>
          <w:color w:val="000000" w:themeColor="text1"/>
          <w:szCs w:val="21"/>
          <w14:textFill>
            <w14:solidFill>
              <w14:schemeClr w14:val="tx1"/>
            </w14:solidFill>
          </w14:textFill>
        </w:rPr>
        <w:t>2</w:t>
      </w:r>
      <w:r>
        <w:rPr>
          <w:rFonts w:hAnsi="宋体"/>
          <w:b/>
          <w:color w:val="000000" w:themeColor="text1"/>
          <w:szCs w:val="21"/>
          <w14:textFill>
            <w14:solidFill>
              <w14:schemeClr w14:val="tx1"/>
            </w14:solidFill>
          </w14:textFill>
        </w:rPr>
        <w:t>.</w:t>
      </w:r>
      <w:r>
        <w:rPr>
          <w:rFonts w:hint="eastAsia" w:hAnsi="宋体"/>
          <w:b/>
          <w:color w:val="000000" w:themeColor="text1"/>
          <w:szCs w:val="21"/>
          <w14:textFill>
            <w14:solidFill>
              <w14:schemeClr w14:val="tx1"/>
            </w14:solidFill>
          </w14:textFill>
        </w:rPr>
        <w:t xml:space="preserve">5 </w:t>
      </w:r>
      <w:r>
        <w:rPr>
          <w:rFonts w:hint="eastAsia" w:hAnsi="宋体"/>
          <w:color w:val="000000" w:themeColor="text1"/>
          <w:szCs w:val="21"/>
          <w14:textFill>
            <w14:solidFill>
              <w14:schemeClr w14:val="tx1"/>
            </w14:solidFill>
          </w14:textFill>
        </w:rPr>
        <w:t>开挖过程中，土层出现松软、坍塌时，宜在井壁埋设小导管，进行背后回填注浆加固，注浆宜采用水泥浆、水泥砂浆等浆液。</w:t>
      </w:r>
    </w:p>
    <w:p>
      <w:pPr>
        <w:pStyle w:val="22"/>
        <w:numPr>
          <w:ilvl w:val="255"/>
          <w:numId w:val="0"/>
        </w:num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9</w:t>
      </w:r>
      <w:r>
        <w:rPr>
          <w:rFonts w:hAnsi="宋体"/>
          <w:b/>
          <w:color w:val="000000" w:themeColor="text1"/>
          <w:szCs w:val="21"/>
          <w14:textFill>
            <w14:solidFill>
              <w14:schemeClr w14:val="tx1"/>
            </w14:solidFill>
          </w14:textFill>
        </w:rPr>
        <w:t>.2.</w:t>
      </w:r>
      <w:r>
        <w:rPr>
          <w:rFonts w:hint="eastAsia" w:hAnsi="宋体"/>
          <w:b/>
          <w:color w:val="000000" w:themeColor="text1"/>
          <w:szCs w:val="21"/>
          <w14:textFill>
            <w14:solidFill>
              <w14:schemeClr w14:val="tx1"/>
            </w14:solidFill>
          </w14:textFill>
        </w:rPr>
        <w:t>6</w:t>
      </w:r>
      <w:r>
        <w:rPr>
          <w:rFonts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应对竖井内地下管线等构筑物采取改移、悬吊、加固等措施；在开挖过程中，对</w:t>
      </w:r>
      <w:r>
        <w:rPr>
          <w:rFonts w:hint="eastAsia" w:ascii="宋体" w:hAnsi="宋体" w:cs="宋体"/>
          <w:color w:val="000000" w:themeColor="text1"/>
          <w:kern w:val="0"/>
          <w:szCs w:val="21"/>
          <w:lang w:bidi="ar"/>
          <w14:textFill>
            <w14:solidFill>
              <w14:schemeClr w14:val="tx1"/>
            </w14:solidFill>
          </w14:textFill>
        </w:rPr>
        <w:t>初期支护</w:t>
      </w:r>
      <w:r>
        <w:rPr>
          <w:rFonts w:hint="eastAsia" w:hAnsi="宋体"/>
          <w:color w:val="000000" w:themeColor="text1"/>
          <w:szCs w:val="21"/>
          <w14:textFill>
            <w14:solidFill>
              <w14:schemeClr w14:val="tx1"/>
            </w14:solidFill>
          </w14:textFill>
        </w:rPr>
        <w:t>、周边地面、地下水、周边建（构）筑物、地下管线、支撑体系等应进行巡查和监测，发现异常应妥善处理。</w:t>
      </w:r>
    </w:p>
    <w:p>
      <w:pPr>
        <w:adjustRightInd w:val="0"/>
        <w:snapToGrid w:val="0"/>
        <w:spacing w:line="360" w:lineRule="auto"/>
        <w:rPr>
          <w:rFonts w:hAnsi="宋体"/>
          <w:bCs/>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9</w:t>
      </w:r>
      <w:r>
        <w:rPr>
          <w:rFonts w:hAnsi="宋体"/>
          <w:b/>
          <w:color w:val="000000" w:themeColor="text1"/>
          <w:szCs w:val="21"/>
          <w14:textFill>
            <w14:solidFill>
              <w14:schemeClr w14:val="tx1"/>
            </w14:solidFill>
          </w14:textFill>
        </w:rPr>
        <w:t>.2.</w:t>
      </w:r>
      <w:r>
        <w:rPr>
          <w:rFonts w:hint="eastAsia" w:hAnsi="宋体"/>
          <w:b/>
          <w:color w:val="000000" w:themeColor="text1"/>
          <w:szCs w:val="21"/>
          <w14:textFill>
            <w14:solidFill>
              <w14:schemeClr w14:val="tx1"/>
            </w14:solidFill>
          </w14:textFill>
        </w:rPr>
        <w:t>7</w:t>
      </w:r>
      <w:r>
        <w:rPr>
          <w:rFonts w:hAnsi="宋体"/>
          <w:b/>
          <w:color w:val="000000" w:themeColor="text1"/>
          <w:szCs w:val="21"/>
          <w14:textFill>
            <w14:solidFill>
              <w14:schemeClr w14:val="tx1"/>
            </w14:solidFill>
          </w14:textFill>
        </w:rPr>
        <w:t xml:space="preserve"> </w:t>
      </w:r>
      <w:r>
        <w:rPr>
          <w:rFonts w:hint="eastAsia" w:hAnsi="宋体"/>
          <w:bCs/>
          <w:color w:val="000000" w:themeColor="text1"/>
          <w:szCs w:val="21"/>
          <w14:textFill>
            <w14:solidFill>
              <w14:schemeClr w14:val="tx1"/>
            </w14:solidFill>
          </w14:textFill>
        </w:rPr>
        <w:t>竖井挖土至设计标高，应及时安装底板格栅钢架、铺设钢筋网，并喷射混凝土封底。</w:t>
      </w:r>
    </w:p>
    <w:p>
      <w:pPr>
        <w:tabs>
          <w:tab w:val="left" w:pos="576"/>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218" w:name="_Toc21295"/>
      <w:bookmarkStart w:id="219" w:name="_Toc16000"/>
      <w:bookmarkStart w:id="220" w:name="_Toc31140"/>
      <w:bookmarkStart w:id="221" w:name="_Toc25976"/>
      <w:bookmarkStart w:id="222" w:name="_Toc18777"/>
      <w:bookmarkStart w:id="223" w:name="_Toc23296"/>
      <w:r>
        <w:rPr>
          <w:rFonts w:hint="eastAsia" w:hAnsi="宋体"/>
          <w:b/>
          <w:color w:val="000000" w:themeColor="text1"/>
          <w:sz w:val="24"/>
          <w14:textFill>
            <w14:solidFill>
              <w14:schemeClr w14:val="tx1"/>
            </w14:solidFill>
          </w14:textFill>
        </w:rPr>
        <w:t>9.3  初期支护</w:t>
      </w:r>
      <w:bookmarkEnd w:id="218"/>
      <w:bookmarkEnd w:id="219"/>
      <w:bookmarkEnd w:id="220"/>
      <w:bookmarkEnd w:id="221"/>
      <w:bookmarkEnd w:id="222"/>
      <w:bookmarkEnd w:id="223"/>
    </w:p>
    <w:p>
      <w:pPr>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9</w:t>
      </w:r>
      <w:r>
        <w:rPr>
          <w:rFonts w:hAnsi="宋体"/>
          <w:b/>
          <w:color w:val="000000" w:themeColor="text1"/>
          <w:szCs w:val="21"/>
          <w14:textFill>
            <w14:solidFill>
              <w14:schemeClr w14:val="tx1"/>
            </w14:solidFill>
          </w14:textFill>
        </w:rPr>
        <w:t>.</w:t>
      </w:r>
      <w:r>
        <w:rPr>
          <w:rFonts w:hint="eastAsia" w:hAnsi="宋体"/>
          <w:b/>
          <w:color w:val="000000" w:themeColor="text1"/>
          <w:szCs w:val="21"/>
          <w14:textFill>
            <w14:solidFill>
              <w14:schemeClr w14:val="tx1"/>
            </w14:solidFill>
          </w14:textFill>
        </w:rPr>
        <w:t>3</w:t>
      </w:r>
      <w:r>
        <w:rPr>
          <w:rFonts w:hAnsi="宋体"/>
          <w:b/>
          <w:color w:val="000000" w:themeColor="text1"/>
          <w:szCs w:val="21"/>
          <w14:textFill>
            <w14:solidFill>
              <w14:schemeClr w14:val="tx1"/>
            </w14:solidFill>
          </w14:textFill>
        </w:rPr>
        <w:t>.</w:t>
      </w:r>
      <w:r>
        <w:rPr>
          <w:rFonts w:hint="eastAsia" w:hAnsi="宋体"/>
          <w:b/>
          <w:color w:val="000000" w:themeColor="text1"/>
          <w:szCs w:val="21"/>
          <w14:textFill>
            <w14:solidFill>
              <w14:schemeClr w14:val="tx1"/>
            </w14:solidFill>
          </w14:textFill>
        </w:rPr>
        <w:t xml:space="preserve">1 </w:t>
      </w:r>
      <w:r>
        <w:rPr>
          <w:rFonts w:hint="eastAsia" w:hAnsi="宋体"/>
          <w:color w:val="000000" w:themeColor="text1"/>
          <w:szCs w:val="21"/>
          <w14:textFill>
            <w14:solidFill>
              <w14:schemeClr w14:val="tx1"/>
            </w14:solidFill>
          </w14:textFill>
        </w:rPr>
        <w:t>竖井圈梁施工应符合现行国家标准《混凝土结构工程施工规范》GB50666的有关规定，并应符合下列规定：</w:t>
      </w:r>
    </w:p>
    <w:p>
      <w:pPr>
        <w:numPr>
          <w:ilvl w:val="255"/>
          <w:numId w:val="0"/>
        </w:numPr>
        <w:tabs>
          <w:tab w:val="left" w:pos="851"/>
        </w:tabs>
        <w:snapToGrid w:val="0"/>
        <w:spacing w:line="360" w:lineRule="auto"/>
        <w:ind w:firstLine="422" w:firstLineChars="20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1 </w:t>
      </w:r>
      <w:r>
        <w:rPr>
          <w:rFonts w:hint="eastAsia" w:ascii="宋体" w:hAnsi="宋体" w:cs="宋体"/>
          <w:color w:val="000000" w:themeColor="text1"/>
          <w:kern w:val="0"/>
          <w:szCs w:val="21"/>
          <w:lang w:bidi="ar"/>
          <w14:textFill>
            <w14:solidFill>
              <w14:schemeClr w14:val="tx1"/>
            </w14:solidFill>
          </w14:textFill>
        </w:rPr>
        <w:t>竖井锁口圈梁处土方不应超挖，边坡支护应符合设计要求；</w:t>
      </w:r>
      <w:r>
        <w:rPr>
          <w:rFonts w:hint="eastAsia" w:hAnsi="宋体"/>
          <w:color w:val="000000" w:themeColor="text1"/>
          <w:szCs w:val="21"/>
          <w14:textFill>
            <w14:solidFill>
              <w14:schemeClr w14:val="tx1"/>
            </w14:solidFill>
          </w14:textFill>
        </w:rPr>
        <w:t>拆模后的废槽宜用素土回填，压实度不应小于95%。</w:t>
      </w:r>
    </w:p>
    <w:p>
      <w:pPr>
        <w:numPr>
          <w:ilvl w:val="255"/>
          <w:numId w:val="0"/>
        </w:numPr>
        <w:tabs>
          <w:tab w:val="left" w:pos="851"/>
        </w:tabs>
        <w:snapToGrid w:val="0"/>
        <w:spacing w:line="360" w:lineRule="auto"/>
        <w:ind w:firstLine="422" w:firstLineChars="20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2 </w:t>
      </w:r>
      <w:r>
        <w:rPr>
          <w:rFonts w:hint="eastAsia" w:hAnsi="宋体"/>
          <w:color w:val="000000" w:themeColor="text1"/>
          <w:szCs w:val="21"/>
          <w14:textFill>
            <w14:solidFill>
              <w14:schemeClr w14:val="tx1"/>
            </w14:solidFill>
          </w14:textFill>
        </w:rPr>
        <w:t>竖井连接钢筋应与圈梁钢筋绑扎牢固，在圈梁的锚固长度不应小于</w:t>
      </w:r>
      <w:r>
        <w:rPr>
          <w:rFonts w:hAnsi="宋体"/>
          <w:b/>
          <w:color w:val="000000" w:themeColor="text1"/>
          <w:szCs w:val="21"/>
          <w14:textFill>
            <w14:solidFill>
              <w14:schemeClr w14:val="tx1"/>
            </w14:solidFill>
          </w14:textFill>
        </w:rPr>
        <w:t>35d</w:t>
      </w:r>
      <w:r>
        <w:rPr>
          <w:rFonts w:hint="eastAsia" w:hAnsi="宋体"/>
          <w:color w:val="000000" w:themeColor="text1"/>
          <w:szCs w:val="21"/>
          <w14:textFill>
            <w14:solidFill>
              <w14:schemeClr w14:val="tx1"/>
            </w14:solidFill>
          </w14:textFill>
        </w:rPr>
        <w:t>，底部进入土层的长度不应小于</w:t>
      </w:r>
      <w:r>
        <w:rPr>
          <w:rFonts w:hAnsi="宋体"/>
          <w:b/>
          <w:color w:val="000000" w:themeColor="text1"/>
          <w:szCs w:val="21"/>
          <w14:textFill>
            <w14:solidFill>
              <w14:schemeClr w14:val="tx1"/>
            </w14:solidFill>
          </w14:textFill>
        </w:rPr>
        <w:t>20d</w:t>
      </w:r>
      <w:r>
        <w:rPr>
          <w:rFonts w:hint="eastAsia" w:hAnsi="宋体"/>
          <w:color w:val="000000" w:themeColor="text1"/>
          <w:szCs w:val="21"/>
          <w14:textFill>
            <w14:solidFill>
              <w14:schemeClr w14:val="tx1"/>
            </w14:solidFill>
          </w14:textFill>
        </w:rPr>
        <w:t>（</w:t>
      </w:r>
      <w:r>
        <w:rPr>
          <w:rFonts w:hAnsi="宋体"/>
          <w:b/>
          <w:color w:val="000000" w:themeColor="text1"/>
          <w:szCs w:val="21"/>
          <w14:textFill>
            <w14:solidFill>
              <w14:schemeClr w14:val="tx1"/>
            </w14:solidFill>
          </w14:textFill>
        </w:rPr>
        <w:t>d</w:t>
      </w:r>
      <w:r>
        <w:rPr>
          <w:rFonts w:hint="eastAsia" w:hAnsi="宋体"/>
          <w:color w:val="000000" w:themeColor="text1"/>
          <w:szCs w:val="21"/>
          <w14:textFill>
            <w14:solidFill>
              <w14:schemeClr w14:val="tx1"/>
            </w14:solidFill>
          </w14:textFill>
        </w:rPr>
        <w:t>为连接钢筋的直径）；</w:t>
      </w:r>
    </w:p>
    <w:p>
      <w:pPr>
        <w:numPr>
          <w:ilvl w:val="255"/>
          <w:numId w:val="0"/>
        </w:numPr>
        <w:tabs>
          <w:tab w:val="left" w:pos="851"/>
        </w:tabs>
        <w:snapToGrid w:val="0"/>
        <w:spacing w:line="360" w:lineRule="auto"/>
        <w:ind w:left="420" w:leftChars="20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3 </w:t>
      </w:r>
      <w:r>
        <w:rPr>
          <w:rFonts w:hint="eastAsia" w:hAnsi="宋体"/>
          <w:color w:val="000000" w:themeColor="text1"/>
          <w:szCs w:val="21"/>
          <w14:textFill>
            <w14:solidFill>
              <w14:schemeClr w14:val="tx1"/>
            </w14:solidFill>
          </w14:textFill>
        </w:rPr>
        <w:t>钢支撑预埋板与钢筋连接应牢固，钢板表面与混凝土表面平齐。</w:t>
      </w:r>
    </w:p>
    <w:p>
      <w:pPr>
        <w:widowControl/>
        <w:spacing w:line="360" w:lineRule="auto"/>
        <w:jc w:val="left"/>
        <w:rPr>
          <w:rFonts w:ascii="宋体" w:hAnsi="宋体" w:cs="宋体"/>
          <w:color w:val="000000" w:themeColor="text1"/>
          <w:kern w:val="0"/>
          <w:szCs w:val="21"/>
          <w:lang w:bidi="ar"/>
          <w14:textFill>
            <w14:solidFill>
              <w14:schemeClr w14:val="tx1"/>
            </w14:solidFill>
          </w14:textFill>
        </w:rPr>
      </w:pPr>
      <w:r>
        <w:rPr>
          <w:rFonts w:hint="eastAsia" w:hAnsi="宋体"/>
          <w:b/>
          <w:bCs/>
          <w:color w:val="000000" w:themeColor="text1"/>
          <w:szCs w:val="21"/>
          <w14:textFill>
            <w14:solidFill>
              <w14:schemeClr w14:val="tx1"/>
            </w14:solidFill>
          </w14:textFill>
        </w:rPr>
        <w:t>9.3.2</w:t>
      </w:r>
      <w:r>
        <w:rPr>
          <w:rFonts w:hint="eastAsia" w:hAnsi="宋体"/>
          <w:color w:val="000000" w:themeColor="text1"/>
          <w:szCs w:val="21"/>
          <w14:textFill>
            <w14:solidFill>
              <w14:schemeClr w14:val="tx1"/>
            </w14:solidFill>
          </w14:textFill>
        </w:rPr>
        <w:t xml:space="preserve"> 竖井</w:t>
      </w:r>
      <w:r>
        <w:rPr>
          <w:rFonts w:hint="eastAsia" w:ascii="宋体" w:hAnsi="宋体" w:cs="宋体"/>
          <w:color w:val="000000" w:themeColor="text1"/>
          <w:kern w:val="0"/>
          <w:szCs w:val="21"/>
          <w:lang w:bidi="ar"/>
          <w14:textFill>
            <w14:solidFill>
              <w14:schemeClr w14:val="tx1"/>
            </w14:solidFill>
          </w14:textFill>
        </w:rPr>
        <w:t>格栅钢架安装应符合下列规定：</w:t>
      </w:r>
    </w:p>
    <w:p>
      <w:pPr>
        <w:widowControl/>
        <w:spacing w:line="360" w:lineRule="auto"/>
        <w:ind w:firstLine="420"/>
        <w:jc w:val="left"/>
        <w:rPr>
          <w:rFonts w:ascii="宋体" w:hAnsi="宋体" w:cs="宋体"/>
          <w:color w:val="000000" w:themeColor="text1"/>
          <w:kern w:val="0"/>
          <w:szCs w:val="21"/>
          <w:lang w:bidi="ar"/>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宋体"/>
          <w:color w:val="000000" w:themeColor="text1"/>
          <w:kern w:val="0"/>
          <w:szCs w:val="21"/>
          <w:lang w:bidi="ar"/>
          <w14:textFill>
            <w14:solidFill>
              <w14:schemeClr w14:val="tx1"/>
            </w14:solidFill>
          </w14:textFill>
        </w:rPr>
        <w:t>格栅钢架间距应符合设计要求，不得超挖；</w:t>
      </w:r>
    </w:p>
    <w:p>
      <w:pPr>
        <w:widowControl/>
        <w:spacing w:line="360" w:lineRule="auto"/>
        <w:ind w:firstLine="420"/>
        <w:jc w:val="left"/>
        <w:rPr>
          <w:rFonts w:ascii="宋体" w:hAnsi="宋体" w:cs="宋体"/>
          <w:color w:val="000000" w:themeColor="text1"/>
          <w:kern w:val="0"/>
          <w:szCs w:val="21"/>
          <w:lang w:bidi="ar"/>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宋体"/>
          <w:color w:val="000000" w:themeColor="text1"/>
          <w:kern w:val="0"/>
          <w:szCs w:val="21"/>
          <w:lang w:bidi="ar"/>
          <w14:textFill>
            <w14:solidFill>
              <w14:schemeClr w14:val="tx1"/>
            </w14:solidFill>
          </w14:textFill>
        </w:rPr>
        <w:t>每循环、每分部土方开挖完成后应及时安装格栅钢架；</w:t>
      </w:r>
    </w:p>
    <w:p>
      <w:pPr>
        <w:widowControl/>
        <w:spacing w:line="360" w:lineRule="auto"/>
        <w:ind w:firstLine="420"/>
        <w:jc w:val="left"/>
        <w:rPr>
          <w:rFonts w:ascii="宋体" w:hAnsi="宋体" w:cs="宋体"/>
          <w:color w:val="000000" w:themeColor="text1"/>
          <w:kern w:val="0"/>
          <w:szCs w:val="21"/>
          <w:lang w:bidi="ar"/>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宋体"/>
          <w:color w:val="000000" w:themeColor="text1"/>
          <w:kern w:val="0"/>
          <w:szCs w:val="21"/>
          <w:lang w:bidi="ar"/>
          <w14:textFill>
            <w14:solidFill>
              <w14:schemeClr w14:val="tx1"/>
            </w14:solidFill>
          </w14:textFill>
        </w:rPr>
        <w:t>格栅钢架安装前应检查开挖断面轮廓、轴线及高程；</w:t>
      </w:r>
    </w:p>
    <w:p>
      <w:pPr>
        <w:widowControl/>
        <w:tabs>
          <w:tab w:val="left" w:pos="851"/>
        </w:tabs>
        <w:snapToGrid w:val="0"/>
        <w:spacing w:line="360" w:lineRule="auto"/>
        <w:ind w:firstLine="422" w:firstLineChars="200"/>
        <w:jc w:val="left"/>
        <w:rPr>
          <w:rFonts w:hAnsi="宋体"/>
          <w:b/>
          <w:color w:val="000000" w:themeColor="text1"/>
          <w:szCs w:val="21"/>
          <w:lang w:bidi="ar"/>
          <w14:textFill>
            <w14:solidFill>
              <w14:schemeClr w14:val="tx1"/>
            </w14:solidFill>
          </w14:textFill>
        </w:rPr>
      </w:pPr>
      <w:r>
        <w:rPr>
          <w:rFonts w:hAnsi="宋体"/>
          <w:b/>
          <w:color w:val="000000" w:themeColor="text1"/>
          <w:szCs w:val="21"/>
          <w14:textFill>
            <w14:solidFill>
              <w14:schemeClr w14:val="tx1"/>
            </w14:solidFill>
          </w14:textFill>
        </w:rPr>
        <w:t xml:space="preserve">4 </w:t>
      </w:r>
      <w:r>
        <w:rPr>
          <w:rFonts w:hint="eastAsia" w:ascii="宋体" w:hAnsi="宋体" w:cs="宋体"/>
          <w:color w:val="000000" w:themeColor="text1"/>
          <w:kern w:val="0"/>
          <w:szCs w:val="21"/>
          <w:lang w:bidi="ar"/>
          <w14:textFill>
            <w14:solidFill>
              <w14:schemeClr w14:val="tx1"/>
            </w14:solidFill>
          </w14:textFill>
        </w:rPr>
        <w:t>格栅</w:t>
      </w:r>
      <w:r>
        <w:rPr>
          <w:rFonts w:hAnsi="宋体"/>
          <w:color w:val="000000" w:themeColor="text1"/>
          <w:szCs w:val="21"/>
          <w:lang w:bidi="ar"/>
          <w14:textFill>
            <w14:solidFill>
              <w14:schemeClr w14:val="tx1"/>
            </w14:solidFill>
          </w14:textFill>
        </w:rPr>
        <w:t>钢架应节点应</w:t>
      </w:r>
      <w:r>
        <w:rPr>
          <w:rFonts w:hint="eastAsia" w:hAnsi="宋体"/>
          <w:color w:val="000000" w:themeColor="text1"/>
          <w:szCs w:val="21"/>
          <w:lang w:bidi="ar"/>
          <w14:textFill>
            <w14:solidFill>
              <w14:schemeClr w14:val="tx1"/>
            </w14:solidFill>
          </w14:textFill>
        </w:rPr>
        <w:t>连接牢固，并应</w:t>
      </w:r>
      <w:r>
        <w:rPr>
          <w:rFonts w:hAnsi="宋体"/>
          <w:color w:val="000000" w:themeColor="text1"/>
          <w:szCs w:val="21"/>
          <w:lang w:bidi="ar"/>
          <w14:textFill>
            <w14:solidFill>
              <w14:schemeClr w14:val="tx1"/>
            </w14:solidFill>
          </w14:textFill>
        </w:rPr>
        <w:t>相互错开。</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9.3.3 </w:t>
      </w:r>
      <w:r>
        <w:rPr>
          <w:rFonts w:hint="eastAsia" w:hAnsi="宋体"/>
          <w:color w:val="000000" w:themeColor="text1"/>
          <w:szCs w:val="21"/>
          <w14:textFill>
            <w14:solidFill>
              <w14:schemeClr w14:val="tx1"/>
            </w14:solidFill>
          </w14:textFill>
        </w:rPr>
        <w:t>竖井格栅钢架、连接筋及钢筋网安装应符合本规程第</w:t>
      </w:r>
      <w:r>
        <w:rPr>
          <w:rFonts w:hint="eastAsia" w:hAnsi="宋体"/>
          <w:b/>
          <w:bCs/>
          <w:color w:val="000000" w:themeColor="text1"/>
          <w:szCs w:val="21"/>
          <w14:textFill>
            <w14:solidFill>
              <w14:schemeClr w14:val="tx1"/>
            </w14:solidFill>
          </w14:textFill>
        </w:rPr>
        <w:t>12.2节</w:t>
      </w:r>
      <w:r>
        <w:rPr>
          <w:rFonts w:hint="eastAsia" w:hAnsi="宋体"/>
          <w:color w:val="000000" w:themeColor="text1"/>
          <w:szCs w:val="21"/>
          <w14:textFill>
            <w14:solidFill>
              <w14:schemeClr w14:val="tx1"/>
            </w14:solidFill>
          </w14:textFill>
        </w:rPr>
        <w:t>的规定。</w:t>
      </w:r>
    </w:p>
    <w:p>
      <w:pPr>
        <w:spacing w:line="360" w:lineRule="auto"/>
        <w:rPr>
          <w:rFonts w:ascii="宋体" w:hAnsi="宋体" w:cs="宋体"/>
          <w:color w:val="000000" w:themeColor="text1"/>
          <w:kern w:val="0"/>
          <w:szCs w:val="21"/>
          <w:lang w:bidi="ar"/>
          <w14:textFill>
            <w14:solidFill>
              <w14:schemeClr w14:val="tx1"/>
            </w14:solidFill>
          </w14:textFill>
        </w:rPr>
      </w:pPr>
      <w:r>
        <w:rPr>
          <w:rFonts w:hint="eastAsia" w:hAnsi="宋体"/>
          <w:b/>
          <w:color w:val="000000" w:themeColor="text1"/>
          <w:szCs w:val="21"/>
          <w14:textFill>
            <w14:solidFill>
              <w14:schemeClr w14:val="tx1"/>
            </w14:solidFill>
          </w14:textFill>
        </w:rPr>
        <w:t>9</w:t>
      </w:r>
      <w:r>
        <w:rPr>
          <w:rFonts w:hAnsi="宋体"/>
          <w:b/>
          <w:color w:val="000000" w:themeColor="text1"/>
          <w:szCs w:val="21"/>
          <w14:textFill>
            <w14:solidFill>
              <w14:schemeClr w14:val="tx1"/>
            </w14:solidFill>
          </w14:textFill>
        </w:rPr>
        <w:t>.</w:t>
      </w:r>
      <w:r>
        <w:rPr>
          <w:rFonts w:hint="eastAsia" w:hAnsi="宋体"/>
          <w:b/>
          <w:color w:val="000000" w:themeColor="text1"/>
          <w:szCs w:val="21"/>
          <w14:textFill>
            <w14:solidFill>
              <w14:schemeClr w14:val="tx1"/>
            </w14:solidFill>
          </w14:textFill>
        </w:rPr>
        <w:t>3</w:t>
      </w:r>
      <w:r>
        <w:rPr>
          <w:rFonts w:hAnsi="宋体"/>
          <w:b/>
          <w:color w:val="000000" w:themeColor="text1"/>
          <w:szCs w:val="21"/>
          <w14:textFill>
            <w14:solidFill>
              <w14:schemeClr w14:val="tx1"/>
            </w14:solidFill>
          </w14:textFill>
        </w:rPr>
        <w:t>.</w:t>
      </w:r>
      <w:r>
        <w:rPr>
          <w:rFonts w:hint="eastAsia" w:hAnsi="宋体"/>
          <w:b/>
          <w:color w:val="000000" w:themeColor="text1"/>
          <w:szCs w:val="21"/>
          <w14:textFill>
            <w14:solidFill>
              <w14:schemeClr w14:val="tx1"/>
            </w14:solidFill>
          </w14:textFill>
        </w:rPr>
        <w:t xml:space="preserve">4 </w:t>
      </w:r>
      <w:r>
        <w:rPr>
          <w:rFonts w:hint="eastAsia" w:ascii="宋体" w:hAnsi="宋体" w:cs="宋体"/>
          <w:color w:val="000000" w:themeColor="text1"/>
          <w:kern w:val="0"/>
          <w:szCs w:val="21"/>
          <w:lang w:bidi="ar"/>
          <w14:textFill>
            <w14:solidFill>
              <w14:schemeClr w14:val="tx1"/>
            </w14:solidFill>
          </w14:textFill>
        </w:rPr>
        <w:t>竖井初期支护应尽快封闭成环，应按设计要求采取防止井壁下沉的措施。</w:t>
      </w:r>
    </w:p>
    <w:p>
      <w:pPr>
        <w:numPr>
          <w:ilvl w:val="255"/>
          <w:numId w:val="0"/>
        </w:numPr>
        <w:adjustRightInd w:val="0"/>
        <w:snapToGrid w:val="0"/>
        <w:spacing w:line="360" w:lineRule="auto"/>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9.3.5 </w:t>
      </w:r>
      <w:r>
        <w:rPr>
          <w:rFonts w:hint="eastAsia"/>
          <w:color w:val="000000" w:themeColor="text1"/>
          <w:szCs w:val="21"/>
          <w14:textFill>
            <w14:solidFill>
              <w14:schemeClr w14:val="tx1"/>
            </w14:solidFill>
          </w14:textFill>
        </w:rPr>
        <w:t>竖井内支撑应及时安装，宜在开挖至支撑下0.5m</w:t>
      </w:r>
      <w:r>
        <w:rPr>
          <w:rFonts w:hint="eastAsia" w:ascii="宋体" w:hAnsi="宋体"/>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1.0m处进行。内支撑位置、预加轴力应符合设计要求；</w:t>
      </w:r>
      <w:r>
        <w:rPr>
          <w:rFonts w:hint="eastAsia" w:hAnsi="宋体"/>
          <w:color w:val="000000" w:themeColor="text1"/>
          <w:szCs w:val="21"/>
          <w14:textFill>
            <w14:solidFill>
              <w14:schemeClr w14:val="tx1"/>
            </w14:solidFill>
          </w14:textFill>
        </w:rPr>
        <w:t>钢支撑应与预埋板焊接牢固，混凝土支撑应随圈梁同时浇筑。</w:t>
      </w:r>
    </w:p>
    <w:p>
      <w:pPr>
        <w:spacing w:line="360" w:lineRule="auto"/>
        <w:rPr>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9.3.6 </w:t>
      </w:r>
      <w:r>
        <w:rPr>
          <w:rFonts w:hint="eastAsia" w:ascii="宋体" w:hAnsi="宋体" w:cs="宋体"/>
          <w:color w:val="000000" w:themeColor="text1"/>
          <w:kern w:val="0"/>
          <w:szCs w:val="21"/>
          <w:lang w:bidi="ar"/>
          <w14:textFill>
            <w14:solidFill>
              <w14:schemeClr w14:val="tx1"/>
            </w14:solidFill>
          </w14:textFill>
        </w:rPr>
        <w:t>竖井临时支撑应与格栅钢架焊接牢固，并根据二衬结构浇筑顺序、由下至上分部拆除。</w:t>
      </w:r>
    </w:p>
    <w:p>
      <w:pPr>
        <w:widowControl/>
        <w:spacing w:line="360" w:lineRule="auto"/>
        <w:jc w:val="left"/>
        <w:rPr>
          <w:rFonts w:ascii="宋体" w:hAnsi="宋体" w:cs="宋体"/>
          <w:color w:val="000000" w:themeColor="text1"/>
          <w:kern w:val="0"/>
          <w:szCs w:val="21"/>
          <w:lang w:bidi="ar"/>
          <w14:textFill>
            <w14:solidFill>
              <w14:schemeClr w14:val="tx1"/>
            </w14:solidFill>
          </w14:textFill>
        </w:rPr>
      </w:pPr>
      <w:r>
        <w:rPr>
          <w:rFonts w:hint="eastAsia" w:hAnsi="宋体"/>
          <w:b/>
          <w:color w:val="000000" w:themeColor="text1"/>
          <w:szCs w:val="21"/>
          <w14:textFill>
            <w14:solidFill>
              <w14:schemeClr w14:val="tx1"/>
            </w14:solidFill>
          </w14:textFill>
        </w:rPr>
        <w:t xml:space="preserve">9.3.7 </w:t>
      </w:r>
      <w:r>
        <w:rPr>
          <w:rFonts w:hint="eastAsia" w:ascii="宋体" w:hAnsi="宋体" w:cs="宋体"/>
          <w:color w:val="000000" w:themeColor="text1"/>
          <w:kern w:val="0"/>
          <w:szCs w:val="21"/>
          <w:lang w:bidi="ar"/>
          <w14:textFill>
            <w14:solidFill>
              <w14:schemeClr w14:val="tx1"/>
            </w14:solidFill>
          </w14:textFill>
        </w:rPr>
        <w:t>马头门、预留洞应按设计要求进行支护。</w:t>
      </w:r>
    </w:p>
    <w:p>
      <w:pPr>
        <w:widowControl/>
        <w:spacing w:line="360" w:lineRule="auto"/>
        <w:jc w:val="left"/>
        <w:rPr>
          <w:rFonts w:hAnsi="宋体"/>
          <w:b/>
          <w:bCs/>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9.3.8 </w:t>
      </w:r>
      <w:r>
        <w:rPr>
          <w:rFonts w:hint="eastAsia" w:ascii="宋体" w:hAnsi="宋体" w:cs="宋体"/>
          <w:color w:val="000000" w:themeColor="text1"/>
          <w:kern w:val="0"/>
          <w:szCs w:val="21"/>
          <w:lang w:bidi="ar"/>
          <w14:textFill>
            <w14:solidFill>
              <w14:schemeClr w14:val="tx1"/>
            </w14:solidFill>
          </w14:textFill>
        </w:rPr>
        <w:t>设置注浆锚管时，锚管应通过L形钢筋与格栅钢架焊接牢固。</w:t>
      </w:r>
    </w:p>
    <w:p>
      <w:pPr>
        <w:widowControl/>
        <w:spacing w:line="360" w:lineRule="auto"/>
        <w:jc w:val="left"/>
        <w:rPr>
          <w:rFonts w:ascii="宋体" w:hAnsi="宋体" w:cs="宋体"/>
          <w:color w:val="000000" w:themeColor="text1"/>
          <w:kern w:val="0"/>
          <w:szCs w:val="21"/>
          <w:lang w:bidi="ar"/>
          <w14:textFill>
            <w14:solidFill>
              <w14:schemeClr w14:val="tx1"/>
            </w14:solidFill>
          </w14:textFill>
        </w:rPr>
      </w:pPr>
      <w:r>
        <w:rPr>
          <w:rFonts w:hint="eastAsia" w:hAnsi="宋体"/>
          <w:b/>
          <w:color w:val="000000" w:themeColor="text1"/>
          <w:szCs w:val="21"/>
          <w14:textFill>
            <w14:solidFill>
              <w14:schemeClr w14:val="tx1"/>
            </w14:solidFill>
          </w14:textFill>
        </w:rPr>
        <w:t xml:space="preserve">9.3.9 </w:t>
      </w:r>
      <w:r>
        <w:rPr>
          <w:rFonts w:hint="eastAsia" w:ascii="宋体" w:hAnsi="宋体" w:cs="宋体"/>
          <w:color w:val="000000" w:themeColor="text1"/>
          <w:kern w:val="0"/>
          <w:szCs w:val="21"/>
          <w:lang w:bidi="ar"/>
          <w14:textFill>
            <w14:solidFill>
              <w14:schemeClr w14:val="tx1"/>
            </w14:solidFill>
          </w14:textFill>
        </w:rPr>
        <w:t>竖井封底时，最后一榀格栅钢架应与封底格栅钢架焊接牢固。</w:t>
      </w:r>
    </w:p>
    <w:p>
      <w:pPr>
        <w:widowControl/>
        <w:spacing w:line="360" w:lineRule="auto"/>
        <w:jc w:val="left"/>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9.3.10 </w:t>
      </w:r>
      <w:r>
        <w:rPr>
          <w:rFonts w:hint="eastAsia" w:hAnsi="宋体"/>
          <w:color w:val="000000" w:themeColor="text1"/>
          <w:szCs w:val="21"/>
          <w14:textFill>
            <w14:solidFill>
              <w14:schemeClr w14:val="tx1"/>
            </w14:solidFill>
          </w14:textFill>
        </w:rPr>
        <w:t>喷射混凝土施工应符合本规程第</w:t>
      </w:r>
      <w:r>
        <w:rPr>
          <w:rFonts w:hint="eastAsia" w:hAnsi="宋体"/>
          <w:b/>
          <w:bCs/>
          <w:color w:val="000000" w:themeColor="text1"/>
          <w:szCs w:val="21"/>
          <w14:textFill>
            <w14:solidFill>
              <w14:schemeClr w14:val="tx1"/>
            </w14:solidFill>
          </w14:textFill>
        </w:rPr>
        <w:t>12.4节</w:t>
      </w:r>
      <w:r>
        <w:rPr>
          <w:rFonts w:hint="eastAsia" w:hAnsi="宋体"/>
          <w:color w:val="000000" w:themeColor="text1"/>
          <w:szCs w:val="21"/>
          <w14:textFill>
            <w14:solidFill>
              <w14:schemeClr w14:val="tx1"/>
            </w14:solidFill>
          </w14:textFill>
        </w:rPr>
        <w:t>的有关规定。</w:t>
      </w:r>
      <w:r>
        <w:rPr>
          <w:rFonts w:hint="eastAsia" w:ascii="宋体" w:hAnsi="宋体" w:cs="宋体"/>
          <w:color w:val="000000" w:themeColor="text1"/>
          <w:kern w:val="0"/>
          <w:szCs w:val="21"/>
          <w:lang w:bidi="ar"/>
          <w14:textFill>
            <w14:solidFill>
              <w14:schemeClr w14:val="tx1"/>
            </w14:solidFill>
          </w14:textFill>
        </w:rPr>
        <w:t xml:space="preserve"> </w:t>
      </w:r>
    </w:p>
    <w:p>
      <w:pPr>
        <w:adjustRightInd w:val="0"/>
        <w:snapToGrid w:val="0"/>
        <w:spacing w:line="360" w:lineRule="auto"/>
        <w:rPr>
          <w:rFonts w:hAnsi="宋体"/>
          <w:color w:val="000000" w:themeColor="text1"/>
          <w:szCs w:val="21"/>
          <w14:textFill>
            <w14:solidFill>
              <w14:schemeClr w14:val="tx1"/>
            </w14:solidFill>
          </w14:textFill>
        </w:rPr>
        <w:sectPr>
          <w:pgSz w:w="11906" w:h="16838"/>
          <w:pgMar w:top="1440" w:right="1800" w:bottom="1440" w:left="1800" w:header="851" w:footer="992" w:gutter="0"/>
          <w:cols w:space="425" w:num="1"/>
          <w:docGrid w:type="lines" w:linePitch="312" w:charSpace="0"/>
        </w:sectPr>
      </w:pPr>
    </w:p>
    <w:p>
      <w:pPr>
        <w:numPr>
          <w:ilvl w:val="255"/>
          <w:numId w:val="0"/>
        </w:numPr>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224" w:name="_Toc19224"/>
      <w:bookmarkStart w:id="225" w:name="_Toc4100"/>
      <w:bookmarkStart w:id="226" w:name="_Toc16276"/>
      <w:bookmarkStart w:id="227" w:name="_Toc17932"/>
      <w:bookmarkStart w:id="228" w:name="_Toc795"/>
      <w:bookmarkStart w:id="229" w:name="_Toc19227"/>
      <w:r>
        <w:rPr>
          <w:rFonts w:hint="eastAsia"/>
          <w:b/>
          <w:color w:val="000000" w:themeColor="text1"/>
          <w:sz w:val="28"/>
          <w:szCs w:val="28"/>
          <w14:textFill>
            <w14:solidFill>
              <w14:schemeClr w14:val="tx1"/>
            </w14:solidFill>
          </w14:textFill>
        </w:rPr>
        <w:t>10  马头门</w:t>
      </w:r>
      <w:bookmarkEnd w:id="224"/>
      <w:bookmarkEnd w:id="225"/>
      <w:bookmarkEnd w:id="226"/>
      <w:bookmarkEnd w:id="227"/>
      <w:bookmarkEnd w:id="228"/>
      <w:bookmarkEnd w:id="229"/>
    </w:p>
    <w:p>
      <w:pPr>
        <w:numPr>
          <w:ilvl w:val="255"/>
          <w:numId w:val="0"/>
        </w:numPr>
        <w:tabs>
          <w:tab w:val="left" w:pos="576"/>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230" w:name="_Toc4025"/>
      <w:bookmarkStart w:id="231" w:name="_Toc21172"/>
      <w:bookmarkStart w:id="232" w:name="_Toc23216"/>
      <w:bookmarkStart w:id="233" w:name="_Toc17461"/>
      <w:bookmarkStart w:id="234" w:name="_Toc15757"/>
      <w:bookmarkStart w:id="235" w:name="_Toc25162"/>
      <w:r>
        <w:rPr>
          <w:rFonts w:hint="eastAsia" w:hAnsi="宋体"/>
          <w:b/>
          <w:color w:val="000000" w:themeColor="text1"/>
          <w:sz w:val="24"/>
          <w14:textFill>
            <w14:solidFill>
              <w14:schemeClr w14:val="tx1"/>
            </w14:solidFill>
          </w14:textFill>
        </w:rPr>
        <w:t>10.1  一般规定</w:t>
      </w:r>
      <w:bookmarkEnd w:id="230"/>
      <w:bookmarkEnd w:id="231"/>
      <w:bookmarkEnd w:id="232"/>
      <w:bookmarkEnd w:id="233"/>
      <w:bookmarkEnd w:id="234"/>
      <w:bookmarkEnd w:id="235"/>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10.1.1 </w:t>
      </w:r>
      <w:r>
        <w:rPr>
          <w:rFonts w:hint="eastAsia" w:hAnsi="宋体"/>
          <w:color w:val="000000" w:themeColor="text1"/>
          <w:szCs w:val="21"/>
          <w14:textFill>
            <w14:solidFill>
              <w14:schemeClr w14:val="tx1"/>
            </w14:solidFill>
          </w14:textFill>
        </w:rPr>
        <w:t>马头门施工前应对洞门范围土体进行加固，加固方法、范围、技术参数和效果应符合设计要求，经检查验收合格方可开挖。</w:t>
      </w:r>
    </w:p>
    <w:p>
      <w:pPr>
        <w:pStyle w:val="22"/>
        <w:tabs>
          <w:tab w:val="left" w:pos="851"/>
        </w:tabs>
        <w:snapToGrid w:val="0"/>
        <w:spacing w:line="360" w:lineRule="auto"/>
        <w:ind w:firstLine="0" w:firstLineChars="0"/>
        <w:jc w:val="left"/>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10.1.2 </w:t>
      </w:r>
      <w:r>
        <w:rPr>
          <w:rFonts w:hint="eastAsia" w:hAnsi="宋体"/>
          <w:color w:val="000000" w:themeColor="text1"/>
          <w:szCs w:val="21"/>
          <w14:textFill>
            <w14:solidFill>
              <w14:schemeClr w14:val="tx1"/>
            </w14:solidFill>
          </w14:textFill>
        </w:rPr>
        <w:t xml:space="preserve">马头门两侧的初期支护内应预设钢筋暗柱，拱顶上部、底板下部的格栅钢架应完整。 </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10.1.3 </w:t>
      </w:r>
      <w:r>
        <w:rPr>
          <w:rFonts w:hint="eastAsia" w:hAnsi="宋体"/>
          <w:color w:val="000000" w:themeColor="text1"/>
          <w:szCs w:val="21"/>
          <w14:textFill>
            <w14:solidFill>
              <w14:schemeClr w14:val="tx1"/>
            </w14:solidFill>
          </w14:textFill>
        </w:rPr>
        <w:t>马头门位置、方向应准确，中心及高程应经复测合格后方可开挖。</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10.1.4 </w:t>
      </w:r>
      <w:r>
        <w:rPr>
          <w:rFonts w:hint="eastAsia" w:hAnsi="宋体"/>
          <w:color w:val="000000" w:themeColor="text1"/>
          <w:szCs w:val="21"/>
          <w14:textFill>
            <w14:solidFill>
              <w14:schemeClr w14:val="tx1"/>
            </w14:solidFill>
          </w14:textFill>
        </w:rPr>
        <w:t>马头门破除前应按专项方案搭设施工作业平台。</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10.1.5 </w:t>
      </w:r>
      <w:r>
        <w:rPr>
          <w:rFonts w:hint="eastAsia" w:hAnsi="宋体"/>
          <w:color w:val="000000" w:themeColor="text1"/>
          <w:szCs w:val="21"/>
          <w14:textFill>
            <w14:solidFill>
              <w14:schemeClr w14:val="tx1"/>
            </w14:solidFill>
          </w14:textFill>
        </w:rPr>
        <w:t xml:space="preserve">马头门开挖应符合下列规定： </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hAnsi="宋体"/>
          <w:color w:val="000000" w:themeColor="text1"/>
          <w:szCs w:val="21"/>
          <w14:textFill>
            <w14:solidFill>
              <w14:schemeClr w14:val="tx1"/>
            </w14:solidFill>
          </w14:textFill>
        </w:rPr>
        <w:t xml:space="preserve">破除马头门前，应按设计要求进行支撑体系受力转换，竖井、横通道和隧道内马头门区域应按要求设置支撑； </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hAnsi="宋体"/>
          <w:color w:val="000000" w:themeColor="text1"/>
          <w:szCs w:val="21"/>
          <w14:textFill>
            <w14:solidFill>
              <w14:schemeClr w14:val="tx1"/>
            </w14:solidFill>
          </w14:textFill>
        </w:rPr>
        <w:t>马头门宜按照先拱部、再侧墙、最后底板的顺序破除；</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hAnsi="宋体"/>
          <w:color w:val="000000" w:themeColor="text1"/>
          <w:szCs w:val="21"/>
          <w14:textFill>
            <w14:solidFill>
              <w14:schemeClr w14:val="tx1"/>
            </w14:solidFill>
          </w14:textFill>
        </w:rPr>
        <w:t xml:space="preserve">马头门处隧道的格栅钢架应三榀密排布置，连接筋加密； </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hAnsi="宋体"/>
          <w:color w:val="000000" w:themeColor="text1"/>
          <w:szCs w:val="21"/>
          <w14:textFill>
            <w14:solidFill>
              <w14:schemeClr w14:val="tx1"/>
            </w14:solidFill>
          </w14:textFill>
        </w:rPr>
        <w:t>马头门格栅钢架主筋应与竖井、横通道和隧道格栅钢架的主筋、连接筋法采用帮条焊方连接，帮条焊应满焊，搭接长度不应小于10d（d为钢筋直径，当钢筋直径不同时，以最小直径为准），帮条焊间距应符合设计要求，设计未要求时，不宜大于500mm；</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5 </w:t>
      </w:r>
      <w:r>
        <w:rPr>
          <w:rFonts w:hint="eastAsia" w:hAnsi="宋体"/>
          <w:color w:val="000000" w:themeColor="text1"/>
          <w:szCs w:val="21"/>
          <w14:textFill>
            <w14:solidFill>
              <w14:schemeClr w14:val="tx1"/>
            </w14:solidFill>
          </w14:textFill>
        </w:rPr>
        <w:t xml:space="preserve">马头门纵向连接筋应与竖井、横通道和隧道主筋焊接牢固，宜采用双面焊，搭接长度不小于5d； </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6 </w:t>
      </w:r>
      <w:r>
        <w:rPr>
          <w:rFonts w:hint="eastAsia" w:hAnsi="宋体"/>
          <w:color w:val="000000" w:themeColor="text1"/>
          <w:szCs w:val="21"/>
          <w14:textFill>
            <w14:solidFill>
              <w14:schemeClr w14:val="tx1"/>
            </w14:solidFill>
          </w14:textFill>
        </w:rPr>
        <w:t>横通道、隧道侧墙马头门施工时，马头门拱顶与横通道、隧道的拱脚应采用角筋焊搭接。</w:t>
      </w:r>
    </w:p>
    <w:p>
      <w:pPr>
        <w:pStyle w:val="22"/>
        <w:tabs>
          <w:tab w:val="left" w:pos="851"/>
        </w:tabs>
        <w:snapToGrid w:val="0"/>
        <w:spacing w:line="360" w:lineRule="auto"/>
        <w:ind w:firstLine="0" w:firstLineChars="0"/>
        <w:jc w:val="left"/>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10.1.6 </w:t>
      </w:r>
      <w:r>
        <w:rPr>
          <w:rFonts w:hint="eastAsia" w:hAnsi="宋体"/>
          <w:color w:val="000000" w:themeColor="text1"/>
          <w:szCs w:val="21"/>
          <w14:textFill>
            <w14:solidFill>
              <w14:schemeClr w14:val="tx1"/>
            </w14:solidFill>
          </w14:textFill>
        </w:rPr>
        <w:t>马头门开挖顺序应符合设计要求，同一竖井、横通道和隧道内的马头门不应同时施工，分部开挖的隧道各导洞马头门不应同时施工。一侧隧道掘进15m 后，方可进行另一侧马头门开挖。马头门高程不一致时，应遵循“先高后低”的原则。</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10.1.7 </w:t>
      </w:r>
      <w:r>
        <w:rPr>
          <w:rFonts w:hint="eastAsia" w:hAnsi="宋体"/>
          <w:color w:val="000000" w:themeColor="text1"/>
          <w:szCs w:val="21"/>
          <w14:textFill>
            <w14:solidFill>
              <w14:schemeClr w14:val="tx1"/>
            </w14:solidFill>
          </w14:textFill>
        </w:rPr>
        <w:t>马头门施工过程中，应对竖井、横通道和隧道加强监控量测，根据监测信息及时调整支护参数。</w:t>
      </w:r>
    </w:p>
    <w:p>
      <w:pPr>
        <w:numPr>
          <w:ilvl w:val="1"/>
          <w:numId w:val="0"/>
        </w:numPr>
        <w:tabs>
          <w:tab w:val="left" w:pos="576"/>
        </w:tabs>
        <w:adjustRightInd w:val="0"/>
        <w:snapToGrid w:val="0"/>
        <w:spacing w:before="312" w:beforeLines="100" w:after="312" w:afterLines="100"/>
        <w:ind w:left="578" w:hanging="578"/>
        <w:jc w:val="center"/>
        <w:outlineLvl w:val="1"/>
        <w:rPr>
          <w:rFonts w:hAnsi="宋体"/>
          <w:b/>
          <w:color w:val="000000" w:themeColor="text1"/>
          <w:sz w:val="24"/>
          <w14:textFill>
            <w14:solidFill>
              <w14:schemeClr w14:val="tx1"/>
            </w14:solidFill>
          </w14:textFill>
        </w:rPr>
      </w:pPr>
      <w:bookmarkStart w:id="236" w:name="_Toc22022"/>
      <w:bookmarkStart w:id="237" w:name="_Toc5799"/>
      <w:bookmarkStart w:id="238" w:name="_Toc29410"/>
      <w:bookmarkStart w:id="239" w:name="_Toc12180"/>
      <w:bookmarkStart w:id="240" w:name="_Toc21782"/>
      <w:bookmarkStart w:id="241" w:name="_Toc26825"/>
      <w:r>
        <w:rPr>
          <w:rFonts w:hint="eastAsia" w:hAnsi="宋体"/>
          <w:b/>
          <w:color w:val="000000" w:themeColor="text1"/>
          <w:sz w:val="24"/>
          <w14:textFill>
            <w14:solidFill>
              <w14:schemeClr w14:val="tx1"/>
            </w14:solidFill>
          </w14:textFill>
        </w:rPr>
        <w:t>10.2  竖井马头门</w:t>
      </w:r>
      <w:bookmarkEnd w:id="236"/>
      <w:bookmarkEnd w:id="237"/>
      <w:bookmarkEnd w:id="238"/>
      <w:bookmarkEnd w:id="239"/>
      <w:bookmarkEnd w:id="240"/>
      <w:bookmarkEnd w:id="241"/>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10.2.1 </w:t>
      </w:r>
      <w:r>
        <w:rPr>
          <w:rFonts w:hint="eastAsia" w:hAnsi="宋体"/>
          <w:color w:val="000000" w:themeColor="text1"/>
          <w:szCs w:val="21"/>
          <w14:textFill>
            <w14:solidFill>
              <w14:schemeClr w14:val="tx1"/>
            </w14:solidFill>
          </w14:textFill>
        </w:rPr>
        <w:t>锚喷支护竖井马头门的暗梁、暗柱应在竖井施工时按设计要求安装，马头门上部应设置水平支撑。</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10.2.2 </w:t>
      </w:r>
      <w:r>
        <w:rPr>
          <w:rFonts w:hint="eastAsia" w:hAnsi="宋体"/>
          <w:color w:val="000000" w:themeColor="text1"/>
          <w:szCs w:val="21"/>
          <w14:textFill>
            <w14:solidFill>
              <w14:schemeClr w14:val="tx1"/>
            </w14:solidFill>
          </w14:textFill>
        </w:rPr>
        <w:t>马头门开挖与支护步序应根据隧道断面尺寸、掘进方式及设计要求合理确定。采用台阶法开挖，台阶长度不应小于隧道开挖宽度，宜为3m</w:t>
      </w:r>
      <w:r>
        <w:rPr>
          <w:rFonts w:hint="eastAsia" w:ascii="宋体" w:hAnsi="宋体" w:cs="宋体"/>
          <w:color w:val="000000" w:themeColor="text1"/>
          <w:szCs w:val="21"/>
          <w14:textFill>
            <w14:solidFill>
              <w14:schemeClr w14:val="tx1"/>
            </w14:solidFill>
          </w14:textFill>
        </w:rPr>
        <w:t>～</w:t>
      </w:r>
      <w:r>
        <w:rPr>
          <w:rFonts w:hint="eastAsia" w:hAnsi="宋体"/>
          <w:color w:val="000000" w:themeColor="text1"/>
          <w:szCs w:val="21"/>
          <w14:textFill>
            <w14:solidFill>
              <w14:schemeClr w14:val="tx1"/>
            </w14:solidFill>
          </w14:textFill>
        </w:rPr>
        <w:t>10m，台阶不宜多于3级。</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10.2.3 </w:t>
      </w:r>
      <w:r>
        <w:rPr>
          <w:rFonts w:hint="eastAsia" w:hAnsi="宋体"/>
          <w:color w:val="000000" w:themeColor="text1"/>
          <w:szCs w:val="21"/>
          <w14:textFill>
            <w14:solidFill>
              <w14:schemeClr w14:val="tx1"/>
            </w14:solidFill>
          </w14:textFill>
        </w:rPr>
        <w:t>马头门破除应由上至下、分段、分部破除，高度以首层洞室一半高度，方便开挖上导洞为宜。</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10.2.4 </w:t>
      </w:r>
      <w:r>
        <w:rPr>
          <w:rFonts w:hint="eastAsia" w:hAnsi="宋体"/>
          <w:color w:val="000000" w:themeColor="text1"/>
          <w:szCs w:val="21"/>
          <w14:textFill>
            <w14:solidFill>
              <w14:schemeClr w14:val="tx1"/>
            </w14:solidFill>
          </w14:textFill>
        </w:rPr>
        <w:t>大断面、多导洞隧道马头门开挖应按设计规定的顺序进行。各导洞马头门工作面错开距离，应符合设计要求，设计未规定时，错开距离不宜小于20m。</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10.2.5 </w:t>
      </w:r>
      <w:r>
        <w:rPr>
          <w:rFonts w:hint="eastAsia" w:hAnsi="宋体"/>
          <w:color w:val="000000" w:themeColor="text1"/>
          <w:szCs w:val="21"/>
          <w14:textFill>
            <w14:solidFill>
              <w14:schemeClr w14:val="tx1"/>
            </w14:solidFill>
          </w14:textFill>
        </w:rPr>
        <w:t>基坑内进行马头门施工，地层加固、开挖步序应符合设计要求，并应符合下列规定：</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hAnsi="宋体"/>
          <w:color w:val="000000" w:themeColor="text1"/>
          <w:szCs w:val="21"/>
          <w14:textFill>
            <w14:solidFill>
              <w14:schemeClr w14:val="tx1"/>
            </w14:solidFill>
          </w14:textFill>
        </w:rPr>
        <w:t>宜在围护桩施工完毕、主体结构施工前完成马头门预支护和注浆加固，预支护和注浆加固的方法、范围应符合设计要求；</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hAnsi="宋体"/>
          <w:color w:val="000000" w:themeColor="text1"/>
          <w:szCs w:val="21"/>
          <w14:textFill>
            <w14:solidFill>
              <w14:schemeClr w14:val="tx1"/>
            </w14:solidFill>
          </w14:textFill>
        </w:rPr>
        <w:t xml:space="preserve"> 当主体结构已完成，马头门土体加固马头门施工前，应沿结构预留洞口由内而外进行，马头门宜采取抬高断面方法施工，进洞后按设计断面进行返挖，返挖应符合本规程第10.4.9条的规定；</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hAnsi="宋体"/>
          <w:color w:val="000000" w:themeColor="text1"/>
          <w:szCs w:val="21"/>
          <w14:textFill>
            <w14:solidFill>
              <w14:schemeClr w14:val="tx1"/>
            </w14:solidFill>
          </w14:textFill>
        </w:rPr>
        <w:t>支护结构混凝土宜采用水钻、填充高效破碎剂等方法破除；高度超过于3m，应按开挖台阶分部破除；</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hAnsi="宋体"/>
          <w:color w:val="000000" w:themeColor="text1"/>
          <w:szCs w:val="21"/>
          <w14:textFill>
            <w14:solidFill>
              <w14:schemeClr w14:val="tx1"/>
            </w14:solidFill>
          </w14:textFill>
        </w:rPr>
        <w:t>马头门格栅钢架安装时，应附加同直径“L”形钢筋，将格栅钢架主筋、纵向连接筋与支护结构主筋焊接，搭接长度不应小于10d（d为钢筋直径）；</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5 </w:t>
      </w:r>
      <w:r>
        <w:rPr>
          <w:rFonts w:hint="eastAsia" w:hAnsi="宋体"/>
          <w:color w:val="000000" w:themeColor="text1"/>
          <w:szCs w:val="21"/>
          <w14:textFill>
            <w14:solidFill>
              <w14:schemeClr w14:val="tx1"/>
            </w14:solidFill>
          </w14:textFill>
        </w:rPr>
        <w:t>格栅钢架应按设计要求加密，钢筋网应与钢架绑扎、焊接牢固；锁脚锚管应沿拱脚打入，并与钢架焊接牢固；格栅钢架安装完成经检查验收合格后，应及时喷射混凝土；</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6 </w:t>
      </w:r>
      <w:r>
        <w:rPr>
          <w:rFonts w:hint="eastAsia" w:hAnsi="宋体"/>
          <w:color w:val="000000" w:themeColor="text1"/>
          <w:szCs w:val="21"/>
          <w14:textFill>
            <w14:solidFill>
              <w14:schemeClr w14:val="tx1"/>
            </w14:solidFill>
          </w14:textFill>
        </w:rPr>
        <w:t>各导洞施工，应及时施作临时仰拱，封闭成环。</w:t>
      </w:r>
    </w:p>
    <w:p>
      <w:pPr>
        <w:numPr>
          <w:ilvl w:val="1"/>
          <w:numId w:val="0"/>
        </w:numPr>
        <w:tabs>
          <w:tab w:val="left" w:pos="576"/>
        </w:tabs>
        <w:adjustRightInd w:val="0"/>
        <w:snapToGrid w:val="0"/>
        <w:spacing w:before="312" w:beforeLines="100" w:after="312" w:afterLines="100"/>
        <w:ind w:left="578" w:hanging="578"/>
        <w:jc w:val="center"/>
        <w:outlineLvl w:val="1"/>
        <w:rPr>
          <w:rFonts w:hAnsi="宋体"/>
          <w:b/>
          <w:color w:val="000000" w:themeColor="text1"/>
          <w:sz w:val="24"/>
          <w14:textFill>
            <w14:solidFill>
              <w14:schemeClr w14:val="tx1"/>
            </w14:solidFill>
          </w14:textFill>
        </w:rPr>
      </w:pPr>
      <w:bookmarkStart w:id="242" w:name="_Toc25368"/>
      <w:bookmarkStart w:id="243" w:name="_Toc28241"/>
      <w:bookmarkStart w:id="244" w:name="_Toc25818"/>
      <w:bookmarkStart w:id="245" w:name="_Toc28164"/>
      <w:bookmarkStart w:id="246" w:name="_Toc31630"/>
      <w:bookmarkStart w:id="247" w:name="_Toc24074"/>
      <w:r>
        <w:rPr>
          <w:rFonts w:hint="eastAsia" w:hAnsi="宋体"/>
          <w:b/>
          <w:color w:val="000000" w:themeColor="text1"/>
          <w:sz w:val="24"/>
          <w14:textFill>
            <w14:solidFill>
              <w14:schemeClr w14:val="tx1"/>
            </w14:solidFill>
          </w14:textFill>
        </w:rPr>
        <w:t>10.3  横通道马头门</w:t>
      </w:r>
      <w:bookmarkEnd w:id="242"/>
      <w:bookmarkEnd w:id="243"/>
      <w:bookmarkEnd w:id="244"/>
      <w:bookmarkEnd w:id="245"/>
      <w:bookmarkEnd w:id="246"/>
      <w:bookmarkEnd w:id="247"/>
    </w:p>
    <w:p>
      <w:pPr>
        <w:pStyle w:val="22"/>
        <w:tabs>
          <w:tab w:val="left" w:pos="851"/>
        </w:tabs>
        <w:snapToGrid w:val="0"/>
        <w:spacing w:line="360" w:lineRule="auto"/>
        <w:ind w:firstLine="0" w:firstLineChars="0"/>
        <w:jc w:val="left"/>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10.3.1 </w:t>
      </w:r>
      <w:r>
        <w:rPr>
          <w:rFonts w:hint="eastAsia" w:hAnsi="宋体"/>
          <w:color w:val="000000" w:themeColor="text1"/>
          <w:szCs w:val="21"/>
          <w14:textFill>
            <w14:solidFill>
              <w14:schemeClr w14:val="tx1"/>
            </w14:solidFill>
          </w14:textFill>
        </w:rPr>
        <w:t>破除马头门前，应做好马头门区域的竖井或横通道的支撑体系的受力转换。</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10.3.2 </w:t>
      </w:r>
      <w:r>
        <w:rPr>
          <w:rFonts w:hint="eastAsia" w:hAnsi="宋体"/>
          <w:color w:val="000000" w:themeColor="text1"/>
          <w:szCs w:val="21"/>
          <w14:textFill>
            <w14:solidFill>
              <w14:schemeClr w14:val="tx1"/>
            </w14:solidFill>
          </w14:textFill>
        </w:rPr>
        <w:t>区间隧道马头门开挖顺序应符合设计要求，当设计无要求时，应对角交错开挖，且掌子面相互错开不应小于</w:t>
      </w:r>
      <w:r>
        <w:rPr>
          <w:rFonts w:hint="eastAsia" w:hAnsi="宋体"/>
          <w:b/>
          <w:bCs/>
          <w:color w:val="000000" w:themeColor="text1"/>
          <w:szCs w:val="21"/>
          <w14:textFill>
            <w14:solidFill>
              <w14:schemeClr w14:val="tx1"/>
            </w14:solidFill>
          </w14:textFill>
        </w:rPr>
        <w:t>2</w:t>
      </w:r>
      <w:r>
        <w:rPr>
          <w:rFonts w:hint="eastAsia" w:hAnsi="宋体"/>
          <w:color w:val="000000" w:themeColor="text1"/>
          <w:szCs w:val="21"/>
          <w14:textFill>
            <w14:solidFill>
              <w14:schemeClr w14:val="tx1"/>
            </w14:solidFill>
          </w14:textFill>
        </w:rPr>
        <w:t>倍洞径。</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10.3.3 </w:t>
      </w:r>
      <w:r>
        <w:rPr>
          <w:rFonts w:hint="eastAsia" w:hAnsi="宋体"/>
          <w:color w:val="000000" w:themeColor="text1"/>
          <w:szCs w:val="21"/>
          <w14:textFill>
            <w14:solidFill>
              <w14:schemeClr w14:val="tx1"/>
            </w14:solidFill>
          </w14:textFill>
        </w:rPr>
        <w:t>马头门开挖轮廓线外侧，应设置加强环梁。</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10.3.4 </w:t>
      </w:r>
      <w:r>
        <w:rPr>
          <w:rFonts w:hint="eastAsia" w:hAnsi="宋体"/>
          <w:color w:val="000000" w:themeColor="text1"/>
          <w:szCs w:val="21"/>
          <w14:textFill>
            <w14:solidFill>
              <w14:schemeClr w14:val="tx1"/>
            </w14:solidFill>
          </w14:textFill>
        </w:rPr>
        <w:t>加固环梁混凝土达到设计强度，且超前小导管注浆完成后，方可进行洞门凿除施工。</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10.3.5 </w:t>
      </w:r>
      <w:r>
        <w:rPr>
          <w:rFonts w:hint="eastAsia" w:hAnsi="宋体"/>
          <w:color w:val="000000" w:themeColor="text1"/>
          <w:szCs w:val="21"/>
          <w14:textFill>
            <w14:solidFill>
              <w14:schemeClr w14:val="tx1"/>
            </w14:solidFill>
          </w14:textFill>
        </w:rPr>
        <w:t>横通道马头门应按马头门轮廓线进行破除，破除尺寸不应小于开挖尺寸，保证格栅钢架主筋的保护层厚度及马头门净空尺寸满足设计要求。</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10.3.6 </w:t>
      </w:r>
      <w:r>
        <w:rPr>
          <w:rFonts w:hint="eastAsia" w:hAnsi="宋体"/>
          <w:color w:val="000000" w:themeColor="text1"/>
          <w:szCs w:val="21"/>
          <w14:textFill>
            <w14:solidFill>
              <w14:schemeClr w14:val="tx1"/>
            </w14:solidFill>
          </w14:textFill>
        </w:rPr>
        <w:t>多导洞马头门应根据设计顺序进行破除。</w:t>
      </w:r>
    </w:p>
    <w:p>
      <w:pPr>
        <w:numPr>
          <w:ilvl w:val="1"/>
          <w:numId w:val="0"/>
        </w:numPr>
        <w:tabs>
          <w:tab w:val="left" w:pos="576"/>
        </w:tabs>
        <w:adjustRightInd w:val="0"/>
        <w:snapToGrid w:val="0"/>
        <w:spacing w:before="312" w:beforeLines="100" w:after="312" w:afterLines="100"/>
        <w:ind w:left="578" w:hanging="578"/>
        <w:jc w:val="center"/>
        <w:outlineLvl w:val="1"/>
        <w:rPr>
          <w:rFonts w:hAnsi="宋体"/>
          <w:b/>
          <w:color w:val="000000" w:themeColor="text1"/>
          <w:sz w:val="24"/>
          <w14:textFill>
            <w14:solidFill>
              <w14:schemeClr w14:val="tx1"/>
            </w14:solidFill>
          </w14:textFill>
        </w:rPr>
      </w:pPr>
      <w:bookmarkStart w:id="248" w:name="_Toc28583"/>
      <w:bookmarkStart w:id="249" w:name="_Toc27762"/>
      <w:bookmarkStart w:id="250" w:name="_Toc17074"/>
      <w:bookmarkStart w:id="251" w:name="_Toc22623"/>
      <w:bookmarkStart w:id="252" w:name="_Toc9147"/>
      <w:bookmarkStart w:id="253" w:name="_Toc32653"/>
      <w:r>
        <w:rPr>
          <w:rFonts w:hint="eastAsia" w:hAnsi="宋体"/>
          <w:b/>
          <w:color w:val="000000" w:themeColor="text1"/>
          <w:sz w:val="24"/>
          <w14:textFill>
            <w14:solidFill>
              <w14:schemeClr w14:val="tx1"/>
            </w14:solidFill>
          </w14:textFill>
        </w:rPr>
        <w:t>10.4  盾构联络通道马头门</w:t>
      </w:r>
      <w:bookmarkEnd w:id="248"/>
      <w:bookmarkEnd w:id="249"/>
      <w:bookmarkEnd w:id="250"/>
      <w:bookmarkEnd w:id="251"/>
      <w:bookmarkEnd w:id="252"/>
      <w:bookmarkEnd w:id="253"/>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10.4.1 </w:t>
      </w:r>
      <w:r>
        <w:rPr>
          <w:rFonts w:hint="eastAsia" w:hAnsi="宋体"/>
          <w:color w:val="000000" w:themeColor="text1"/>
          <w:szCs w:val="21"/>
          <w14:textFill>
            <w14:solidFill>
              <w14:schemeClr w14:val="tx1"/>
            </w14:solidFill>
          </w14:textFill>
        </w:rPr>
        <w:t>联络通道施工前，应按设计要求对地层采取地面加固或隧道内加固措施。地面加固宜采用水泥搅拌桩、旋喷桩和深孔注浆等方法；隧道内加固宜选用注浆、冻结法等措施。搅拌桩、旋喷桩加固的水泥土抗压强度应符合设计要求。</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10.4.2 </w:t>
      </w:r>
      <w:r>
        <w:rPr>
          <w:rFonts w:hint="eastAsia" w:hAnsi="宋体"/>
          <w:color w:val="000000" w:themeColor="text1"/>
          <w:szCs w:val="21"/>
          <w14:textFill>
            <w14:solidFill>
              <w14:schemeClr w14:val="tx1"/>
            </w14:solidFill>
          </w14:textFill>
        </w:rPr>
        <w:t>采用管棚支护时，管棚应在盾构隧道结构上方，环向间距宜为300mm，管棚内应压注水泥浆，注浆终压宜为0.8MPa</w:t>
      </w:r>
      <w:r>
        <w:rPr>
          <w:rFonts w:hAnsi="宋体"/>
          <w:color w:val="000000" w:themeColor="text1"/>
          <w:szCs w:val="21"/>
          <w14:textFill>
            <w14:solidFill>
              <w14:schemeClr w14:val="tx1"/>
            </w14:solidFill>
          </w14:textFill>
        </w:rPr>
        <w:t>~</w:t>
      </w:r>
      <w:r>
        <w:rPr>
          <w:rFonts w:hint="eastAsia" w:hAnsi="宋体"/>
          <w:color w:val="000000" w:themeColor="text1"/>
          <w:szCs w:val="21"/>
          <w14:textFill>
            <w14:solidFill>
              <w14:schemeClr w14:val="tx1"/>
            </w14:solidFill>
          </w14:textFill>
        </w:rPr>
        <w:t>1.0MPa。</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10.4.3 </w:t>
      </w:r>
      <w:r>
        <w:rPr>
          <w:rFonts w:hint="eastAsia" w:hAnsi="宋体"/>
          <w:color w:val="000000" w:themeColor="text1"/>
          <w:szCs w:val="21"/>
          <w14:textFill>
            <w14:solidFill>
              <w14:schemeClr w14:val="tx1"/>
            </w14:solidFill>
          </w14:textFill>
        </w:rPr>
        <w:t>联络通道开挖前，应对施工影响范围的盾构隧道进行加固，盾构隧道加固应符合下列还规定：</w:t>
      </w:r>
    </w:p>
    <w:p>
      <w:pPr>
        <w:pStyle w:val="22"/>
        <w:tabs>
          <w:tab w:val="left" w:pos="851"/>
        </w:tabs>
        <w:snapToGrid w:val="0"/>
        <w:spacing w:line="360" w:lineRule="auto"/>
        <w:ind w:firstLine="422"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hAnsi="宋体"/>
          <w:color w:val="000000" w:themeColor="text1"/>
          <w:szCs w:val="21"/>
          <w14:textFill>
            <w14:solidFill>
              <w14:schemeClr w14:val="tx1"/>
            </w14:solidFill>
          </w14:textFill>
        </w:rPr>
        <w:t>应采用临时支撑进行加固，加固范围应符合设计要求，设计未规定时，临时支撑应未联络通道上方及前后</w:t>
      </w:r>
      <w:r>
        <w:rPr>
          <w:rFonts w:hint="eastAsia" w:hAnsi="宋体"/>
          <w:b/>
          <w:bCs/>
          <w:color w:val="000000" w:themeColor="text1"/>
          <w:szCs w:val="21"/>
          <w14:textFill>
            <w14:solidFill>
              <w14:schemeClr w14:val="tx1"/>
            </w14:solidFill>
          </w14:textFill>
        </w:rPr>
        <w:t>2</w:t>
      </w:r>
      <w:r>
        <w:rPr>
          <w:rFonts w:hint="eastAsia" w:hAnsi="宋体"/>
          <w:color w:val="000000" w:themeColor="text1"/>
          <w:szCs w:val="21"/>
          <w14:textFill>
            <w14:solidFill>
              <w14:schemeClr w14:val="tx1"/>
            </w14:solidFill>
          </w14:textFill>
        </w:rPr>
        <w:t>环管片；</w:t>
      </w:r>
    </w:p>
    <w:p>
      <w:pPr>
        <w:pStyle w:val="22"/>
        <w:tabs>
          <w:tab w:val="left" w:pos="851"/>
        </w:tabs>
        <w:snapToGrid w:val="0"/>
        <w:spacing w:line="360" w:lineRule="auto"/>
        <w:ind w:firstLine="422" w:firstLineChars="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2 临时支撑宜采用型钢支架，支撑宜现场制作拼装，并应牢固可靠；</w:t>
      </w:r>
    </w:p>
    <w:p>
      <w:pPr>
        <w:pStyle w:val="22"/>
        <w:tabs>
          <w:tab w:val="left" w:pos="851"/>
        </w:tabs>
        <w:snapToGrid w:val="0"/>
        <w:spacing w:line="360" w:lineRule="auto"/>
        <w:ind w:firstLine="422"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hAnsi="宋体"/>
          <w:color w:val="000000" w:themeColor="text1"/>
          <w:szCs w:val="21"/>
          <w14:textFill>
            <w14:solidFill>
              <w14:schemeClr w14:val="tx1"/>
            </w14:solidFill>
          </w14:textFill>
        </w:rPr>
        <w:t xml:space="preserve"> 临时支撑应按最不利工况进行计算，强度、刚度和稳定性应满足施工要求；</w:t>
      </w:r>
    </w:p>
    <w:p>
      <w:pPr>
        <w:pStyle w:val="22"/>
        <w:tabs>
          <w:tab w:val="left" w:pos="851"/>
        </w:tabs>
        <w:snapToGrid w:val="0"/>
        <w:spacing w:line="360" w:lineRule="auto"/>
        <w:ind w:firstLine="422"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hAnsi="宋体"/>
          <w:color w:val="000000" w:themeColor="text1"/>
          <w:szCs w:val="21"/>
          <w14:textFill>
            <w14:solidFill>
              <w14:schemeClr w14:val="tx1"/>
            </w14:solidFill>
          </w14:textFill>
        </w:rPr>
        <w:t>马头门开挖前，应对联络通道前后各10环管片的螺栓进行复紧。</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10.4.4 </w:t>
      </w:r>
      <w:r>
        <w:rPr>
          <w:rFonts w:hint="eastAsia" w:hAnsi="宋体"/>
          <w:color w:val="000000" w:themeColor="text1"/>
          <w:szCs w:val="21"/>
          <w14:textFill>
            <w14:solidFill>
              <w14:schemeClr w14:val="tx1"/>
            </w14:solidFill>
          </w14:textFill>
        </w:rPr>
        <w:t>冻结法施工时，隧道内临时支撑应采用型钢支架，型钢支架的千斤顶应拧紧，向隧道管片施加的预应力应符合设计要求。管片拆除前，应检查联络通道土体冻结帷幕墙厚度、土体强度是否满足设计要求，合格后方可开挖。</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10.4.5 </w:t>
      </w:r>
      <w:r>
        <w:rPr>
          <w:rFonts w:hint="eastAsia" w:hAnsi="宋体"/>
          <w:color w:val="000000" w:themeColor="text1"/>
          <w:szCs w:val="21"/>
          <w14:textFill>
            <w14:solidFill>
              <w14:schemeClr w14:val="tx1"/>
            </w14:solidFill>
          </w14:textFill>
        </w:rPr>
        <w:t>应在临时支撑钢架底梁上搭设工作平台和坡道，以便于材料运输、存放应急物资。</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10.4.6 </w:t>
      </w:r>
      <w:r>
        <w:rPr>
          <w:rFonts w:hint="eastAsia" w:hAnsi="宋体"/>
          <w:color w:val="000000" w:themeColor="text1"/>
          <w:szCs w:val="21"/>
          <w14:textFill>
            <w14:solidFill>
              <w14:schemeClr w14:val="tx1"/>
            </w14:solidFill>
          </w14:textFill>
        </w:rPr>
        <w:t>拆除管片前，应对盾构加强环及前后一定范围管片进行二次注浆，浆液宜采用双液浆、水泥浆等材料；当土质较差时，宜采用钻孔和利用原有注浆孔等方式对管片背后土体进行深孔注浆加固，注浆材料、加固范围应符合设计要求。</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10.4.7 </w:t>
      </w:r>
      <w:r>
        <w:rPr>
          <w:rFonts w:hint="eastAsia" w:hAnsi="宋体"/>
          <w:color w:val="000000" w:themeColor="text1"/>
          <w:szCs w:val="21"/>
          <w14:textFill>
            <w14:solidFill>
              <w14:schemeClr w14:val="tx1"/>
            </w14:solidFill>
          </w14:textFill>
        </w:rPr>
        <w:t>马头门处管片应从上到下、分台阶拆除，上台阶初期支护形成后方可进行下台阶管片拆除。混凝土管片拆除宜用取芯钻机、分块切割分方法，钢管片拆除宜采用千斤顶、手拉葫芦等顶推的方法，管片拆除过程中应监测隧道受力及位移。</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10.4.8 </w:t>
      </w:r>
      <w:r>
        <w:rPr>
          <w:rFonts w:hint="eastAsia" w:hAnsi="宋体"/>
          <w:color w:val="000000" w:themeColor="text1"/>
          <w:szCs w:val="21"/>
          <w14:textFill>
            <w14:solidFill>
              <w14:schemeClr w14:val="tx1"/>
            </w14:solidFill>
          </w14:textFill>
        </w:rPr>
        <w:t>联络通道马头门应采用台阶法开挖，工作面应留核心土，上台阶长度一般宜为洞宽的1.5倍，且不应小于1.5m。上台阶管片拆除完成后，应及时进行上台阶土方开挖、钢筋网铺设、格栅钢架安装和喷射混凝土。下台阶管片拆除、土体开挖和初期支护施工应在上台阶形成后方可进行。</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10.4.9 </w:t>
      </w:r>
      <w:r>
        <w:rPr>
          <w:rFonts w:hint="eastAsia" w:hAnsi="宋体"/>
          <w:color w:val="000000" w:themeColor="text1"/>
          <w:szCs w:val="21"/>
          <w14:textFill>
            <w14:solidFill>
              <w14:schemeClr w14:val="tx1"/>
            </w14:solidFill>
          </w14:textFill>
        </w:rPr>
        <w:t>马头门返挖施工应符合下列规定：</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 xml:space="preserve">  </w:t>
      </w:r>
      <w:r>
        <w:rPr>
          <w:rFonts w:hint="eastAsia" w:hAnsi="宋体"/>
          <w:b/>
          <w:bCs/>
          <w:color w:val="000000" w:themeColor="text1"/>
          <w:szCs w:val="21"/>
          <w14:textFill>
            <w14:solidFill>
              <w14:schemeClr w14:val="tx1"/>
            </w14:solidFill>
          </w14:textFill>
        </w:rPr>
        <w:t xml:space="preserve">  1 </w:t>
      </w:r>
      <w:r>
        <w:rPr>
          <w:rFonts w:hint="eastAsia" w:hAnsi="宋体"/>
          <w:color w:val="000000" w:themeColor="text1"/>
          <w:szCs w:val="21"/>
          <w14:textFill>
            <w14:solidFill>
              <w14:schemeClr w14:val="tx1"/>
            </w14:solidFill>
          </w14:textFill>
        </w:rPr>
        <w:t>返挖施工应在联络通道已贯通，初期支护达到设计强度的70%后进行；</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 xml:space="preserve">  </w:t>
      </w:r>
      <w:r>
        <w:rPr>
          <w:rFonts w:hint="eastAsia" w:hAnsi="宋体"/>
          <w:b/>
          <w:bCs/>
          <w:color w:val="000000" w:themeColor="text1"/>
          <w:szCs w:val="21"/>
          <w14:textFill>
            <w14:solidFill>
              <w14:schemeClr w14:val="tx1"/>
            </w14:solidFill>
          </w14:textFill>
        </w:rPr>
        <w:t xml:space="preserve">  2</w:t>
      </w:r>
      <w:r>
        <w:rPr>
          <w:rFonts w:hint="eastAsia" w:hAnsi="宋体"/>
          <w:color w:val="000000" w:themeColor="text1"/>
          <w:szCs w:val="21"/>
          <w14:textFill>
            <w14:solidFill>
              <w14:schemeClr w14:val="tx1"/>
            </w14:solidFill>
          </w14:textFill>
        </w:rPr>
        <w:t xml:space="preserve"> 返挖开挖前，应沿联络通道拱顶向尚未开挖的土体打入小导管，注浆加固，加固范围、小导管长度、角度应符合设计要求；</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hAnsi="宋体"/>
          <w:color w:val="000000" w:themeColor="text1"/>
          <w:szCs w:val="21"/>
          <w14:textFill>
            <w14:solidFill>
              <w14:schemeClr w14:val="tx1"/>
            </w14:solidFill>
          </w14:textFill>
        </w:rPr>
        <w:t xml:space="preserve"> 注浆加固效果经检验符合要求后，由洞内向洞口逐榀破除拱顶初期支护，开挖相应土体，安装格栅钢架，焊接连接筋，铺设钢筋网，并喷射混凝土；</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4</w:t>
      </w:r>
      <w:r>
        <w:rPr>
          <w:rFonts w:hint="eastAsia" w:hAnsi="宋体"/>
          <w:color w:val="000000" w:themeColor="text1"/>
          <w:szCs w:val="21"/>
          <w14:textFill>
            <w14:solidFill>
              <w14:schemeClr w14:val="tx1"/>
            </w14:solidFill>
          </w14:textFill>
        </w:rPr>
        <w:t xml:space="preserve"> 每循环开挖步距与格栅钢架间距相同，不应超挖；</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5 </w:t>
      </w:r>
      <w:r>
        <w:rPr>
          <w:rFonts w:hint="eastAsia" w:hAnsi="宋体"/>
          <w:color w:val="000000" w:themeColor="text1"/>
          <w:szCs w:val="21"/>
          <w14:textFill>
            <w14:solidFill>
              <w14:schemeClr w14:val="tx1"/>
            </w14:solidFill>
          </w14:textFill>
        </w:rPr>
        <w:t>每循环开挖时，应先开挖拱顶土体，架设拱顶格栅钢架，喷射混凝土形成拱顶初期支护后，方可开挖下部土体，架设下部格栅钢架，喷射混凝土形成完整、封闭的初期支护；</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6 </w:t>
      </w:r>
      <w:r>
        <w:rPr>
          <w:rFonts w:hint="eastAsia" w:hAnsi="宋体"/>
          <w:color w:val="000000" w:themeColor="text1"/>
          <w:szCs w:val="21"/>
          <w14:textFill>
            <w14:solidFill>
              <w14:schemeClr w14:val="tx1"/>
            </w14:solidFill>
          </w14:textFill>
        </w:rPr>
        <w:t>返挖的初期支护与隧道管片的连接应符合设计要求，侵入联络通道内的管片应拆除。</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10.4.10 </w:t>
      </w:r>
      <w:r>
        <w:rPr>
          <w:rFonts w:hint="eastAsia" w:hAnsi="宋体"/>
          <w:color w:val="000000" w:themeColor="text1"/>
          <w:szCs w:val="21"/>
          <w14:textFill>
            <w14:solidFill>
              <w14:schemeClr w14:val="tx1"/>
            </w14:solidFill>
          </w14:textFill>
        </w:rPr>
        <w:t>联络通道应采用台阶法开挖，冻结法宜全断面开挖，开挖后及时进行初期支护施工，初期支护施工应符合本规程第</w:t>
      </w:r>
      <w:r>
        <w:rPr>
          <w:rFonts w:hint="eastAsia" w:hAnsi="宋体"/>
          <w:b/>
          <w:bCs/>
          <w:color w:val="000000" w:themeColor="text1"/>
          <w:szCs w:val="21"/>
          <w14:textFill>
            <w14:solidFill>
              <w14:schemeClr w14:val="tx1"/>
            </w14:solidFill>
          </w14:textFill>
        </w:rPr>
        <w:t>11</w:t>
      </w:r>
      <w:r>
        <w:rPr>
          <w:rFonts w:hint="eastAsia" w:hAnsi="宋体"/>
          <w:color w:val="000000" w:themeColor="text1"/>
          <w:szCs w:val="21"/>
          <w14:textFill>
            <w14:solidFill>
              <w14:schemeClr w14:val="tx1"/>
            </w14:solidFill>
          </w14:textFill>
        </w:rPr>
        <w:t>章、第</w:t>
      </w:r>
      <w:r>
        <w:rPr>
          <w:rFonts w:hint="eastAsia" w:hAnsi="宋体"/>
          <w:b/>
          <w:bCs/>
          <w:color w:val="000000" w:themeColor="text1"/>
          <w:szCs w:val="21"/>
          <w14:textFill>
            <w14:solidFill>
              <w14:schemeClr w14:val="tx1"/>
            </w14:solidFill>
          </w14:textFill>
        </w:rPr>
        <w:t>12</w:t>
      </w:r>
      <w:r>
        <w:rPr>
          <w:rFonts w:hint="eastAsia" w:hAnsi="宋体"/>
          <w:color w:val="000000" w:themeColor="text1"/>
          <w:szCs w:val="21"/>
          <w14:textFill>
            <w14:solidFill>
              <w14:schemeClr w14:val="tx1"/>
            </w14:solidFill>
          </w14:textFill>
        </w:rPr>
        <w:t>章的有关规定。</w:t>
      </w:r>
    </w:p>
    <w:p>
      <w:pPr>
        <w:adjustRightInd w:val="0"/>
        <w:snapToGrid w:val="0"/>
        <w:spacing w:before="312" w:beforeLines="100" w:after="312" w:afterLines="100"/>
        <w:outlineLvl w:val="1"/>
        <w:rPr>
          <w:rFonts w:hAnsi="宋体"/>
          <w:color w:val="000000" w:themeColor="text1"/>
          <w:szCs w:val="21"/>
          <w14:textFill>
            <w14:solidFill>
              <w14:schemeClr w14:val="tx1"/>
            </w14:solidFill>
          </w14:textFill>
        </w:rPr>
        <w:sectPr>
          <w:pgSz w:w="11906" w:h="16838"/>
          <w:pgMar w:top="1440" w:right="1800" w:bottom="1440" w:left="1800" w:header="851" w:footer="992" w:gutter="0"/>
          <w:cols w:space="425" w:num="1"/>
          <w:docGrid w:type="lines" w:linePitch="312" w:charSpace="0"/>
        </w:sectPr>
      </w:pPr>
    </w:p>
    <w:p>
      <w:pPr>
        <w:tabs>
          <w:tab w:val="left" w:pos="360"/>
        </w:tabs>
        <w:adjustRightInd w:val="0"/>
        <w:snapToGrid w:val="0"/>
        <w:spacing w:before="312" w:beforeLines="100" w:after="312" w:afterLines="100" w:line="360" w:lineRule="auto"/>
        <w:ind w:left="4825" w:hanging="4825"/>
        <w:outlineLvl w:val="0"/>
        <w:rPr>
          <w:b/>
          <w:color w:val="000000" w:themeColor="text1"/>
          <w:sz w:val="28"/>
          <w:szCs w:val="28"/>
          <w14:textFill>
            <w14:solidFill>
              <w14:schemeClr w14:val="tx1"/>
            </w14:solidFill>
          </w14:textFill>
        </w:rPr>
      </w:pPr>
    </w:p>
    <w:p>
      <w:pPr>
        <w:tabs>
          <w:tab w:val="left" w:pos="360"/>
        </w:tabs>
        <w:adjustRightInd w:val="0"/>
        <w:snapToGrid w:val="0"/>
        <w:spacing w:before="312" w:beforeLines="100" w:after="312" w:afterLines="100" w:line="360" w:lineRule="auto"/>
        <w:ind w:left="4825" w:hanging="4825"/>
        <w:jc w:val="center"/>
        <w:outlineLvl w:val="0"/>
        <w:rPr>
          <w:b/>
          <w:color w:val="000000" w:themeColor="text1"/>
          <w:sz w:val="28"/>
          <w:szCs w:val="28"/>
          <w14:textFill>
            <w14:solidFill>
              <w14:schemeClr w14:val="tx1"/>
            </w14:solidFill>
          </w14:textFill>
        </w:rPr>
      </w:pPr>
      <w:bookmarkStart w:id="254" w:name="_Toc2350"/>
      <w:bookmarkStart w:id="255" w:name="_Toc13184"/>
      <w:bookmarkStart w:id="256" w:name="_Toc25559"/>
      <w:bookmarkStart w:id="257" w:name="_Toc5646"/>
      <w:bookmarkStart w:id="258" w:name="_Toc32112"/>
      <w:bookmarkStart w:id="259" w:name="_Toc7705"/>
      <w:r>
        <w:rPr>
          <w:rFonts w:hint="eastAsia"/>
          <w:b/>
          <w:color w:val="000000" w:themeColor="text1"/>
          <w:sz w:val="28"/>
          <w:szCs w:val="28"/>
          <w14:textFill>
            <w14:solidFill>
              <w14:schemeClr w14:val="tx1"/>
            </w14:solidFill>
          </w14:textFill>
        </w:rPr>
        <w:t>11  隧道土方开挖</w:t>
      </w:r>
      <w:bookmarkEnd w:id="254"/>
      <w:bookmarkEnd w:id="255"/>
      <w:bookmarkEnd w:id="256"/>
      <w:bookmarkEnd w:id="257"/>
      <w:bookmarkEnd w:id="258"/>
      <w:bookmarkEnd w:id="259"/>
    </w:p>
    <w:p>
      <w:pPr>
        <w:numPr>
          <w:ilvl w:val="1"/>
          <w:numId w:val="0"/>
        </w:numPr>
        <w:tabs>
          <w:tab w:val="left" w:pos="576"/>
        </w:tabs>
        <w:adjustRightInd w:val="0"/>
        <w:snapToGrid w:val="0"/>
        <w:spacing w:before="312" w:beforeLines="100" w:after="312" w:afterLines="100"/>
        <w:ind w:left="578" w:hanging="578"/>
        <w:jc w:val="center"/>
        <w:outlineLvl w:val="1"/>
        <w:rPr>
          <w:rFonts w:hAnsi="宋体"/>
          <w:b/>
          <w:color w:val="000000" w:themeColor="text1"/>
          <w:sz w:val="24"/>
          <w14:textFill>
            <w14:solidFill>
              <w14:schemeClr w14:val="tx1"/>
            </w14:solidFill>
          </w14:textFill>
        </w:rPr>
      </w:pPr>
      <w:bookmarkStart w:id="260" w:name="_Toc1559"/>
      <w:bookmarkStart w:id="261" w:name="_Toc19709"/>
      <w:bookmarkStart w:id="262" w:name="_Toc28693"/>
      <w:bookmarkStart w:id="263" w:name="_Toc28470"/>
      <w:bookmarkStart w:id="264" w:name="_Toc10754"/>
      <w:bookmarkStart w:id="265" w:name="_Toc22000"/>
      <w:r>
        <w:rPr>
          <w:rFonts w:hint="eastAsia" w:hAnsi="宋体"/>
          <w:b/>
          <w:color w:val="000000" w:themeColor="text1"/>
          <w:sz w:val="24"/>
          <w14:textFill>
            <w14:solidFill>
              <w14:schemeClr w14:val="tx1"/>
            </w14:solidFill>
          </w14:textFill>
        </w:rPr>
        <w:t>11.1  一般规定</w:t>
      </w:r>
      <w:bookmarkEnd w:id="260"/>
      <w:bookmarkEnd w:id="261"/>
      <w:bookmarkEnd w:id="262"/>
      <w:bookmarkEnd w:id="263"/>
      <w:bookmarkEnd w:id="264"/>
      <w:bookmarkEnd w:id="265"/>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bookmarkStart w:id="266" w:name="_Hlk57550378"/>
      <w:r>
        <w:rPr>
          <w:rFonts w:hint="eastAsia" w:hAnsi="宋体"/>
          <w:b/>
          <w:bCs/>
          <w:color w:val="000000" w:themeColor="text1"/>
          <w:szCs w:val="21"/>
          <w14:textFill>
            <w14:solidFill>
              <w14:schemeClr w14:val="tx1"/>
            </w14:solidFill>
          </w14:textFill>
        </w:rPr>
        <w:t xml:space="preserve">11.1.1 </w:t>
      </w:r>
      <w:r>
        <w:rPr>
          <w:rFonts w:hint="eastAsia" w:hAnsi="宋体"/>
          <w:color w:val="000000" w:themeColor="text1"/>
          <w:szCs w:val="21"/>
          <w14:textFill>
            <w14:solidFill>
              <w14:schemeClr w14:val="tx1"/>
            </w14:solidFill>
          </w14:textFill>
        </w:rPr>
        <w:t>全断面法、台阶法、中隔壁（CD）法、交叉中隔壁（C</w:t>
      </w:r>
      <w:r>
        <w:rPr>
          <w:rFonts w:hAnsi="宋体" w:cstheme="minorEastAsia"/>
          <w:color w:val="000000" w:themeColor="text1"/>
          <w:szCs w:val="21"/>
          <w14:textFill>
            <w14:solidFill>
              <w14:schemeClr w14:val="tx1"/>
            </w14:solidFill>
          </w14:textFill>
        </w:rPr>
        <w:t>R</w:t>
      </w:r>
      <w:r>
        <w:rPr>
          <w:rFonts w:hAnsi="宋体"/>
          <w:color w:val="000000" w:themeColor="text1"/>
          <w:szCs w:val="21"/>
          <w14:textFill>
            <w14:solidFill>
              <w14:schemeClr w14:val="tx1"/>
            </w14:solidFill>
          </w14:textFill>
        </w:rPr>
        <w:t>D</w:t>
      </w:r>
      <w:r>
        <w:rPr>
          <w:rFonts w:hint="eastAsia" w:hAnsi="宋体"/>
          <w:color w:val="000000" w:themeColor="text1"/>
          <w:szCs w:val="21"/>
          <w14:textFill>
            <w14:solidFill>
              <w14:schemeClr w14:val="tx1"/>
            </w14:solidFill>
          </w14:textFill>
        </w:rPr>
        <w:t>）法、双侧壁导坑法、中洞法等方法宜适用于区间隧道。</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11.1.2 </w:t>
      </w:r>
      <w:r>
        <w:rPr>
          <w:rFonts w:hint="eastAsia" w:hAnsi="宋体"/>
          <w:color w:val="000000" w:themeColor="text1"/>
          <w:szCs w:val="21"/>
          <w14:textFill>
            <w14:solidFill>
              <w14:schemeClr w14:val="tx1"/>
            </w14:solidFill>
          </w14:textFill>
        </w:rPr>
        <w:t>中洞法、侧洞法、柱洞法、洞桩法（PBA）和盾构扩挖法等方法宜适用于暗挖车站；平顶直墙通道、风道等附属构筑物采用暗挖方法施工时宜采用分部开挖方法。</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11.1.3 </w:t>
      </w:r>
      <w:r>
        <w:rPr>
          <w:rFonts w:hint="eastAsia" w:hAnsi="宋体"/>
          <w:color w:val="000000" w:themeColor="text1"/>
          <w:szCs w:val="21"/>
          <w14:textFill>
            <w14:solidFill>
              <w14:schemeClr w14:val="tx1"/>
            </w14:solidFill>
          </w14:textFill>
        </w:rPr>
        <w:t>应在超前预支护、地层加固或地下水控制措施施供完成，并经检查验收满足要求后进行土方开挖。采用冻结法加固时，积极冻结时间不应少于35d，应在实测分析判断冻土帷幕已达设计厚度，且冻土帷幕薄弱部位经探孔触探验证无误后方可进行土方开挖。</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11.1.4 </w:t>
      </w:r>
      <w:r>
        <w:rPr>
          <w:rFonts w:hint="eastAsia" w:hAnsi="宋体"/>
          <w:color w:val="000000" w:themeColor="text1"/>
          <w:szCs w:val="21"/>
          <w14:textFill>
            <w14:solidFill>
              <w14:schemeClr w14:val="tx1"/>
            </w14:solidFill>
          </w14:textFill>
        </w:rPr>
        <w:t>土方开挖方法应符合设计要求，开挖步距应为格栅钢架间距，不应超挖，开挖完成后应及时安装格栅钢架、喷射混凝土；各导洞开挖后应及时支护，设置临时仰拱，做到步步成环。</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11.1.5 </w:t>
      </w:r>
      <w:r>
        <w:rPr>
          <w:rFonts w:hint="eastAsia" w:hAnsi="宋体"/>
          <w:color w:val="000000" w:themeColor="text1"/>
          <w:szCs w:val="21"/>
          <w14:textFill>
            <w14:solidFill>
              <w14:schemeClr w14:val="tx1"/>
            </w14:solidFill>
          </w14:textFill>
        </w:rPr>
        <w:t>掌子面的中线和轮廓宜用激光准直仪控制，开挖断面允许超挖值应符合表</w:t>
      </w:r>
      <w:r>
        <w:rPr>
          <w:rFonts w:hint="eastAsia" w:hAnsi="宋体"/>
          <w:b/>
          <w:bCs/>
          <w:color w:val="000000" w:themeColor="text1"/>
          <w:szCs w:val="21"/>
          <w14:textFill>
            <w14:solidFill>
              <w14:schemeClr w14:val="tx1"/>
            </w14:solidFill>
          </w14:textFill>
        </w:rPr>
        <w:t>11.1.5</w:t>
      </w:r>
      <w:r>
        <w:rPr>
          <w:rFonts w:hint="eastAsia" w:hAnsi="宋体"/>
          <w:color w:val="000000" w:themeColor="text1"/>
          <w:szCs w:val="21"/>
          <w14:textFill>
            <w14:solidFill>
              <w14:schemeClr w14:val="tx1"/>
            </w14:solidFill>
          </w14:textFill>
        </w:rPr>
        <w:t>的规定。</w:t>
      </w:r>
    </w:p>
    <w:p>
      <w:pPr>
        <w:pStyle w:val="24"/>
        <w:rPr>
          <w:b w:val="0"/>
          <w:color w:val="000000" w:themeColor="text1"/>
          <w:sz w:val="21"/>
          <w:szCs w:val="21"/>
          <w14:textFill>
            <w14:solidFill>
              <w14:schemeClr w14:val="tx1"/>
            </w14:solidFill>
          </w14:textFill>
        </w:rPr>
      </w:pPr>
      <w:r>
        <w:rPr>
          <w:rFonts w:hint="eastAsia"/>
          <w:b w:val="0"/>
          <w:bCs/>
          <w:color w:val="000000" w:themeColor="text1"/>
          <w:sz w:val="21"/>
          <w:szCs w:val="21"/>
          <w14:textFill>
            <w14:solidFill>
              <w14:schemeClr w14:val="tx1"/>
            </w14:solidFill>
          </w14:textFill>
        </w:rPr>
        <w:t>表</w:t>
      </w:r>
      <w:r>
        <w:rPr>
          <w:rFonts w:hint="eastAsia"/>
          <w:color w:val="000000" w:themeColor="text1"/>
          <w:sz w:val="21"/>
          <w:szCs w:val="21"/>
          <w14:textFill>
            <w14:solidFill>
              <w14:schemeClr w14:val="tx1"/>
            </w14:solidFill>
          </w14:textFill>
        </w:rPr>
        <w:t>11.1.5</w:t>
      </w:r>
      <w:r>
        <w:rPr>
          <w:rFonts w:hint="eastAsia"/>
          <w:b w:val="0"/>
          <w:bCs/>
          <w:color w:val="000000" w:themeColor="text1"/>
          <w:sz w:val="21"/>
          <w:szCs w:val="21"/>
          <w14:textFill>
            <w14:solidFill>
              <w14:schemeClr w14:val="tx1"/>
            </w14:solidFill>
          </w14:textFill>
        </w:rPr>
        <w:t xml:space="preserve">   土方开挖</w:t>
      </w:r>
      <w:r>
        <w:rPr>
          <w:rFonts w:hint="eastAsia"/>
          <w:b w:val="0"/>
          <w:color w:val="000000" w:themeColor="text1"/>
          <w:sz w:val="21"/>
          <w:szCs w:val="21"/>
          <w14:textFill>
            <w14:solidFill>
              <w14:schemeClr w14:val="tx1"/>
            </w14:solidFill>
          </w14:textFill>
        </w:rPr>
        <w:t>允许超挖值</w:t>
      </w:r>
    </w:p>
    <w:tbl>
      <w:tblPr>
        <w:tblStyle w:val="12"/>
        <w:tblW w:w="6090" w:type="dxa"/>
        <w:tblInd w:w="111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60"/>
        <w:gridCol w:w="33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trPr>
        <w:tc>
          <w:tcPr>
            <w:tcW w:w="2760"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开挖部位</w:t>
            </w:r>
          </w:p>
        </w:tc>
        <w:tc>
          <w:tcPr>
            <w:tcW w:w="3330"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允许偏差（mm）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2760" w:type="dxa"/>
            <w:vAlign w:val="center"/>
          </w:tcPr>
          <w:p>
            <w:pPr>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拱部</w:t>
            </w:r>
          </w:p>
        </w:tc>
        <w:tc>
          <w:tcPr>
            <w:tcW w:w="3330" w:type="dxa"/>
            <w:vAlign w:val="center"/>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 xml:space="preserve">0 ～ </w:t>
            </w:r>
            <w:r>
              <w:rPr>
                <w:rFonts w:hint="eastAsia"/>
                <w:color w:val="000000" w:themeColor="text1"/>
                <w:szCs w:val="21"/>
                <w14:textFill>
                  <w14:solidFill>
                    <w14:schemeClr w14:val="tx1"/>
                  </w14:solidFill>
                </w14:textFill>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8" w:hRule="atLeast"/>
        </w:trPr>
        <w:tc>
          <w:tcPr>
            <w:tcW w:w="2760" w:type="dxa"/>
            <w:tcBorders>
              <w:bottom w:val="single" w:color="auto" w:sz="4" w:space="0"/>
            </w:tcBorders>
            <w:vAlign w:val="center"/>
          </w:tcPr>
          <w:p>
            <w:pPr>
              <w:ind w:left="-109" w:leftChars="-52" w:firstLine="1"/>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边墙及仰拱</w:t>
            </w:r>
          </w:p>
        </w:tc>
        <w:tc>
          <w:tcPr>
            <w:tcW w:w="3330" w:type="dxa"/>
            <w:tcBorders>
              <w:bottom w:val="single" w:color="auto" w:sz="4" w:space="0"/>
            </w:tcBorders>
          </w:tcPr>
          <w:p>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 xml:space="preserve">0 ～ </w:t>
            </w:r>
            <w:r>
              <w:rPr>
                <w:rFonts w:hint="eastAsia"/>
                <w:color w:val="000000" w:themeColor="text1"/>
                <w:szCs w:val="21"/>
                <w14:textFill>
                  <w14:solidFill>
                    <w14:schemeClr w14:val="tx1"/>
                  </w14:solidFill>
                </w14:textFill>
              </w:rPr>
              <w:t>+150</w:t>
            </w:r>
          </w:p>
        </w:tc>
      </w:tr>
    </w:tbl>
    <w:p>
      <w:pPr>
        <w:spacing w:line="360" w:lineRule="auto"/>
        <w:rPr>
          <w:rFonts w:hAnsi="宋体"/>
          <w:b/>
          <w:bCs/>
          <w:color w:val="000000" w:themeColor="text1"/>
          <w:szCs w:val="21"/>
          <w14:textFill>
            <w14:solidFill>
              <w14:schemeClr w14:val="tx1"/>
            </w14:solidFill>
          </w14:textFill>
        </w:rPr>
      </w:pPr>
    </w:p>
    <w:p>
      <w:pPr>
        <w:snapToGrid w:val="0"/>
        <w:spacing w:line="360" w:lineRule="auto"/>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11.1.6 </w:t>
      </w:r>
      <w:r>
        <w:rPr>
          <w:rFonts w:hint="eastAsia" w:hAnsi="宋体"/>
          <w:color w:val="000000" w:themeColor="text1"/>
          <w:szCs w:val="21"/>
          <w14:textFill>
            <w14:solidFill>
              <w14:schemeClr w14:val="tx1"/>
            </w14:solidFill>
          </w14:textFill>
        </w:rPr>
        <w:t>宽度小于3m的隧道、导洞，宜选用台阶法开挖。台阶长度应根据土层条件、开挖宽度变化及时调整；在稳定性较差的地层，开挖面应留核心土，核心土的长度不宜小于2.5m。</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11.1.7 </w:t>
      </w:r>
      <w:r>
        <w:rPr>
          <w:rFonts w:hint="eastAsia" w:hAnsi="宋体"/>
          <w:color w:val="000000" w:themeColor="text1"/>
          <w:szCs w:val="21"/>
          <w14:textFill>
            <w14:solidFill>
              <w14:schemeClr w14:val="tx1"/>
            </w14:solidFill>
          </w14:textFill>
        </w:rPr>
        <w:t>开挖暂停时，工作面应喷射混凝土封闭；停止时间较长时，工作面应按设计要求支护封闭。</w:t>
      </w:r>
    </w:p>
    <w:p>
      <w:pPr>
        <w:pStyle w:val="22"/>
        <w:tabs>
          <w:tab w:val="left" w:pos="851"/>
        </w:tabs>
        <w:snapToGrid w:val="0"/>
        <w:spacing w:line="360" w:lineRule="auto"/>
        <w:ind w:firstLine="0" w:firstLineChars="0"/>
        <w:jc w:val="left"/>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11.1.8 </w:t>
      </w:r>
      <w:r>
        <w:rPr>
          <w:rFonts w:hint="eastAsia"/>
          <w:color w:val="000000" w:themeColor="text1"/>
          <w14:textFill>
            <w14:solidFill>
              <w14:schemeClr w14:val="tx1"/>
            </w14:solidFill>
          </w14:textFill>
        </w:rPr>
        <w:t>同一隧道、导洞相对开挖，当工作面相距约2倍</w:t>
      </w:r>
      <w:r>
        <w:rPr>
          <w:rFonts w:hint="eastAsia" w:hAnsi="宋体"/>
          <w:color w:val="000000" w:themeColor="text1"/>
          <w:szCs w:val="21"/>
          <w14:textFill>
            <w14:solidFill>
              <w14:schemeClr w14:val="tx1"/>
            </w14:solidFill>
          </w14:textFill>
        </w:rPr>
        <w:t>隧道开挖宽度</w:t>
      </w:r>
      <w:r>
        <w:rPr>
          <w:rFonts w:hint="eastAsia"/>
          <w:color w:val="000000" w:themeColor="text1"/>
          <w14:textFill>
            <w14:solidFill>
              <w14:schemeClr w14:val="tx1"/>
            </w14:solidFill>
          </w14:textFill>
        </w:rPr>
        <w:t>时，应暂停一个工作面作业，进行封闭，由另一个工作面掘进贯通。</w:t>
      </w:r>
    </w:p>
    <w:p>
      <w:pPr>
        <w:spacing w:line="360" w:lineRule="auto"/>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11.1.9</w:t>
      </w:r>
      <w:r>
        <w:rPr>
          <w:rFonts w:hint="eastAsia"/>
          <w:color w:val="000000" w:themeColor="text1"/>
          <w14:textFill>
            <w14:solidFill>
              <w14:schemeClr w14:val="tx1"/>
            </w14:solidFill>
          </w14:textFill>
        </w:rPr>
        <w:t xml:space="preserve"> 双连拱隧道开挖，应在一条单孔隧道开挖15m后，另一条单孔隧道方可开挖。多拱、多层隧道开挖顺序应符合设计要求，工作面间距不应小于15m，平行开挖的隧道工作面间距不应小于20m。</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11.1.10 </w:t>
      </w:r>
      <w:r>
        <w:rPr>
          <w:rFonts w:hint="eastAsia" w:hAnsi="宋体"/>
          <w:color w:val="000000" w:themeColor="text1"/>
          <w:szCs w:val="21"/>
          <w14:textFill>
            <w14:solidFill>
              <w14:schemeClr w14:val="tx1"/>
            </w14:solidFill>
          </w14:textFill>
        </w:rPr>
        <w:t>小净距隧道同向平行开挖时，工作面错开距离应大于2倍隧道开挖宽度，且不应小于 15m。小净距隧道相向开挖时，当工作面相距约2倍隧道开挖宽度时，应暂停一个工作面作业，进行封闭，由另一个工作面先行开挖。土层松散、土质较差时，先行隧道开挖后，宜对后行隧道一侧实施径向注浆加固，加固方法、范围应符合设计要求。</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11.1.11 </w:t>
      </w:r>
      <w:r>
        <w:rPr>
          <w:rFonts w:hint="eastAsia" w:hAnsi="宋体"/>
          <w:color w:val="000000" w:themeColor="text1"/>
          <w:szCs w:val="21"/>
          <w14:textFill>
            <w14:solidFill>
              <w14:schemeClr w14:val="tx1"/>
            </w14:solidFill>
          </w14:textFill>
        </w:rPr>
        <w:t>双层、多层隧道开挖时，宜遵循先上后下的原则；上、下层隧道工作面错开距离不应小于 15m。</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11.1.12 </w:t>
      </w:r>
      <w:r>
        <w:rPr>
          <w:rFonts w:hint="eastAsia" w:hAnsi="宋体"/>
          <w:color w:val="000000" w:themeColor="text1"/>
          <w:szCs w:val="21"/>
          <w14:textFill>
            <w14:solidFill>
              <w14:schemeClr w14:val="tx1"/>
            </w14:solidFill>
          </w14:textFill>
        </w:rPr>
        <w:t>变断面开挖应符合下列规定：</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hAnsi="宋体"/>
          <w:color w:val="000000" w:themeColor="text1"/>
          <w:szCs w:val="21"/>
          <w14:textFill>
            <w14:solidFill>
              <w14:schemeClr w14:val="tx1"/>
            </w14:solidFill>
          </w14:textFill>
        </w:rPr>
        <w:t>变断面隧道开挖方向，宜从大断面向较小断面开挖；</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hAnsi="宋体"/>
          <w:color w:val="000000" w:themeColor="text1"/>
          <w:szCs w:val="21"/>
          <w14:textFill>
            <w14:solidFill>
              <w14:schemeClr w14:val="tx1"/>
            </w14:solidFill>
          </w14:textFill>
        </w:rPr>
        <w:t xml:space="preserve"> 扩挖断面时，应设置断面尺寸渐变过渡区，相邻两榀格栅的单侧外扩尺寸不宜大于15cm，纵向连接筋应适当弯曲、焊接牢固；</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hAnsi="宋体"/>
          <w:color w:val="000000" w:themeColor="text1"/>
          <w:szCs w:val="21"/>
          <w14:textFill>
            <w14:solidFill>
              <w14:schemeClr w14:val="tx1"/>
            </w14:solidFill>
          </w14:textFill>
        </w:rPr>
        <w:t xml:space="preserve"> 扩挖断面前，应根据工程地质和水文地质条件，对土体进行注浆加固，并应符合本规程第</w:t>
      </w:r>
      <w:r>
        <w:rPr>
          <w:rFonts w:hint="eastAsia" w:hAnsi="宋体"/>
          <w:b/>
          <w:bCs/>
          <w:color w:val="000000" w:themeColor="text1"/>
          <w:szCs w:val="21"/>
          <w14:textFill>
            <w14:solidFill>
              <w14:schemeClr w14:val="tx1"/>
            </w14:solidFill>
          </w14:textFill>
        </w:rPr>
        <w:t>7</w:t>
      </w:r>
      <w:r>
        <w:rPr>
          <w:rFonts w:hint="eastAsia" w:hAnsi="宋体"/>
          <w:color w:val="000000" w:themeColor="text1"/>
          <w:szCs w:val="21"/>
          <w14:textFill>
            <w14:solidFill>
              <w14:schemeClr w14:val="tx1"/>
            </w14:solidFill>
          </w14:textFill>
        </w:rPr>
        <w:t>章的规定。</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11.1.13 </w:t>
      </w:r>
      <w:r>
        <w:rPr>
          <w:rFonts w:hint="eastAsia" w:hAnsi="宋体"/>
          <w:color w:val="000000" w:themeColor="text1"/>
          <w:szCs w:val="21"/>
          <w14:textFill>
            <w14:solidFill>
              <w14:schemeClr w14:val="tx1"/>
            </w14:solidFill>
          </w14:textFill>
        </w:rPr>
        <w:t>隧道返挖应符合本规程第</w:t>
      </w:r>
      <w:r>
        <w:rPr>
          <w:rFonts w:hint="eastAsia" w:hAnsi="宋体"/>
          <w:b/>
          <w:bCs/>
          <w:color w:val="000000" w:themeColor="text1"/>
          <w:szCs w:val="21"/>
          <w14:textFill>
            <w14:solidFill>
              <w14:schemeClr w14:val="tx1"/>
            </w14:solidFill>
          </w14:textFill>
        </w:rPr>
        <w:t>10.4.9</w:t>
      </w:r>
      <w:r>
        <w:rPr>
          <w:rFonts w:hint="eastAsia" w:hAnsi="宋体"/>
          <w:color w:val="000000" w:themeColor="text1"/>
          <w:szCs w:val="21"/>
          <w14:textFill>
            <w14:solidFill>
              <w14:schemeClr w14:val="tx1"/>
            </w14:solidFill>
          </w14:textFill>
        </w:rPr>
        <w:t>条的规定。</w:t>
      </w:r>
    </w:p>
    <w:p>
      <w:pPr>
        <w:pStyle w:val="22"/>
        <w:tabs>
          <w:tab w:val="left" w:pos="851"/>
        </w:tabs>
        <w:snapToGrid w:val="0"/>
        <w:spacing w:line="360" w:lineRule="auto"/>
        <w:ind w:firstLine="0" w:firstLineChars="0"/>
        <w:jc w:val="left"/>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11.1.14 </w:t>
      </w:r>
      <w:r>
        <w:rPr>
          <w:rFonts w:hint="eastAsia"/>
          <w:color w:val="000000" w:themeColor="text1"/>
          <w14:textFill>
            <w14:solidFill>
              <w14:schemeClr w14:val="tx1"/>
            </w14:solidFill>
          </w14:textFill>
        </w:rPr>
        <w:t>砂卵石地层开挖应遵循“早封面、快凝固、少扰动”的原则，应短挖短支、快速封闭，并应符合下列规定：</w:t>
      </w:r>
    </w:p>
    <w:p>
      <w:pPr>
        <w:pStyle w:val="22"/>
        <w:tabs>
          <w:tab w:val="left" w:pos="851"/>
        </w:tabs>
        <w:snapToGrid w:val="0"/>
        <w:spacing w:line="360" w:lineRule="auto"/>
        <w:ind w:firstLine="422"/>
        <w:jc w:val="left"/>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color w:val="000000" w:themeColor="text1"/>
          <w14:textFill>
            <w14:solidFill>
              <w14:schemeClr w14:val="tx1"/>
            </w14:solidFill>
          </w14:textFill>
        </w:rPr>
        <w:t>早封面：宜在打设小导管前，喷射5cm厚混凝土层封闭工作面；</w:t>
      </w:r>
    </w:p>
    <w:p>
      <w:pPr>
        <w:pStyle w:val="22"/>
        <w:tabs>
          <w:tab w:val="left" w:pos="851"/>
        </w:tabs>
        <w:snapToGrid w:val="0"/>
        <w:spacing w:line="360" w:lineRule="auto"/>
        <w:ind w:firstLine="422"/>
        <w:jc w:val="left"/>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color w:val="000000" w:themeColor="text1"/>
          <w14:textFill>
            <w14:solidFill>
              <w14:schemeClr w14:val="tx1"/>
            </w14:solidFill>
          </w14:textFill>
        </w:rPr>
        <w:t>快凝固：超前注浆浆液宜选择改性水玻璃、水玻璃浆液等早凝固型浆液，以凝固胶结地层；卵石堆积区、混有黏土层的卵石地层宜采取深孔注浆，注浆浆液宜为水泥—水玻璃双液浆，注浆范围宜为初期支护内0.5 m 至外1.5 m，注浆压力宜为 1.0MPa～2.0 MPa；</w:t>
      </w:r>
    </w:p>
    <w:p>
      <w:pPr>
        <w:pStyle w:val="22"/>
        <w:tabs>
          <w:tab w:val="left" w:pos="851"/>
        </w:tabs>
        <w:snapToGrid w:val="0"/>
        <w:spacing w:line="360" w:lineRule="auto"/>
        <w:ind w:firstLine="422"/>
        <w:jc w:val="left"/>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color w:val="000000" w:themeColor="text1"/>
          <w14:textFill>
            <w14:solidFill>
              <w14:schemeClr w14:val="tx1"/>
            </w14:solidFill>
          </w14:textFill>
        </w:rPr>
        <w:t>少扰动：超前小导管长度宜为1.5m～2.0m，管径宜为25mm</w:t>
      </w:r>
      <w:r>
        <w:rPr>
          <w:rFonts w:hint="eastAsia" w:ascii="宋体" w:hAnsi="宋体" w:cs="宋体"/>
          <w:color w:val="000000" w:themeColor="text1"/>
          <w14:textFill>
            <w14:solidFill>
              <w14:schemeClr w14:val="tx1"/>
            </w14:solidFill>
          </w14:textFill>
        </w:rPr>
        <w:t>～</w:t>
      </w:r>
      <w:r>
        <w:rPr>
          <w:rFonts w:hint="eastAsia"/>
          <w:color w:val="000000" w:themeColor="text1"/>
          <w14:textFill>
            <w14:solidFill>
              <w14:schemeClr w14:val="tx1"/>
            </w14:solidFill>
          </w14:textFill>
        </w:rPr>
        <w:t>32mm，管身钻孔宜加密，每榀钢架搭设打设，钻孔宜采用钻机成孔，地层松散时宜增设套管成孔；</w:t>
      </w:r>
    </w:p>
    <w:p>
      <w:pPr>
        <w:pStyle w:val="22"/>
        <w:tabs>
          <w:tab w:val="left" w:pos="851"/>
        </w:tabs>
        <w:snapToGrid w:val="0"/>
        <w:spacing w:line="360" w:lineRule="auto"/>
        <w:ind w:firstLine="422"/>
        <w:jc w:val="left"/>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color w:val="000000" w:themeColor="text1"/>
          <w14:textFill>
            <w14:solidFill>
              <w14:schemeClr w14:val="tx1"/>
            </w14:solidFill>
          </w14:textFill>
        </w:rPr>
        <w:t>注浆完成后应立即开挖，开挖不宜采用风镐、风钻等振动设备，并应采取减少扰动地层、防止卵石滑塌措施；</w:t>
      </w:r>
    </w:p>
    <w:p>
      <w:pPr>
        <w:pStyle w:val="22"/>
        <w:tabs>
          <w:tab w:val="left" w:pos="851"/>
        </w:tabs>
        <w:snapToGrid w:val="0"/>
        <w:spacing w:line="360" w:lineRule="auto"/>
        <w:ind w:firstLine="422"/>
        <w:jc w:val="left"/>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5 </w:t>
      </w:r>
      <w:r>
        <w:rPr>
          <w:rFonts w:hint="eastAsia"/>
          <w:color w:val="000000" w:themeColor="text1"/>
          <w14:textFill>
            <w14:solidFill>
              <w14:schemeClr w14:val="tx1"/>
            </w14:solidFill>
          </w14:textFill>
        </w:rPr>
        <w:t xml:space="preserve">隧道初期支护应在开挖完成后及时进行；在拱脚部位宜打入锁脚锚管，锚管宜采用φ42 钢管，长度不宜小于2.0 m； </w:t>
      </w:r>
    </w:p>
    <w:p>
      <w:pPr>
        <w:pStyle w:val="22"/>
        <w:tabs>
          <w:tab w:val="left" w:pos="851"/>
        </w:tabs>
        <w:snapToGrid w:val="0"/>
        <w:spacing w:line="360" w:lineRule="auto"/>
        <w:ind w:firstLine="422"/>
        <w:jc w:val="left"/>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6 </w:t>
      </w:r>
      <w:r>
        <w:rPr>
          <w:rFonts w:hint="eastAsia"/>
          <w:color w:val="000000" w:themeColor="text1"/>
          <w14:textFill>
            <w14:solidFill>
              <w14:schemeClr w14:val="tx1"/>
            </w14:solidFill>
          </w14:textFill>
        </w:rPr>
        <w:t>下台阶宜采用边墙单侧交错方式开挖，开挖步距宜为0.5 m，边墙支护完毕后再进行另一侧边墙开挖及支护，底板支护应在边墙均支护完毕后实施，及时封闭成环；</w:t>
      </w:r>
    </w:p>
    <w:p>
      <w:pPr>
        <w:pStyle w:val="22"/>
        <w:tabs>
          <w:tab w:val="left" w:pos="851"/>
          <w:tab w:val="left" w:pos="5835"/>
        </w:tabs>
        <w:snapToGrid w:val="0"/>
        <w:spacing w:line="360" w:lineRule="auto"/>
        <w:ind w:firstLine="422"/>
        <w:jc w:val="left"/>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 </w:t>
      </w:r>
      <w:r>
        <w:rPr>
          <w:rFonts w:hint="eastAsia"/>
          <w:color w:val="000000" w:themeColor="text1"/>
          <w14:textFill>
            <w14:solidFill>
              <w14:schemeClr w14:val="tx1"/>
            </w14:solidFill>
          </w14:textFill>
        </w:rPr>
        <w:t>遇到漂石宜采取先施工隧道初期支护、后处理漂石的原则进行施工，侵入隧道的漂石应破碎，隧道格栅钢架应完整。</w:t>
      </w:r>
    </w:p>
    <w:p>
      <w:pPr>
        <w:spacing w:line="360" w:lineRule="auto"/>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11.1.15 </w:t>
      </w:r>
      <w:r>
        <w:rPr>
          <w:rFonts w:hint="eastAsia" w:hAnsi="宋体"/>
          <w:color w:val="000000" w:themeColor="text1"/>
          <w:szCs w:val="21"/>
          <w14:textFill>
            <w14:solidFill>
              <w14:schemeClr w14:val="tx1"/>
            </w14:solidFill>
          </w14:textFill>
        </w:rPr>
        <w:t>工作面宜进行地质超前预报，并应根据地质条件采取相应的技术措施；接近地下管线时，宜进行管线超前探测。</w:t>
      </w:r>
    </w:p>
    <w:p>
      <w:pPr>
        <w:spacing w:line="360" w:lineRule="auto"/>
        <w:rPr>
          <w:rFonts w:hAnsi="宋体"/>
          <w:b/>
          <w:bCs/>
          <w:color w:val="000000" w:themeColor="text1"/>
          <w:szCs w:val="21"/>
          <w14:textFill>
            <w14:solidFill>
              <w14:schemeClr w14:val="tx1"/>
            </w14:solidFill>
          </w14:textFill>
        </w:rPr>
      </w:pPr>
      <w:bookmarkStart w:id="267" w:name="_Toc12836"/>
      <w:r>
        <w:rPr>
          <w:rFonts w:hAnsi="宋体"/>
          <w:b/>
          <w:bCs/>
          <w:color w:val="000000" w:themeColor="text1"/>
          <w:szCs w:val="21"/>
          <w14:textFill>
            <w14:solidFill>
              <w14:schemeClr w14:val="tx1"/>
            </w14:solidFill>
          </w14:textFill>
        </w:rPr>
        <w:t>11.1.16</w:t>
      </w:r>
      <w:bookmarkEnd w:id="267"/>
      <w:r>
        <w:rPr>
          <w:rFonts w:hAnsi="宋体"/>
          <w:b/>
          <w:bCs/>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隧道开挖过程中应监测、巡视隧道和周边环境，地面沉降超标、可能坍塌或支护结构变形较大时，应立即停止作业，经处理后方可继续施工。</w:t>
      </w:r>
    </w:p>
    <w:p>
      <w:pPr>
        <w:pStyle w:val="22"/>
        <w:tabs>
          <w:tab w:val="left" w:pos="851"/>
        </w:tabs>
        <w:snapToGrid w:val="0"/>
        <w:spacing w:line="360" w:lineRule="auto"/>
        <w:ind w:firstLine="0" w:firstLineChars="0"/>
        <w:jc w:val="left"/>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11.1.17 </w:t>
      </w:r>
      <w:r>
        <w:rPr>
          <w:rFonts w:hint="eastAsia" w:hAnsi="宋体"/>
          <w:color w:val="000000" w:themeColor="text1"/>
          <w:szCs w:val="21"/>
          <w14:textFill>
            <w14:solidFill>
              <w14:schemeClr w14:val="tx1"/>
            </w14:solidFill>
          </w14:textFill>
        </w:rPr>
        <w:t>土方开挖质量应符合下列规定：</w:t>
      </w:r>
    </w:p>
    <w:p>
      <w:pPr>
        <w:pStyle w:val="22"/>
        <w:tabs>
          <w:tab w:val="left" w:pos="851"/>
        </w:tabs>
        <w:snapToGrid w:val="0"/>
        <w:spacing w:line="360" w:lineRule="auto"/>
        <w:ind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w:t>
      </w:r>
      <w:r>
        <w:rPr>
          <w:rFonts w:hint="eastAsia" w:hAnsi="宋体"/>
          <w:color w:val="000000" w:themeColor="text1"/>
          <w:szCs w:val="21"/>
          <w14:textFill>
            <w14:solidFill>
              <w14:schemeClr w14:val="tx1"/>
            </w14:solidFill>
          </w14:textFill>
        </w:rPr>
        <w:t xml:space="preserve"> 开挖轮廓线应圆顺，不应小于设计尺寸；</w:t>
      </w:r>
    </w:p>
    <w:p>
      <w:pPr>
        <w:pStyle w:val="22"/>
        <w:tabs>
          <w:tab w:val="left" w:pos="851"/>
        </w:tabs>
        <w:snapToGrid w:val="0"/>
        <w:spacing w:line="360" w:lineRule="auto"/>
        <w:ind w:firstLineChars="0"/>
        <w:jc w:val="left"/>
        <w:rPr>
          <w:rFonts w:ascii="宋体" w:hAnsi="宋体" w:cs="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hAnsi="宋体"/>
          <w:color w:val="000000" w:themeColor="text1"/>
          <w:szCs w:val="21"/>
          <w14:textFill>
            <w14:solidFill>
              <w14:schemeClr w14:val="tx1"/>
            </w14:solidFill>
          </w14:textFill>
        </w:rPr>
        <w:t xml:space="preserve"> 中心线水平方向允许偏差30mm，高程允许偏差</w:t>
      </w:r>
      <w:r>
        <w:rPr>
          <w:rFonts w:hint="eastAsia" w:ascii="宋体" w:hAnsi="宋体" w:cs="宋体"/>
          <w:color w:val="000000" w:themeColor="text1"/>
          <w:szCs w:val="21"/>
          <w14:textFill>
            <w14:solidFill>
              <w14:schemeClr w14:val="tx1"/>
            </w14:solidFill>
          </w14:textFill>
        </w:rPr>
        <w:t>±10mm。</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11.1.18 </w:t>
      </w:r>
      <w:bookmarkEnd w:id="266"/>
      <w:r>
        <w:rPr>
          <w:rFonts w:hint="eastAsia" w:hAnsi="宋体"/>
          <w:color w:val="000000" w:themeColor="text1"/>
          <w:szCs w:val="21"/>
          <w14:textFill>
            <w14:solidFill>
              <w14:schemeClr w14:val="tx1"/>
            </w14:solidFill>
          </w14:textFill>
        </w:rPr>
        <w:t>在岩石地层内进行开挖，宜采用铣挖机、挖掘机、液压冲击锤等设备进行开挖；采用爆破施工应经有关单位批准，应遵循“短进尺，弱爆破”的原则，宜采用全断面光面爆破和上下台阶光面爆破方法。</w:t>
      </w:r>
    </w:p>
    <w:p>
      <w:pPr>
        <w:widowControl/>
        <w:numPr>
          <w:ilvl w:val="255"/>
          <w:numId w:val="0"/>
        </w:numPr>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11.1.19 </w:t>
      </w:r>
      <w:r>
        <w:rPr>
          <w:rFonts w:hint="eastAsia" w:hAnsi="宋体"/>
          <w:color w:val="000000" w:themeColor="text1"/>
          <w:szCs w:val="21"/>
          <w14:textFill>
            <w14:solidFill>
              <w14:schemeClr w14:val="tx1"/>
            </w14:solidFill>
          </w14:textFill>
        </w:rPr>
        <w:t>岩石地层隧道开挖应符合下列规定：</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hAnsi="宋体"/>
          <w:color w:val="000000" w:themeColor="text1"/>
          <w:szCs w:val="21"/>
          <w14:textFill>
            <w14:solidFill>
              <w14:schemeClr w14:val="tx1"/>
            </w14:solidFill>
          </w14:textFill>
        </w:rPr>
        <w:t>当围岩完整、石质坚硬时，岩石个别突出部分（每1m</w:t>
      </w:r>
      <w:r>
        <w:rPr>
          <w:rFonts w:hint="eastAsia" w:hAnsi="宋体"/>
          <w:color w:val="000000" w:themeColor="text1"/>
          <w:szCs w:val="21"/>
          <w:vertAlign w:val="superscript"/>
          <w14:textFill>
            <w14:solidFill>
              <w14:schemeClr w14:val="tx1"/>
            </w14:solidFill>
          </w14:textFill>
        </w:rPr>
        <w:t>2</w:t>
      </w:r>
      <w:r>
        <w:rPr>
          <w:rFonts w:hint="eastAsia" w:hAnsi="宋体"/>
          <w:color w:val="000000" w:themeColor="text1"/>
          <w:szCs w:val="21"/>
          <w14:textFill>
            <w14:solidFill>
              <w14:schemeClr w14:val="tx1"/>
            </w14:solidFill>
          </w14:textFill>
        </w:rPr>
        <w:t>不大于0.1 m</w:t>
      </w:r>
      <w:r>
        <w:rPr>
          <w:rFonts w:hint="eastAsia" w:hAnsi="宋体"/>
          <w:color w:val="000000" w:themeColor="text1"/>
          <w:szCs w:val="21"/>
          <w:vertAlign w:val="superscript"/>
          <w14:textFill>
            <w14:solidFill>
              <w14:schemeClr w14:val="tx1"/>
            </w14:solidFill>
          </w14:textFill>
        </w:rPr>
        <w:t>2</w:t>
      </w:r>
      <w:r>
        <w:rPr>
          <w:rFonts w:hint="eastAsia" w:hAnsi="宋体"/>
          <w:color w:val="000000" w:themeColor="text1"/>
          <w:szCs w:val="21"/>
          <w14:textFill>
            <w14:solidFill>
              <w14:schemeClr w14:val="tx1"/>
            </w14:solidFill>
          </w14:textFill>
        </w:rPr>
        <w:t>）侵入衬砌应小于10cm；</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hAnsi="宋体"/>
          <w:color w:val="000000" w:themeColor="text1"/>
          <w:szCs w:val="21"/>
          <w14:textFill>
            <w14:solidFill>
              <w14:schemeClr w14:val="tx1"/>
            </w14:solidFill>
          </w14:textFill>
        </w:rPr>
        <w:t>拱脚和墙脚以上1m内不应欠挖；</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hAnsi="宋体"/>
          <w:color w:val="000000" w:themeColor="text1"/>
          <w:szCs w:val="21"/>
          <w14:textFill>
            <w14:solidFill>
              <w14:schemeClr w14:val="tx1"/>
            </w14:solidFill>
          </w14:textFill>
        </w:rPr>
        <w:t>欠挖不应影响格栅钢架的安装。</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11.1.20 </w:t>
      </w:r>
      <w:r>
        <w:rPr>
          <w:rFonts w:hint="eastAsia" w:hAnsi="宋体"/>
          <w:color w:val="000000" w:themeColor="text1"/>
          <w:szCs w:val="21"/>
          <w14:textFill>
            <w14:solidFill>
              <w14:schemeClr w14:val="tx1"/>
            </w14:solidFill>
          </w14:textFill>
        </w:rPr>
        <w:t>隧道、车站暗挖穿越城市立交桥等重大风险源应符合下列规定：</w:t>
      </w:r>
    </w:p>
    <w:p>
      <w:pPr>
        <w:spacing w:line="360" w:lineRule="auto"/>
        <w:ind w:firstLine="422" w:firstLineChars="200"/>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color w:val="000000" w:themeColor="text1"/>
          <w14:textFill>
            <w14:solidFill>
              <w14:schemeClr w14:val="tx1"/>
            </w14:solidFill>
          </w14:textFill>
        </w:rPr>
        <w:t>施工前应对立交桥现状进行详细调查，收集相关技术资料，掌握立交桥上部结构、下部结构的实际数据及其与新建隧道、地铁之间的空间关系，对立交桥的调查应包括：相关资料的调查（勘察设计资料、施工资料、竣工资料和养护资料）、外观检查和必要的内在质量检测等；</w:t>
      </w:r>
    </w:p>
    <w:p>
      <w:pPr>
        <w:spacing w:line="360" w:lineRule="auto"/>
        <w:ind w:firstLine="422" w:firstLineChars="200"/>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color w:val="000000" w:themeColor="text1"/>
          <w14:textFill>
            <w14:solidFill>
              <w14:schemeClr w14:val="tx1"/>
            </w14:solidFill>
          </w14:textFill>
        </w:rPr>
        <w:t>对立交桥的现状评估应包括：检测桥梁的上部结构、墩柱、盖梁、混凝土强度和保护层等；针对不同的梁部结合形式进行模态测试、桩基沉降和承载力评估；评估顺桥向和横桥向相邻桥墩之间的剩余容许差异沉降量；</w:t>
      </w:r>
    </w:p>
    <w:p>
      <w:pPr>
        <w:spacing w:line="360" w:lineRule="auto"/>
        <w:ind w:firstLine="422" w:firstLineChars="200"/>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color w:val="000000" w:themeColor="text1"/>
          <w14:textFill>
            <w14:solidFill>
              <w14:schemeClr w14:val="tx1"/>
            </w14:solidFill>
          </w14:textFill>
        </w:rPr>
        <w:t>应分析预测隧道、车站施工对邻近桥基影响。宜建立包括暗挖隧道、车站构筑物及邻近桥桩在内的三维非线性数值模型，模拟隧道、车站暗挖施工过程，将数值模拟结果与施工监测数据进行分析研究，预测施工阶段对地层和桥基的影响水平；</w:t>
      </w:r>
    </w:p>
    <w:p>
      <w:pPr>
        <w:spacing w:line="360" w:lineRule="auto"/>
        <w:ind w:firstLine="422" w:firstLineChars="200"/>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color w:val="000000" w:themeColor="text1"/>
          <w14:textFill>
            <w14:solidFill>
              <w14:schemeClr w14:val="tx1"/>
            </w14:solidFill>
          </w14:textFill>
        </w:rPr>
        <w:t>应确定沉降控制标准。根据立交桥上部结构的型式、桩基与隧道和车站的相对位置关系，以及施工阶段按“分级、分区、分阶段，按差异和绝对沉降指标进行控制”的控制指标制定原则，制定各桥墩及附近地表沉降的控制标准；</w:t>
      </w:r>
    </w:p>
    <w:p>
      <w:pPr>
        <w:spacing w:line="360" w:lineRule="auto"/>
        <w:ind w:firstLine="422" w:firstLineChars="200"/>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5</w:t>
      </w:r>
      <w:r>
        <w:rPr>
          <w:rFonts w:hint="eastAsia"/>
          <w:color w:val="000000" w:themeColor="text1"/>
          <w14:textFill>
            <w14:solidFill>
              <w14:schemeClr w14:val="tx1"/>
            </w14:solidFill>
          </w14:textFill>
        </w:rPr>
        <w:t>应根据调查及施工影响预测，制定桥桩加固与保护措施，宜采取施工工序的优化、桥桩附近地层注浆加固改良、桥梁基础补强或托换，以及上部梁体支托等措施，并应在开挖前实施。</w:t>
      </w:r>
    </w:p>
    <w:p>
      <w:pPr>
        <w:spacing w:line="360" w:lineRule="auto"/>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11.1.21 </w:t>
      </w:r>
      <w:r>
        <w:rPr>
          <w:rFonts w:hint="eastAsia"/>
          <w:color w:val="000000" w:themeColor="text1"/>
          <w14:textFill>
            <w14:solidFill>
              <w14:schemeClr w14:val="tx1"/>
            </w14:solidFill>
          </w14:textFill>
        </w:rPr>
        <w:t>穿越现况铁路、地铁线路、重要输水设施时，宜采用远程监控系统对其结构及轨道变形等进行实时监控量测，其测试精度、性能稳定性及自动化程度应满足施工和地铁正常运营要求，并应及时反馈信息。</w:t>
      </w:r>
    </w:p>
    <w:p>
      <w:pPr>
        <w:pStyle w:val="22"/>
        <w:tabs>
          <w:tab w:val="left" w:pos="851"/>
        </w:tabs>
        <w:snapToGrid w:val="0"/>
        <w:spacing w:line="360" w:lineRule="auto"/>
        <w:ind w:firstLine="0" w:firstLineChars="0"/>
        <w:jc w:val="left"/>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11.1.22 </w:t>
      </w:r>
      <w:r>
        <w:rPr>
          <w:rFonts w:hint="eastAsia"/>
          <w:color w:val="000000" w:themeColor="text1"/>
          <w14:textFill>
            <w14:solidFill>
              <w14:schemeClr w14:val="tx1"/>
            </w14:solidFill>
          </w14:textFill>
        </w:rPr>
        <w:t>穿越现况铁路、地铁线路应对线路采取扣轨、限速等措施，并应与线路运营管理单位协商确定。</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11.1.23 </w:t>
      </w:r>
      <w:r>
        <w:rPr>
          <w:rFonts w:hint="eastAsia"/>
          <w:color w:val="000000" w:themeColor="text1"/>
          <w14:textFill>
            <w14:solidFill>
              <w14:schemeClr w14:val="tx1"/>
            </w14:solidFill>
          </w14:textFill>
        </w:rPr>
        <w:t>临近建（构）筑物施工时，应按设计要求对建（构）筑物实施保护完成后方可进行隧道、车站开挖。对临近建（构）筑物宜采取地基注浆加固、基础托换、隔离桩和结构加固等措施。</w:t>
      </w:r>
    </w:p>
    <w:p>
      <w:pPr>
        <w:numPr>
          <w:ilvl w:val="1"/>
          <w:numId w:val="0"/>
        </w:numPr>
        <w:tabs>
          <w:tab w:val="left" w:pos="576"/>
        </w:tabs>
        <w:adjustRightInd w:val="0"/>
        <w:snapToGrid w:val="0"/>
        <w:spacing w:before="312" w:beforeLines="100" w:after="312" w:afterLines="100"/>
        <w:ind w:left="578" w:hanging="578"/>
        <w:jc w:val="center"/>
        <w:outlineLvl w:val="1"/>
        <w:rPr>
          <w:rFonts w:hAnsi="宋体"/>
          <w:b/>
          <w:color w:val="000000" w:themeColor="text1"/>
          <w:sz w:val="24"/>
          <w14:textFill>
            <w14:solidFill>
              <w14:schemeClr w14:val="tx1"/>
            </w14:solidFill>
          </w14:textFill>
        </w:rPr>
      </w:pPr>
      <w:bookmarkStart w:id="268" w:name="_Toc7533"/>
      <w:bookmarkStart w:id="269" w:name="_Toc25522"/>
      <w:bookmarkStart w:id="270" w:name="_Toc28093"/>
      <w:bookmarkStart w:id="271" w:name="_Toc6110"/>
      <w:bookmarkStart w:id="272" w:name="_Toc30780"/>
      <w:bookmarkStart w:id="273" w:name="_Toc21690"/>
      <w:r>
        <w:rPr>
          <w:rFonts w:hint="eastAsia" w:hAnsi="宋体"/>
          <w:b/>
          <w:color w:val="000000" w:themeColor="text1"/>
          <w:sz w:val="24"/>
          <w14:textFill>
            <w14:solidFill>
              <w14:schemeClr w14:val="tx1"/>
            </w14:solidFill>
          </w14:textFill>
        </w:rPr>
        <w:t>11.2  区间隧道开挖</w:t>
      </w:r>
      <w:bookmarkEnd w:id="268"/>
      <w:bookmarkEnd w:id="269"/>
      <w:bookmarkEnd w:id="270"/>
      <w:bookmarkEnd w:id="271"/>
      <w:bookmarkEnd w:id="272"/>
      <w:bookmarkEnd w:id="273"/>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cstheme="minorEastAsia"/>
          <w:b/>
          <w:bCs/>
          <w:color w:val="000000" w:themeColor="text1"/>
          <w:szCs w:val="21"/>
          <w14:textFill>
            <w14:solidFill>
              <w14:schemeClr w14:val="tx1"/>
            </w14:solidFill>
          </w14:textFill>
        </w:rPr>
        <w:t xml:space="preserve">11.2.1 </w:t>
      </w:r>
      <w:r>
        <w:rPr>
          <w:rFonts w:hint="eastAsia" w:hAnsi="宋体" w:cstheme="minorEastAsia"/>
          <w:color w:val="000000" w:themeColor="text1"/>
          <w:szCs w:val="21"/>
          <w14:textFill>
            <w14:solidFill>
              <w14:schemeClr w14:val="tx1"/>
            </w14:solidFill>
          </w14:textFill>
        </w:rPr>
        <w:t>围岩等级为</w:t>
      </w:r>
      <w:r>
        <w:rPr>
          <w:rFonts w:hAnsi="宋体" w:cstheme="minorEastAsia"/>
          <w:color w:val="000000" w:themeColor="text1"/>
          <w:szCs w:val="21"/>
          <w14:textFill>
            <w14:solidFill>
              <w14:schemeClr w14:val="tx1"/>
            </w14:solidFill>
          </w14:textFill>
        </w:rPr>
        <w:t>I</w:t>
      </w:r>
      <w:r>
        <w:rPr>
          <w:rFonts w:hint="eastAsia" w:hAnsi="宋体" w:cstheme="minorEastAsia"/>
          <w:color w:val="000000" w:themeColor="text1"/>
          <w:szCs w:val="21"/>
          <w14:textFill>
            <w14:solidFill>
              <w14:schemeClr w14:val="tx1"/>
            </w14:solidFill>
          </w14:textFill>
        </w:rPr>
        <w:t>、</w:t>
      </w:r>
      <w:r>
        <w:rPr>
          <w:rFonts w:hAnsi="宋体" w:cstheme="minorEastAsia"/>
          <w:color w:val="000000" w:themeColor="text1"/>
          <w:szCs w:val="21"/>
          <w14:textFill>
            <w14:solidFill>
              <w14:schemeClr w14:val="tx1"/>
            </w14:solidFill>
          </w14:textFill>
        </w:rPr>
        <w:t>II</w:t>
      </w:r>
      <w:r>
        <w:rPr>
          <w:rFonts w:hint="eastAsia" w:hAnsi="宋体" w:cstheme="minorEastAsia"/>
          <w:color w:val="000000" w:themeColor="text1"/>
          <w:szCs w:val="21"/>
          <w14:textFill>
            <w14:solidFill>
              <w14:schemeClr w14:val="tx1"/>
            </w14:solidFill>
          </w14:textFill>
        </w:rPr>
        <w:t>、Ⅲ级的区间隧道宜采用全断面法开挖；围岩等级为</w:t>
      </w:r>
      <w:r>
        <w:rPr>
          <w:rFonts w:hAnsi="宋体" w:cstheme="minorEastAsia"/>
          <w:color w:val="000000" w:themeColor="text1"/>
          <w:szCs w:val="21"/>
          <w14:textFill>
            <w14:solidFill>
              <w14:schemeClr w14:val="tx1"/>
            </w14:solidFill>
          </w14:textFill>
        </w:rPr>
        <w:t>IV</w:t>
      </w:r>
      <w:r>
        <w:rPr>
          <w:rFonts w:hint="eastAsia" w:hAnsi="宋体" w:cstheme="minorEastAsia"/>
          <w:color w:val="000000" w:themeColor="text1"/>
          <w:szCs w:val="21"/>
          <w14:textFill>
            <w14:solidFill>
              <w14:schemeClr w14:val="tx1"/>
            </w14:solidFill>
          </w14:textFill>
        </w:rPr>
        <w:t>级的区间隧道采用全断面法开挖时，应按设计要求进行超前预支护和围岩加固，工作面应稳定。全断面开挖应符合下列规定：</w:t>
      </w:r>
    </w:p>
    <w:p>
      <w:pPr>
        <w:pStyle w:val="22"/>
        <w:tabs>
          <w:tab w:val="left" w:pos="851"/>
        </w:tabs>
        <w:snapToGrid w:val="0"/>
        <w:spacing w:line="360" w:lineRule="auto"/>
        <w:ind w:firstLine="422"/>
        <w:jc w:val="left"/>
        <w:rPr>
          <w:rFonts w:hAnsi="宋体" w:cstheme="minorEastAsia"/>
          <w:color w:val="000000" w:themeColor="text1"/>
          <w:szCs w:val="21"/>
          <w14:textFill>
            <w14:solidFill>
              <w14:schemeClr w14:val="tx1"/>
            </w14:solidFill>
          </w14:textFill>
        </w:rPr>
      </w:pPr>
      <w:r>
        <w:rPr>
          <w:rFonts w:hint="eastAsia" w:hAnsi="宋体" w:cstheme="minorEastAsia"/>
          <w:b/>
          <w:bCs/>
          <w:color w:val="000000" w:themeColor="text1"/>
          <w:szCs w:val="21"/>
          <w14:textFill>
            <w14:solidFill>
              <w14:schemeClr w14:val="tx1"/>
            </w14:solidFill>
          </w14:textFill>
        </w:rPr>
        <w:t xml:space="preserve">1 </w:t>
      </w:r>
      <w:r>
        <w:rPr>
          <w:rFonts w:hint="eastAsia" w:hAnsi="宋体" w:cstheme="minorEastAsia"/>
          <w:color w:val="000000" w:themeColor="text1"/>
          <w:szCs w:val="21"/>
          <w14:textFill>
            <w14:solidFill>
              <w14:schemeClr w14:val="tx1"/>
            </w14:solidFill>
          </w14:textFill>
        </w:rPr>
        <w:t>全断面法开挖应自上而下进行，初期支护应及时施工；</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heme="minorEastAsia"/>
          <w:b/>
          <w:bCs/>
          <w:color w:val="000000" w:themeColor="text1"/>
          <w:kern w:val="2"/>
          <w:sz w:val="21"/>
          <w:szCs w:val="21"/>
          <w14:textFill>
            <w14:solidFill>
              <w14:schemeClr w14:val="tx1"/>
            </w14:solidFill>
          </w14:textFill>
        </w:rPr>
        <w:t xml:space="preserve">2 </w:t>
      </w:r>
      <w:r>
        <w:rPr>
          <w:rFonts w:hint="eastAsia" w:hAnsi="宋体" w:cstheme="minorEastAsia"/>
          <w:color w:val="000000" w:themeColor="text1"/>
          <w:sz w:val="21"/>
          <w:szCs w:val="21"/>
          <w14:textFill>
            <w14:solidFill>
              <w14:schemeClr w14:val="tx1"/>
            </w14:solidFill>
          </w14:textFill>
        </w:rPr>
        <w:t>宜采用施工机械开挖，机械设备应合理配套；岩石地层宜采用液压锤、铣挖机等设备；</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heme="minorEastAsia"/>
          <w:b/>
          <w:bCs/>
          <w:color w:val="000000" w:themeColor="text1"/>
          <w:kern w:val="2"/>
          <w:sz w:val="21"/>
          <w:szCs w:val="21"/>
          <w14:textFill>
            <w14:solidFill>
              <w14:schemeClr w14:val="tx1"/>
            </w14:solidFill>
          </w14:textFill>
        </w:rPr>
        <w:t>3  I、II</w:t>
      </w:r>
      <w:r>
        <w:rPr>
          <w:rFonts w:hint="eastAsia" w:hAnsi="宋体" w:cstheme="minorEastAsia"/>
          <w:color w:val="000000" w:themeColor="text1"/>
          <w:sz w:val="21"/>
          <w:szCs w:val="21"/>
          <w14:textFill>
            <w14:solidFill>
              <w14:schemeClr w14:val="tx1"/>
            </w14:solidFill>
          </w14:textFill>
        </w:rPr>
        <w:t>级围岩开挖循环进尺不宜大于</w:t>
      </w:r>
      <w:r>
        <w:rPr>
          <w:rFonts w:hint="eastAsia" w:ascii="Times New Roman" w:hAnsi="宋体" w:cstheme="minorEastAsia"/>
          <w:b/>
          <w:bCs/>
          <w:color w:val="000000" w:themeColor="text1"/>
          <w:kern w:val="2"/>
          <w:sz w:val="21"/>
          <w:szCs w:val="21"/>
          <w14:textFill>
            <w14:solidFill>
              <w14:schemeClr w14:val="tx1"/>
            </w14:solidFill>
          </w14:textFill>
        </w:rPr>
        <w:t>3.5m</w:t>
      </w:r>
      <w:r>
        <w:rPr>
          <w:rFonts w:hint="eastAsia" w:hAnsi="宋体" w:cstheme="minorEastAsia"/>
          <w:color w:val="000000" w:themeColor="text1"/>
          <w:sz w:val="21"/>
          <w:szCs w:val="21"/>
          <w14:textFill>
            <w14:solidFill>
              <w14:schemeClr w14:val="tx1"/>
            </w14:solidFill>
          </w14:textFill>
        </w:rPr>
        <w:t>；Ⅲ级围岩循环进尺不宜大于</w:t>
      </w:r>
      <w:r>
        <w:rPr>
          <w:rFonts w:hint="eastAsia" w:ascii="Times New Roman" w:hAnsi="宋体" w:cstheme="minorEastAsia"/>
          <w:b/>
          <w:bCs/>
          <w:color w:val="000000" w:themeColor="text1"/>
          <w:kern w:val="2"/>
          <w:sz w:val="21"/>
          <w:szCs w:val="21"/>
          <w14:textFill>
            <w14:solidFill>
              <w14:schemeClr w14:val="tx1"/>
            </w14:solidFill>
          </w14:textFill>
        </w:rPr>
        <w:t>3m</w:t>
      </w:r>
      <w:r>
        <w:rPr>
          <w:rFonts w:hint="eastAsia" w:hAnsi="宋体" w:cstheme="minorEastAsia"/>
          <w:color w:val="000000" w:themeColor="text1"/>
          <w:sz w:val="21"/>
          <w:szCs w:val="21"/>
          <w14:textFill>
            <w14:solidFill>
              <w14:schemeClr w14:val="tx1"/>
            </w14:solidFill>
          </w14:textFill>
        </w:rPr>
        <w:t>；经过加固的</w:t>
      </w:r>
      <w:r>
        <w:rPr>
          <w:rFonts w:hAnsi="宋体" w:cstheme="minorEastAsia"/>
          <w:color w:val="000000" w:themeColor="text1"/>
          <w:sz w:val="21"/>
          <w:szCs w:val="21"/>
          <w14:textFill>
            <w14:solidFill>
              <w14:schemeClr w14:val="tx1"/>
            </w14:solidFill>
          </w14:textFill>
        </w:rPr>
        <w:t>IV</w:t>
      </w:r>
      <w:r>
        <w:rPr>
          <w:rFonts w:hint="eastAsia" w:hAnsi="宋体" w:cstheme="minorEastAsia"/>
          <w:color w:val="000000" w:themeColor="text1"/>
          <w:sz w:val="21"/>
          <w:szCs w:val="21"/>
          <w14:textFill>
            <w14:solidFill>
              <w14:schemeClr w14:val="tx1"/>
            </w14:solidFill>
          </w14:textFill>
        </w:rPr>
        <w:t>、</w:t>
      </w:r>
      <w:r>
        <w:rPr>
          <w:rFonts w:hAnsi="宋体" w:cstheme="minorEastAsia"/>
          <w:color w:val="000000" w:themeColor="text1"/>
          <w:sz w:val="21"/>
          <w:szCs w:val="21"/>
          <w14:textFill>
            <w14:solidFill>
              <w14:schemeClr w14:val="tx1"/>
            </w14:solidFill>
          </w14:textFill>
        </w:rPr>
        <w:t>V</w:t>
      </w:r>
      <w:r>
        <w:rPr>
          <w:rFonts w:hint="eastAsia" w:hAnsi="宋体" w:cstheme="minorEastAsia"/>
          <w:color w:val="000000" w:themeColor="text1"/>
          <w:sz w:val="21"/>
          <w:szCs w:val="21"/>
          <w14:textFill>
            <w14:solidFill>
              <w14:schemeClr w14:val="tx1"/>
            </w14:solidFill>
          </w14:textFill>
        </w:rPr>
        <w:t>级围岩循环进尺不得大于</w:t>
      </w:r>
      <w:r>
        <w:rPr>
          <w:rFonts w:hint="eastAsia" w:ascii="Times New Roman" w:hAnsi="宋体" w:cstheme="minorEastAsia"/>
          <w:b/>
          <w:bCs/>
          <w:color w:val="000000" w:themeColor="text1"/>
          <w:kern w:val="2"/>
          <w:sz w:val="21"/>
          <w:szCs w:val="21"/>
          <w14:textFill>
            <w14:solidFill>
              <w14:schemeClr w14:val="tx1"/>
            </w14:solidFill>
          </w14:textFill>
        </w:rPr>
        <w:t>2m</w:t>
      </w:r>
      <w:r>
        <w:rPr>
          <w:rFonts w:hint="eastAsia" w:hAnsi="宋体" w:cstheme="minorEastAsia"/>
          <w:color w:val="000000" w:themeColor="text1"/>
          <w:sz w:val="21"/>
          <w:szCs w:val="21"/>
          <w14:textFill>
            <w14:solidFill>
              <w14:schemeClr w14:val="tx1"/>
            </w14:solidFill>
          </w14:textFill>
        </w:rPr>
        <w:t>。</w:t>
      </w:r>
    </w:p>
    <w:p>
      <w:pPr>
        <w:tabs>
          <w:tab w:val="left" w:pos="851"/>
          <w:tab w:val="left" w:pos="5835"/>
        </w:tabs>
        <w:snapToGrid w:val="0"/>
        <w:spacing w:line="360" w:lineRule="auto"/>
        <w:ind w:left="360"/>
        <w:jc w:val="left"/>
        <w:rPr>
          <w:rFonts w:ascii="宋体" w:hAnsi="宋体" w:cstheme="minorEastAsia"/>
          <w:color w:val="000000" w:themeColor="text1"/>
          <w:kern w:val="0"/>
          <w:szCs w:val="2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64384" behindDoc="1" locked="0" layoutInCell="1" allowOverlap="1">
            <wp:simplePos x="0" y="0"/>
            <wp:positionH relativeFrom="column">
              <wp:posOffset>238125</wp:posOffset>
            </wp:positionH>
            <wp:positionV relativeFrom="paragraph">
              <wp:posOffset>231140</wp:posOffset>
            </wp:positionV>
            <wp:extent cx="1857375" cy="1663065"/>
            <wp:effectExtent l="0" t="0" r="9525" b="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a:xfrm>
                      <a:off x="0" y="0"/>
                      <a:ext cx="1857375" cy="1663065"/>
                    </a:xfrm>
                    <a:prstGeom prst="rect">
                      <a:avLst/>
                    </a:prstGeom>
                    <a:noFill/>
                    <a:ln>
                      <a:noFill/>
                    </a:ln>
                  </pic:spPr>
                </pic:pic>
              </a:graphicData>
            </a:graphic>
          </wp:anchor>
        </w:drawing>
      </w:r>
      <w:r>
        <w:rPr>
          <w:color w:val="000000" w:themeColor="text1"/>
          <w14:textFill>
            <w14:solidFill>
              <w14:schemeClr w14:val="tx1"/>
            </w14:solidFill>
          </w14:textFill>
        </w:rPr>
        <w:drawing>
          <wp:anchor distT="0" distB="0" distL="114300" distR="114300" simplePos="0" relativeHeight="251665408" behindDoc="1" locked="0" layoutInCell="1" allowOverlap="1">
            <wp:simplePos x="0" y="0"/>
            <wp:positionH relativeFrom="column">
              <wp:posOffset>2438400</wp:posOffset>
            </wp:positionH>
            <wp:positionV relativeFrom="paragraph">
              <wp:posOffset>241935</wp:posOffset>
            </wp:positionV>
            <wp:extent cx="2595245" cy="1527175"/>
            <wp:effectExtent l="0" t="0" r="0" b="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2594995" cy="1527175"/>
                    </a:xfrm>
                    <a:prstGeom prst="rect">
                      <a:avLst/>
                    </a:prstGeom>
                    <a:noFill/>
                    <a:ln>
                      <a:noFill/>
                    </a:ln>
                  </pic:spPr>
                </pic:pic>
              </a:graphicData>
            </a:graphic>
          </wp:anchor>
        </w:drawing>
      </w:r>
    </w:p>
    <w:p>
      <w:pPr>
        <w:tabs>
          <w:tab w:val="left" w:pos="851"/>
          <w:tab w:val="left" w:pos="5835"/>
        </w:tabs>
        <w:snapToGrid w:val="0"/>
        <w:spacing w:line="360" w:lineRule="auto"/>
        <w:ind w:left="360"/>
        <w:jc w:val="left"/>
        <w:rPr>
          <w:rFonts w:ascii="宋体" w:hAnsi="宋体" w:cstheme="minorEastAsia"/>
          <w:color w:val="000000" w:themeColor="text1"/>
          <w:kern w:val="0"/>
          <w:szCs w:val="21"/>
          <w14:textFill>
            <w14:solidFill>
              <w14:schemeClr w14:val="tx1"/>
            </w14:solidFill>
          </w14:textFill>
        </w:rPr>
      </w:pPr>
    </w:p>
    <w:p>
      <w:pPr>
        <w:tabs>
          <w:tab w:val="left" w:pos="851"/>
          <w:tab w:val="left" w:pos="5835"/>
        </w:tabs>
        <w:snapToGrid w:val="0"/>
        <w:spacing w:line="360" w:lineRule="auto"/>
        <w:ind w:left="360"/>
        <w:jc w:val="left"/>
        <w:rPr>
          <w:rFonts w:ascii="宋体" w:hAnsi="宋体" w:cstheme="minorEastAsia"/>
          <w:color w:val="000000" w:themeColor="text1"/>
          <w:kern w:val="0"/>
          <w:szCs w:val="21"/>
          <w14:textFill>
            <w14:solidFill>
              <w14:schemeClr w14:val="tx1"/>
            </w14:solidFill>
          </w14:textFill>
        </w:rPr>
      </w:pPr>
    </w:p>
    <w:p>
      <w:pPr>
        <w:tabs>
          <w:tab w:val="left" w:pos="851"/>
          <w:tab w:val="left" w:pos="5835"/>
        </w:tabs>
        <w:snapToGrid w:val="0"/>
        <w:spacing w:line="360" w:lineRule="auto"/>
        <w:ind w:left="360"/>
        <w:jc w:val="left"/>
        <w:rPr>
          <w:rFonts w:ascii="宋体" w:hAnsi="宋体" w:cstheme="minorEastAsia"/>
          <w:color w:val="000000" w:themeColor="text1"/>
          <w:kern w:val="0"/>
          <w:szCs w:val="21"/>
          <w14:textFill>
            <w14:solidFill>
              <w14:schemeClr w14:val="tx1"/>
            </w14:solidFill>
          </w14:textFill>
        </w:rPr>
      </w:pPr>
    </w:p>
    <w:p>
      <w:pPr>
        <w:tabs>
          <w:tab w:val="left" w:pos="851"/>
          <w:tab w:val="left" w:pos="5835"/>
        </w:tabs>
        <w:snapToGrid w:val="0"/>
        <w:spacing w:line="360" w:lineRule="auto"/>
        <w:ind w:left="360"/>
        <w:jc w:val="left"/>
        <w:rPr>
          <w:rFonts w:ascii="宋体" w:hAnsi="宋体" w:cstheme="minorEastAsia"/>
          <w:color w:val="000000" w:themeColor="text1"/>
          <w:kern w:val="0"/>
          <w:szCs w:val="21"/>
          <w14:textFill>
            <w14:solidFill>
              <w14:schemeClr w14:val="tx1"/>
            </w14:solidFill>
          </w14:textFill>
        </w:rPr>
      </w:pPr>
    </w:p>
    <w:p>
      <w:pPr>
        <w:tabs>
          <w:tab w:val="left" w:pos="851"/>
          <w:tab w:val="left" w:pos="5835"/>
        </w:tabs>
        <w:snapToGrid w:val="0"/>
        <w:spacing w:line="360" w:lineRule="auto"/>
        <w:ind w:left="360"/>
        <w:jc w:val="left"/>
        <w:rPr>
          <w:rFonts w:ascii="宋体" w:hAnsi="宋体" w:cstheme="minorEastAsia"/>
          <w:color w:val="000000" w:themeColor="text1"/>
          <w:kern w:val="0"/>
          <w:szCs w:val="21"/>
          <w14:textFill>
            <w14:solidFill>
              <w14:schemeClr w14:val="tx1"/>
            </w14:solidFill>
          </w14:textFill>
        </w:rPr>
      </w:pPr>
    </w:p>
    <w:p>
      <w:pPr>
        <w:tabs>
          <w:tab w:val="left" w:pos="851"/>
          <w:tab w:val="left" w:pos="5835"/>
        </w:tabs>
        <w:snapToGrid w:val="0"/>
        <w:spacing w:line="360" w:lineRule="auto"/>
        <w:ind w:left="360"/>
        <w:jc w:val="left"/>
        <w:rPr>
          <w:rFonts w:ascii="宋体" w:hAnsi="宋体" w:cstheme="minorEastAsia"/>
          <w:color w:val="000000" w:themeColor="text1"/>
          <w:kern w:val="0"/>
          <w:szCs w:val="21"/>
          <w14:textFill>
            <w14:solidFill>
              <w14:schemeClr w14:val="tx1"/>
            </w14:solidFill>
          </w14:textFill>
        </w:rPr>
      </w:pPr>
    </w:p>
    <w:p>
      <w:pPr>
        <w:tabs>
          <w:tab w:val="left" w:pos="851"/>
          <w:tab w:val="left" w:pos="5835"/>
        </w:tabs>
        <w:snapToGrid w:val="0"/>
        <w:spacing w:line="360" w:lineRule="auto"/>
        <w:ind w:left="360" w:firstLine="420" w:firstLineChars="200"/>
        <w:jc w:val="left"/>
        <w:rPr>
          <w:rFonts w:ascii="宋体" w:hAnsi="宋体" w:cstheme="minorEastAsia"/>
          <w:color w:val="000000" w:themeColor="text1"/>
          <w:kern w:val="0"/>
          <w:szCs w:val="21"/>
          <w14:textFill>
            <w14:solidFill>
              <w14:schemeClr w14:val="tx1"/>
            </w14:solidFill>
          </w14:textFill>
        </w:rPr>
      </w:pPr>
    </w:p>
    <w:p>
      <w:pPr>
        <w:tabs>
          <w:tab w:val="left" w:pos="851"/>
          <w:tab w:val="left" w:pos="5835"/>
        </w:tabs>
        <w:snapToGrid w:val="0"/>
        <w:spacing w:line="360" w:lineRule="auto"/>
        <w:ind w:left="360" w:firstLine="420" w:firstLineChars="200"/>
        <w:jc w:val="left"/>
        <w:rPr>
          <w:rFonts w:ascii="宋体" w:hAnsi="宋体" w:cstheme="minorEastAsia"/>
          <w:color w:val="000000" w:themeColor="text1"/>
          <w:kern w:val="0"/>
          <w:szCs w:val="21"/>
          <w14:textFill>
            <w14:solidFill>
              <w14:schemeClr w14:val="tx1"/>
            </w14:solidFill>
          </w14:textFill>
        </w:rPr>
      </w:pPr>
      <w:r>
        <w:rPr>
          <w:rFonts w:hint="eastAsia" w:ascii="宋体" w:hAnsi="宋体" w:cstheme="minorEastAsia"/>
          <w:color w:val="000000" w:themeColor="text1"/>
          <w:kern w:val="0"/>
          <w:szCs w:val="21"/>
          <w14:textFill>
            <w14:solidFill>
              <w14:schemeClr w14:val="tx1"/>
            </w14:solidFill>
          </w14:textFill>
        </w:rPr>
        <w:t xml:space="preserve">全断面法横断面施工示意图 </w:t>
      </w:r>
      <w:r>
        <w:rPr>
          <w:rFonts w:ascii="宋体" w:hAnsi="宋体" w:cstheme="minorEastAsia"/>
          <w:color w:val="000000" w:themeColor="text1"/>
          <w:kern w:val="0"/>
          <w:szCs w:val="21"/>
          <w14:textFill>
            <w14:solidFill>
              <w14:schemeClr w14:val="tx1"/>
            </w14:solidFill>
          </w14:textFill>
        </w:rPr>
        <w:t xml:space="preserve">           </w:t>
      </w:r>
      <w:r>
        <w:rPr>
          <w:rFonts w:hint="eastAsia" w:ascii="宋体" w:hAnsi="宋体" w:cstheme="minorEastAsia"/>
          <w:color w:val="000000" w:themeColor="text1"/>
          <w:kern w:val="0"/>
          <w:szCs w:val="21"/>
          <w14:textFill>
            <w14:solidFill>
              <w14:schemeClr w14:val="tx1"/>
            </w14:solidFill>
          </w14:textFill>
        </w:rPr>
        <w:t xml:space="preserve">全断面法纵剖面施工示意图 </w:t>
      </w:r>
      <w:r>
        <w:rPr>
          <w:rFonts w:ascii="宋体" w:hAnsi="宋体" w:cstheme="minorEastAsia"/>
          <w:color w:val="000000" w:themeColor="text1"/>
          <w:kern w:val="0"/>
          <w:szCs w:val="21"/>
          <w14:textFill>
            <w14:solidFill>
              <w14:schemeClr w14:val="tx1"/>
            </w14:solidFill>
          </w14:textFill>
        </w:rPr>
        <w:t xml:space="preserve">    </w:t>
      </w:r>
    </w:p>
    <w:p>
      <w:pPr>
        <w:pStyle w:val="22"/>
        <w:numPr>
          <w:ilvl w:val="255"/>
          <w:numId w:val="0"/>
        </w:numPr>
        <w:snapToGrid w:val="0"/>
        <w:spacing w:line="360" w:lineRule="auto"/>
        <w:ind w:left="840" w:firstLine="2520" w:firstLineChars="1200"/>
        <w:rPr>
          <w:color w:val="000000" w:themeColor="text1"/>
          <w14:textFill>
            <w14:solidFill>
              <w14:schemeClr w14:val="tx1"/>
            </w14:solidFill>
          </w14:textFill>
        </w:rPr>
      </w:pPr>
      <w:r>
        <w:rPr>
          <w:rFonts w:hint="eastAsia" w:ascii="宋体" w:hAnsi="宋体" w:cstheme="minorEastAsia"/>
          <w:color w:val="000000" w:themeColor="text1"/>
          <w:kern w:val="0"/>
          <w:szCs w:val="21"/>
          <w14:textFill>
            <w14:solidFill>
              <w14:schemeClr w14:val="tx1"/>
            </w14:solidFill>
          </w14:textFill>
        </w:rPr>
        <w:t xml:space="preserve">1—开挖， </w:t>
      </w:r>
      <w:r>
        <w:rPr>
          <w:rFonts w:hint="eastAsia"/>
          <w:color w:val="000000" w:themeColor="text1"/>
          <w14:textFill>
            <w14:solidFill>
              <w14:schemeClr w14:val="tx1"/>
            </w14:solidFill>
          </w14:textFill>
        </w:rPr>
        <w:t>2—封底；</w:t>
      </w:r>
    </w:p>
    <w:p>
      <w:pPr>
        <w:pStyle w:val="22"/>
        <w:numPr>
          <w:ilvl w:val="255"/>
          <w:numId w:val="0"/>
        </w:numPr>
        <w:snapToGrid w:val="0"/>
        <w:spacing w:line="360" w:lineRule="auto"/>
        <w:ind w:left="840"/>
        <w:jc w:val="center"/>
        <w:rPr>
          <w:color w:val="000000" w:themeColor="text1"/>
          <w14:textFill>
            <w14:solidFill>
              <w14:schemeClr w14:val="tx1"/>
            </w14:solidFill>
          </w14:textFill>
        </w:rPr>
      </w:pPr>
      <w:r>
        <w:rPr>
          <w:color w:val="000000" w:themeColor="text1"/>
          <w14:textFill>
            <w14:solidFill>
              <w14:schemeClr w14:val="tx1"/>
            </w14:solidFill>
          </w14:textFill>
        </w:rPr>
        <w:t>I</w:t>
      </w:r>
      <w:r>
        <w:rPr>
          <w:rFonts w:hint="eastAsia"/>
          <w:color w:val="000000" w:themeColor="text1"/>
          <w14:textFill>
            <w14:solidFill>
              <w14:schemeClr w14:val="tx1"/>
            </w14:solidFill>
          </w14:textFill>
        </w:rPr>
        <w:t>—初期支护，</w:t>
      </w:r>
      <w:r>
        <w:rPr>
          <w:color w:val="000000" w:themeColor="text1"/>
          <w14:textFill>
            <w14:solidFill>
              <w14:schemeClr w14:val="tx1"/>
            </w14:solidFill>
          </w14:textFill>
        </w:rPr>
        <w:t>II</w:t>
      </w:r>
      <w:r>
        <w:rPr>
          <w:rFonts w:hint="eastAsia"/>
          <w:color w:val="000000" w:themeColor="text1"/>
          <w14:textFill>
            <w14:solidFill>
              <w14:schemeClr w14:val="tx1"/>
            </w14:solidFill>
          </w14:textFill>
        </w:rPr>
        <w:t>—底板混凝土，</w:t>
      </w:r>
      <w:r>
        <w:rPr>
          <w:color w:val="000000" w:themeColor="text1"/>
          <w14:textFill>
            <w14:solidFill>
              <w14:schemeClr w14:val="tx1"/>
            </w14:solidFill>
          </w14:textFill>
        </w:rPr>
        <w:t>Ⅲ</w:t>
      </w:r>
      <w:r>
        <w:rPr>
          <w:rFonts w:hint="eastAsia"/>
          <w:color w:val="000000" w:themeColor="text1"/>
          <w14:textFill>
            <w14:solidFill>
              <w14:schemeClr w14:val="tx1"/>
            </w14:solidFill>
          </w14:textFill>
        </w:rPr>
        <w:t>—拱墙混凝土；</w:t>
      </w:r>
    </w:p>
    <w:p>
      <w:pPr>
        <w:pStyle w:val="22"/>
        <w:snapToGrid w:val="0"/>
        <w:spacing w:line="360" w:lineRule="auto"/>
        <w:ind w:left="1140" w:firstLine="1050" w:firstLineChars="500"/>
        <w:jc w:val="left"/>
        <w:rPr>
          <w:rFonts w:ascii="宋体" w:hAnsi="宋体" w:cstheme="minorEastAsia"/>
          <w:color w:val="000000" w:themeColor="text1"/>
          <w:kern w:val="0"/>
          <w:szCs w:val="21"/>
          <w14:textFill>
            <w14:solidFill>
              <w14:schemeClr w14:val="tx1"/>
            </w14:solidFill>
          </w14:textFill>
        </w:rPr>
      </w:pPr>
      <w:r>
        <w:rPr>
          <w:rFonts w:hint="eastAsia" w:ascii="宋体" w:hAnsi="宋体" w:cstheme="minorEastAsia"/>
          <w:color w:val="000000" w:themeColor="text1"/>
          <w:kern w:val="0"/>
          <w:szCs w:val="21"/>
          <w14:textFill>
            <w14:solidFill>
              <w14:schemeClr w14:val="tx1"/>
            </w14:solidFill>
          </w14:textFill>
        </w:rPr>
        <w:t>图</w:t>
      </w:r>
      <w:r>
        <w:rPr>
          <w:rFonts w:hint="eastAsia" w:hAnsi="宋体"/>
          <w:b/>
          <w:bCs/>
          <w:color w:val="000000" w:themeColor="text1"/>
          <w:szCs w:val="21"/>
          <w14:textFill>
            <w14:solidFill>
              <w14:schemeClr w14:val="tx1"/>
            </w14:solidFill>
          </w14:textFill>
        </w:rPr>
        <w:t xml:space="preserve">11.2.1 </w:t>
      </w:r>
      <w:r>
        <w:rPr>
          <w:rFonts w:hint="eastAsia" w:ascii="宋体" w:hAnsi="宋体" w:cstheme="minorEastAsia"/>
          <w:color w:val="000000" w:themeColor="text1"/>
          <w:kern w:val="0"/>
          <w:szCs w:val="21"/>
          <w14:textFill>
            <w14:solidFill>
              <w14:schemeClr w14:val="tx1"/>
            </w14:solidFill>
          </w14:textFill>
        </w:rPr>
        <w:t xml:space="preserve"> 全断面法施工工序示意图</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11.2.2 </w:t>
      </w:r>
      <w:r>
        <w:rPr>
          <w:rFonts w:hint="eastAsia" w:hAnsi="宋体" w:cstheme="minorEastAsia"/>
          <w:color w:val="000000" w:themeColor="text1"/>
          <w:szCs w:val="21"/>
          <w14:textFill>
            <w14:solidFill>
              <w14:schemeClr w14:val="tx1"/>
            </w14:solidFill>
          </w14:textFill>
        </w:rPr>
        <w:t>台阶法开挖应符合下列规定：</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1</w:t>
      </w:r>
      <w:r>
        <w:rPr>
          <w:rFonts w:hAnsi="宋体" w:cstheme="minorEastAsia"/>
          <w:color w:val="000000" w:themeColor="text1"/>
          <w:sz w:val="21"/>
          <w:szCs w:val="21"/>
          <w14:textFill>
            <w14:solidFill>
              <w14:schemeClr w14:val="tx1"/>
            </w14:solidFill>
          </w14:textFill>
        </w:rPr>
        <w:t xml:space="preserve"> </w:t>
      </w:r>
      <w:r>
        <w:rPr>
          <w:rFonts w:hint="eastAsia" w:hAnsi="宋体" w:cstheme="minorEastAsia"/>
          <w:color w:val="000000" w:themeColor="text1"/>
          <w:sz w:val="21"/>
          <w:szCs w:val="21"/>
          <w14:textFill>
            <w14:solidFill>
              <w14:schemeClr w14:val="tx1"/>
            </w14:solidFill>
          </w14:textFill>
        </w:rPr>
        <w:t>台阶法适用于围岩等级为Ⅲ、Ⅳ、V级的区间隧道；</w:t>
      </w:r>
    </w:p>
    <w:p>
      <w:pPr>
        <w:pStyle w:val="21"/>
        <w:snapToGrid w:val="0"/>
        <w:spacing w:line="360" w:lineRule="auto"/>
        <w:ind w:firstLine="361" w:firstLineChars="171"/>
        <w:jc w:val="both"/>
        <w:rPr>
          <w:rFonts w:hAnsi="宋体" w:cstheme="minorEastAsia"/>
          <w:color w:val="000000" w:themeColor="text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2</w:t>
      </w:r>
      <w:r>
        <w:rPr>
          <w:rFonts w:hAnsi="宋体" w:cstheme="minorEastAsia"/>
          <w:color w:val="000000" w:themeColor="text1"/>
          <w:sz w:val="21"/>
          <w:szCs w:val="21"/>
          <w14:textFill>
            <w14:solidFill>
              <w14:schemeClr w14:val="tx1"/>
            </w14:solidFill>
          </w14:textFill>
        </w:rPr>
        <w:t xml:space="preserve"> </w:t>
      </w:r>
      <w:r>
        <w:rPr>
          <w:rFonts w:hint="eastAsia" w:hAnsi="宋体" w:cstheme="minorEastAsia"/>
          <w:color w:val="000000" w:themeColor="text1"/>
          <w:sz w:val="21"/>
          <w:szCs w:val="21"/>
          <w14:textFill>
            <w14:solidFill>
              <w14:schemeClr w14:val="tx1"/>
            </w14:solidFill>
          </w14:textFill>
        </w:rPr>
        <w:t>围岩等级为</w:t>
      </w:r>
      <w:r>
        <w:rPr>
          <w:rFonts w:hAnsi="宋体" w:cstheme="minorEastAsia"/>
          <w:color w:val="000000" w:themeColor="text1"/>
          <w:sz w:val="21"/>
          <w:szCs w:val="21"/>
          <w14:textFill>
            <w14:solidFill>
              <w14:schemeClr w14:val="tx1"/>
            </w14:solidFill>
          </w14:textFill>
        </w:rPr>
        <w:t>IV</w:t>
      </w:r>
      <w:r>
        <w:rPr>
          <w:rFonts w:hint="eastAsia" w:hAnsi="宋体" w:cstheme="minorEastAsia"/>
          <w:color w:val="000000" w:themeColor="text1"/>
          <w:sz w:val="21"/>
          <w:szCs w:val="21"/>
          <w14:textFill>
            <w14:solidFill>
              <w14:schemeClr w14:val="tx1"/>
            </w14:solidFill>
          </w14:textFill>
        </w:rPr>
        <w:t>、</w:t>
      </w:r>
      <w:r>
        <w:rPr>
          <w:rFonts w:hAnsi="宋体" w:cstheme="minorEastAsia"/>
          <w:color w:val="000000" w:themeColor="text1"/>
          <w:sz w:val="21"/>
          <w:szCs w:val="21"/>
          <w14:textFill>
            <w14:solidFill>
              <w14:schemeClr w14:val="tx1"/>
            </w14:solidFill>
          </w14:textFill>
        </w:rPr>
        <w:t>V</w:t>
      </w:r>
      <w:r>
        <w:rPr>
          <w:rFonts w:hint="eastAsia" w:hAnsi="宋体" w:cstheme="minorEastAsia"/>
          <w:color w:val="000000" w:themeColor="text1"/>
          <w:sz w:val="21"/>
          <w:szCs w:val="21"/>
          <w14:textFill>
            <w14:solidFill>
              <w14:schemeClr w14:val="tx1"/>
            </w14:solidFill>
          </w14:textFill>
        </w:rPr>
        <w:t>级的区间隧道开挖前应采取超前预支护和围岩加固措施稳定工作面；</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3</w:t>
      </w:r>
      <w:r>
        <w:rPr>
          <w:rFonts w:hAnsi="宋体" w:cstheme="minorEastAsia"/>
          <w:color w:val="000000" w:themeColor="text1"/>
          <w:sz w:val="21"/>
          <w:szCs w:val="21"/>
          <w14:textFill>
            <w14:solidFill>
              <w14:schemeClr w14:val="tx1"/>
            </w14:solidFill>
          </w14:textFill>
        </w:rPr>
        <w:t xml:space="preserve"> </w:t>
      </w:r>
      <w:r>
        <w:rPr>
          <w:rFonts w:hint="eastAsia" w:hAnsi="宋体" w:cstheme="minorEastAsia"/>
          <w:color w:val="000000" w:themeColor="text1"/>
          <w:sz w:val="21"/>
          <w:szCs w:val="21"/>
          <w14:textFill>
            <w14:solidFill>
              <w14:schemeClr w14:val="tx1"/>
            </w14:solidFill>
          </w14:textFill>
        </w:rPr>
        <w:t>台阶长度和高度应根据围岩条件合理确定，台阶长度不应大于1倍隧道开挖宽度，上台阶的底部宜设置在起拱线及以下位置；</w:t>
      </w:r>
    </w:p>
    <w:p>
      <w:pPr>
        <w:pStyle w:val="21"/>
        <w:snapToGrid w:val="0"/>
        <w:spacing w:line="360" w:lineRule="auto"/>
        <w:ind w:left="719" w:leftChars="171" w:hanging="36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4 </w:t>
      </w:r>
      <w:r>
        <w:rPr>
          <w:rFonts w:hint="eastAsia" w:hAnsi="宋体" w:cstheme="minorEastAsia"/>
          <w:color w:val="000000" w:themeColor="text1"/>
          <w:sz w:val="21"/>
          <w:szCs w:val="21"/>
          <w14:textFill>
            <w14:solidFill>
              <w14:schemeClr w14:val="tx1"/>
            </w14:solidFill>
          </w14:textFill>
        </w:rPr>
        <w:t>台阶形成后，各台阶开挖、支护应平行作业；</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5 </w:t>
      </w:r>
      <w:r>
        <w:rPr>
          <w:rFonts w:hint="eastAsia" w:hAnsi="宋体" w:cstheme="minorEastAsia"/>
          <w:color w:val="000000" w:themeColor="text1"/>
          <w:sz w:val="21"/>
          <w:szCs w:val="21"/>
          <w14:textFill>
            <w14:solidFill>
              <w14:schemeClr w14:val="tx1"/>
            </w14:solidFill>
          </w14:textFill>
        </w:rPr>
        <w:t>上台阶格栅钢架安装宜采用扩大拱脚、增加垫板和施作锁脚锚杆等防拱顶下沉措施；</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6 </w:t>
      </w:r>
      <w:r>
        <w:rPr>
          <w:rFonts w:hint="eastAsia" w:hAnsi="宋体" w:cstheme="minorEastAsia"/>
          <w:color w:val="000000" w:themeColor="text1"/>
          <w:sz w:val="21"/>
          <w:szCs w:val="21"/>
          <w14:textFill>
            <w14:solidFill>
              <w14:schemeClr w14:val="tx1"/>
            </w14:solidFill>
          </w14:textFill>
        </w:rPr>
        <w:t>土方开挖不应超挖，每循环进尺应为格栅钢架设计间距；</w:t>
      </w:r>
    </w:p>
    <w:p>
      <w:pPr>
        <w:tabs>
          <w:tab w:val="left" w:pos="851"/>
          <w:tab w:val="left" w:pos="5835"/>
        </w:tabs>
        <w:snapToGrid w:val="0"/>
        <w:spacing w:line="360" w:lineRule="auto"/>
        <w:ind w:firstLine="422" w:firstLineChars="200"/>
        <w:jc w:val="left"/>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 </w:t>
      </w:r>
      <w:r>
        <w:rPr>
          <w:rFonts w:hint="eastAsia"/>
          <w:color w:val="000000" w:themeColor="text1"/>
          <w14:textFill>
            <w14:solidFill>
              <w14:schemeClr w14:val="tx1"/>
            </w14:solidFill>
          </w14:textFill>
        </w:rPr>
        <w:t>工作面应</w:t>
      </w:r>
      <w:r>
        <w:rPr>
          <w:color w:val="000000" w:themeColor="text1"/>
          <w14:textFill>
            <w14:solidFill>
              <w14:schemeClr w14:val="tx1"/>
            </w14:solidFill>
          </w14:textFill>
        </w:rPr>
        <w:t>预留核心土</w:t>
      </w:r>
      <w:r>
        <w:rPr>
          <w:rFonts w:hint="eastAsia"/>
          <w:color w:val="000000" w:themeColor="text1"/>
          <w14:textFill>
            <w14:solidFill>
              <w14:schemeClr w14:val="tx1"/>
            </w14:solidFill>
          </w14:textFill>
        </w:rPr>
        <w:t>和</w:t>
      </w:r>
      <w:r>
        <w:rPr>
          <w:color w:val="000000" w:themeColor="text1"/>
          <w14:textFill>
            <w14:solidFill>
              <w14:schemeClr w14:val="tx1"/>
            </w14:solidFill>
          </w14:textFill>
        </w:rPr>
        <w:t>减压槽；核心土顶面距拱顶高度不</w:t>
      </w:r>
      <w:r>
        <w:rPr>
          <w:rFonts w:hint="eastAsia"/>
          <w:color w:val="000000" w:themeColor="text1"/>
          <w14:textFill>
            <w14:solidFill>
              <w14:schemeClr w14:val="tx1"/>
            </w14:solidFill>
          </w14:textFill>
        </w:rPr>
        <w:t>宜</w:t>
      </w:r>
      <w:r>
        <w:rPr>
          <w:color w:val="000000" w:themeColor="text1"/>
          <w14:textFill>
            <w14:solidFill>
              <w14:schemeClr w14:val="tx1"/>
            </w14:solidFill>
          </w14:textFill>
        </w:rPr>
        <w:t>小于 1.6m，两侧</w:t>
      </w:r>
      <w:r>
        <w:rPr>
          <w:rFonts w:hint="eastAsia"/>
          <w:color w:val="000000" w:themeColor="text1"/>
          <w14:textFill>
            <w14:solidFill>
              <w14:schemeClr w14:val="tx1"/>
            </w14:solidFill>
          </w14:textFill>
        </w:rPr>
        <w:t>工作</w:t>
      </w:r>
      <w:r>
        <w:rPr>
          <w:color w:val="000000" w:themeColor="text1"/>
          <w14:textFill>
            <w14:solidFill>
              <w14:schemeClr w14:val="tx1"/>
            </w14:solidFill>
          </w14:textFill>
        </w:rPr>
        <w:t>宽</w:t>
      </w:r>
      <w:r>
        <w:rPr>
          <w:rFonts w:hint="eastAsia"/>
          <w:color w:val="000000" w:themeColor="text1"/>
          <w14:textFill>
            <w14:solidFill>
              <w14:schemeClr w14:val="tx1"/>
            </w14:solidFill>
          </w14:textFill>
        </w:rPr>
        <w:t>度宜为</w:t>
      </w:r>
      <w:r>
        <w:rPr>
          <w:color w:val="000000" w:themeColor="text1"/>
          <w14:textFill>
            <w14:solidFill>
              <w14:schemeClr w14:val="tx1"/>
            </w14:solidFill>
          </w14:textFill>
        </w:rPr>
        <w:t>0.6～0.9m</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台阶较高</w:t>
      </w:r>
      <w:r>
        <w:rPr>
          <w:rFonts w:hint="eastAsia"/>
          <w:color w:val="000000" w:themeColor="text1"/>
          <w14:textFill>
            <w14:solidFill>
              <w14:schemeClr w14:val="tx1"/>
            </w14:solidFill>
          </w14:textFill>
        </w:rPr>
        <w:t>时，应根据地质条件合理</w:t>
      </w:r>
      <w:r>
        <w:rPr>
          <w:color w:val="000000" w:themeColor="text1"/>
          <w14:textFill>
            <w14:solidFill>
              <w14:schemeClr w14:val="tx1"/>
            </w14:solidFill>
          </w14:textFill>
        </w:rPr>
        <w:t>放坡。</w:t>
      </w:r>
    </w:p>
    <w:p>
      <w:pPr>
        <w:tabs>
          <w:tab w:val="left" w:pos="851"/>
          <w:tab w:val="left" w:pos="5835"/>
        </w:tabs>
        <w:snapToGrid w:val="0"/>
        <w:spacing w:line="360" w:lineRule="auto"/>
        <w:jc w:val="left"/>
        <w:rPr>
          <w:rFonts w:ascii="宋体" w:hAnsi="宋体" w:cstheme="minorEastAsia"/>
          <w:color w:val="000000" w:themeColor="text1"/>
          <w:kern w:val="0"/>
          <w:szCs w:val="2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67456" behindDoc="1" locked="0" layoutInCell="1" allowOverlap="1">
            <wp:simplePos x="0" y="0"/>
            <wp:positionH relativeFrom="column">
              <wp:posOffset>2583180</wp:posOffset>
            </wp:positionH>
            <wp:positionV relativeFrom="paragraph">
              <wp:posOffset>34290</wp:posOffset>
            </wp:positionV>
            <wp:extent cx="2225675" cy="1632585"/>
            <wp:effectExtent l="0" t="0" r="9525" b="5715"/>
            <wp:wrapNone/>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2225675" cy="1632585"/>
                    </a:xfrm>
                    <a:prstGeom prst="rect">
                      <a:avLst/>
                    </a:prstGeom>
                    <a:noFill/>
                    <a:ln>
                      <a:noFill/>
                    </a:ln>
                  </pic:spPr>
                </pic:pic>
              </a:graphicData>
            </a:graphic>
          </wp:anchor>
        </w:drawing>
      </w:r>
      <w:r>
        <w:rPr>
          <w:color w:val="000000" w:themeColor="text1"/>
          <w14:textFill>
            <w14:solidFill>
              <w14:schemeClr w14:val="tx1"/>
            </w14:solidFill>
          </w14:textFill>
        </w:rPr>
        <w:drawing>
          <wp:anchor distT="0" distB="0" distL="114300" distR="114300" simplePos="0" relativeHeight="251666432" behindDoc="1" locked="0" layoutInCell="1" allowOverlap="1">
            <wp:simplePos x="0" y="0"/>
            <wp:positionH relativeFrom="column">
              <wp:posOffset>166370</wp:posOffset>
            </wp:positionH>
            <wp:positionV relativeFrom="paragraph">
              <wp:posOffset>24130</wp:posOffset>
            </wp:positionV>
            <wp:extent cx="2203450" cy="1758950"/>
            <wp:effectExtent l="0" t="0" r="6350" b="635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2203450" cy="1758950"/>
                    </a:xfrm>
                    <a:prstGeom prst="rect">
                      <a:avLst/>
                    </a:prstGeom>
                    <a:noFill/>
                    <a:ln>
                      <a:noFill/>
                    </a:ln>
                  </pic:spPr>
                </pic:pic>
              </a:graphicData>
            </a:graphic>
          </wp:anchor>
        </w:drawing>
      </w:r>
    </w:p>
    <w:p>
      <w:pPr>
        <w:tabs>
          <w:tab w:val="left" w:pos="851"/>
          <w:tab w:val="left" w:pos="5835"/>
        </w:tabs>
        <w:snapToGrid w:val="0"/>
        <w:spacing w:line="360" w:lineRule="auto"/>
        <w:jc w:val="left"/>
        <w:rPr>
          <w:rFonts w:ascii="宋体" w:hAnsi="宋体" w:cstheme="minorEastAsia"/>
          <w:color w:val="000000" w:themeColor="text1"/>
          <w:kern w:val="0"/>
          <w:szCs w:val="21"/>
          <w14:textFill>
            <w14:solidFill>
              <w14:schemeClr w14:val="tx1"/>
            </w14:solidFill>
          </w14:textFill>
        </w:rPr>
      </w:pPr>
    </w:p>
    <w:p>
      <w:pPr>
        <w:tabs>
          <w:tab w:val="left" w:pos="851"/>
          <w:tab w:val="left" w:pos="5835"/>
        </w:tabs>
        <w:snapToGrid w:val="0"/>
        <w:spacing w:line="360" w:lineRule="auto"/>
        <w:jc w:val="left"/>
        <w:rPr>
          <w:rFonts w:ascii="宋体" w:hAnsi="宋体" w:cstheme="minorEastAsia"/>
          <w:color w:val="000000" w:themeColor="text1"/>
          <w:kern w:val="0"/>
          <w:szCs w:val="21"/>
          <w14:textFill>
            <w14:solidFill>
              <w14:schemeClr w14:val="tx1"/>
            </w14:solidFill>
          </w14:textFill>
        </w:rPr>
      </w:pPr>
    </w:p>
    <w:p>
      <w:pPr>
        <w:tabs>
          <w:tab w:val="left" w:pos="851"/>
          <w:tab w:val="left" w:pos="5835"/>
        </w:tabs>
        <w:snapToGrid w:val="0"/>
        <w:spacing w:line="360" w:lineRule="auto"/>
        <w:jc w:val="left"/>
        <w:rPr>
          <w:rFonts w:ascii="宋体" w:hAnsi="宋体" w:cstheme="minorEastAsia"/>
          <w:color w:val="000000" w:themeColor="text1"/>
          <w:kern w:val="0"/>
          <w:szCs w:val="21"/>
          <w14:textFill>
            <w14:solidFill>
              <w14:schemeClr w14:val="tx1"/>
            </w14:solidFill>
          </w14:textFill>
        </w:rPr>
      </w:pPr>
    </w:p>
    <w:p>
      <w:pPr>
        <w:tabs>
          <w:tab w:val="left" w:pos="851"/>
          <w:tab w:val="left" w:pos="5835"/>
        </w:tabs>
        <w:snapToGrid w:val="0"/>
        <w:spacing w:line="360" w:lineRule="auto"/>
        <w:jc w:val="left"/>
        <w:rPr>
          <w:rFonts w:ascii="宋体" w:hAnsi="宋体" w:cstheme="minorEastAsia"/>
          <w:color w:val="000000" w:themeColor="text1"/>
          <w:kern w:val="0"/>
          <w:szCs w:val="21"/>
          <w14:textFill>
            <w14:solidFill>
              <w14:schemeClr w14:val="tx1"/>
            </w14:solidFill>
          </w14:textFill>
        </w:rPr>
      </w:pPr>
    </w:p>
    <w:p>
      <w:pPr>
        <w:tabs>
          <w:tab w:val="left" w:pos="851"/>
          <w:tab w:val="left" w:pos="5835"/>
        </w:tabs>
        <w:snapToGrid w:val="0"/>
        <w:spacing w:line="360" w:lineRule="auto"/>
        <w:ind w:firstLine="1260" w:firstLineChars="600"/>
        <w:jc w:val="left"/>
        <w:rPr>
          <w:rFonts w:ascii="宋体" w:hAnsi="宋体" w:cstheme="minorEastAsia"/>
          <w:color w:val="000000" w:themeColor="text1"/>
          <w:kern w:val="0"/>
          <w:szCs w:val="21"/>
          <w14:textFill>
            <w14:solidFill>
              <w14:schemeClr w14:val="tx1"/>
            </w14:solidFill>
          </w14:textFill>
        </w:rPr>
      </w:pPr>
    </w:p>
    <w:p>
      <w:pPr>
        <w:tabs>
          <w:tab w:val="left" w:pos="851"/>
          <w:tab w:val="left" w:pos="5835"/>
        </w:tabs>
        <w:snapToGrid w:val="0"/>
        <w:spacing w:line="360" w:lineRule="auto"/>
        <w:ind w:firstLine="1260" w:firstLineChars="600"/>
        <w:jc w:val="left"/>
        <w:rPr>
          <w:rFonts w:ascii="宋体" w:hAnsi="宋体" w:cstheme="minorEastAsia"/>
          <w:color w:val="000000" w:themeColor="text1"/>
          <w:kern w:val="0"/>
          <w:szCs w:val="21"/>
          <w14:textFill>
            <w14:solidFill>
              <w14:schemeClr w14:val="tx1"/>
            </w14:solidFill>
          </w14:textFill>
        </w:rPr>
      </w:pPr>
    </w:p>
    <w:p>
      <w:pPr>
        <w:tabs>
          <w:tab w:val="left" w:pos="851"/>
          <w:tab w:val="left" w:pos="5835"/>
        </w:tabs>
        <w:snapToGrid w:val="0"/>
        <w:spacing w:line="360" w:lineRule="auto"/>
        <w:ind w:firstLine="1260" w:firstLineChars="600"/>
        <w:jc w:val="left"/>
        <w:rPr>
          <w:rFonts w:ascii="宋体" w:hAnsi="宋体" w:cstheme="minorEastAsia"/>
          <w:color w:val="000000" w:themeColor="text1"/>
          <w:kern w:val="0"/>
          <w:szCs w:val="21"/>
          <w14:textFill>
            <w14:solidFill>
              <w14:schemeClr w14:val="tx1"/>
            </w14:solidFill>
          </w14:textFill>
        </w:rPr>
      </w:pPr>
    </w:p>
    <w:p>
      <w:pPr>
        <w:tabs>
          <w:tab w:val="left" w:pos="851"/>
          <w:tab w:val="left" w:pos="5835"/>
        </w:tabs>
        <w:snapToGrid w:val="0"/>
        <w:spacing w:line="360" w:lineRule="auto"/>
        <w:ind w:firstLine="1260" w:firstLineChars="600"/>
        <w:jc w:val="left"/>
        <w:rPr>
          <w:rFonts w:ascii="宋体" w:hAnsi="宋体" w:cstheme="minorEastAsia"/>
          <w:color w:val="000000" w:themeColor="text1"/>
          <w:kern w:val="0"/>
          <w:szCs w:val="21"/>
          <w14:textFill>
            <w14:solidFill>
              <w14:schemeClr w14:val="tx1"/>
            </w14:solidFill>
          </w14:textFill>
        </w:rPr>
      </w:pPr>
      <w:r>
        <w:rPr>
          <w:rFonts w:hint="eastAsia" w:ascii="宋体" w:hAnsi="宋体" w:cstheme="minorEastAsia"/>
          <w:color w:val="000000" w:themeColor="text1"/>
          <w:kern w:val="0"/>
          <w:szCs w:val="21"/>
          <w14:textFill>
            <w14:solidFill>
              <w14:schemeClr w14:val="tx1"/>
            </w14:solidFill>
          </w14:textFill>
        </w:rPr>
        <w:t xml:space="preserve">台阶法横断面施工示意图 </w:t>
      </w:r>
      <w:r>
        <w:rPr>
          <w:rFonts w:ascii="宋体" w:hAnsi="宋体" w:cstheme="minorEastAsia"/>
          <w:color w:val="000000" w:themeColor="text1"/>
          <w:kern w:val="0"/>
          <w:szCs w:val="21"/>
          <w14:textFill>
            <w14:solidFill>
              <w14:schemeClr w14:val="tx1"/>
            </w14:solidFill>
          </w14:textFill>
        </w:rPr>
        <w:t xml:space="preserve">      </w:t>
      </w:r>
      <w:r>
        <w:rPr>
          <w:rFonts w:hint="eastAsia" w:ascii="宋体" w:hAnsi="宋体" w:cstheme="minorEastAsia"/>
          <w:color w:val="000000" w:themeColor="text1"/>
          <w:kern w:val="0"/>
          <w:szCs w:val="21"/>
          <w14:textFill>
            <w14:solidFill>
              <w14:schemeClr w14:val="tx1"/>
            </w14:solidFill>
          </w14:textFill>
        </w:rPr>
        <w:t xml:space="preserve">台阶法纵剖面施工示意图 </w:t>
      </w:r>
      <w:r>
        <w:rPr>
          <w:rFonts w:ascii="宋体" w:hAnsi="宋体" w:cstheme="minorEastAsia"/>
          <w:color w:val="000000" w:themeColor="text1"/>
          <w:kern w:val="0"/>
          <w:szCs w:val="21"/>
          <w14:textFill>
            <w14:solidFill>
              <w14:schemeClr w14:val="tx1"/>
            </w14:solidFill>
          </w14:textFill>
        </w:rPr>
        <w:t xml:space="preserve">  </w:t>
      </w:r>
    </w:p>
    <w:p>
      <w:pPr>
        <w:tabs>
          <w:tab w:val="left" w:pos="851"/>
          <w:tab w:val="left" w:pos="5835"/>
        </w:tabs>
        <w:snapToGrid w:val="0"/>
        <w:spacing w:line="360" w:lineRule="auto"/>
        <w:ind w:firstLine="2730" w:firstLineChars="1300"/>
        <w:jc w:val="left"/>
        <w:rPr>
          <w:rFonts w:ascii="宋体" w:hAnsi="宋体" w:cstheme="minorEastAsia"/>
          <w:color w:val="000000" w:themeColor="text1"/>
          <w:kern w:val="0"/>
          <w:szCs w:val="21"/>
          <w14:textFill>
            <w14:solidFill>
              <w14:schemeClr w14:val="tx1"/>
            </w14:solidFill>
          </w14:textFill>
        </w:rPr>
      </w:pPr>
      <w:r>
        <w:rPr>
          <w:rFonts w:hint="eastAsia"/>
          <w:color w:val="000000" w:themeColor="text1"/>
          <w14:textFill>
            <w14:solidFill>
              <w14:schemeClr w14:val="tx1"/>
            </w14:solidFill>
          </w14:textFill>
        </w:rPr>
        <w:t>图</w:t>
      </w:r>
      <w:r>
        <w:rPr>
          <w:rFonts w:hint="eastAsia" w:hAnsi="宋体"/>
          <w:b/>
          <w:bCs/>
          <w:color w:val="000000" w:themeColor="text1"/>
          <w:szCs w:val="21"/>
          <w14:textFill>
            <w14:solidFill>
              <w14:schemeClr w14:val="tx1"/>
            </w14:solidFill>
          </w14:textFill>
        </w:rPr>
        <w:t>11.2.2</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台阶法施工工序示意图</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11.2.3</w:t>
      </w:r>
      <w:r>
        <w:rPr>
          <w:rFonts w:hint="eastAsia" w:hAnsi="宋体"/>
          <w:color w:val="000000" w:themeColor="text1"/>
          <w:szCs w:val="21"/>
          <w14:textFill>
            <w14:solidFill>
              <w14:schemeClr w14:val="tx1"/>
            </w14:solidFill>
          </w14:textFill>
        </w:rPr>
        <w:t xml:space="preserve"> </w:t>
      </w:r>
      <w:r>
        <w:rPr>
          <w:rFonts w:hint="eastAsia" w:hAnsi="宋体" w:cstheme="minorEastAsia"/>
          <w:color w:val="000000" w:themeColor="text1"/>
          <w:szCs w:val="21"/>
          <w14:textFill>
            <w14:solidFill>
              <w14:schemeClr w14:val="tx1"/>
            </w14:solidFill>
          </w14:textFill>
        </w:rPr>
        <w:t>中隔壁</w:t>
      </w:r>
      <w:r>
        <w:rPr>
          <w:rFonts w:hint="eastAsia" w:hAnsi="宋体"/>
          <w:color w:val="000000" w:themeColor="text1"/>
          <w:szCs w:val="21"/>
          <w14:textFill>
            <w14:solidFill>
              <w14:schemeClr w14:val="tx1"/>
            </w14:solidFill>
          </w14:textFill>
        </w:rPr>
        <w:t>（C</w:t>
      </w:r>
      <w:r>
        <w:rPr>
          <w:rFonts w:hAnsi="宋体"/>
          <w:color w:val="000000" w:themeColor="text1"/>
          <w:szCs w:val="21"/>
          <w14:textFill>
            <w14:solidFill>
              <w14:schemeClr w14:val="tx1"/>
            </w14:solidFill>
          </w14:textFill>
        </w:rPr>
        <w:t>D</w:t>
      </w:r>
      <w:r>
        <w:rPr>
          <w:rFonts w:hint="eastAsia" w:hAnsi="宋体"/>
          <w:color w:val="000000" w:themeColor="text1"/>
          <w:szCs w:val="21"/>
          <w14:textFill>
            <w14:solidFill>
              <w14:schemeClr w14:val="tx1"/>
            </w14:solidFill>
          </w14:textFill>
        </w:rPr>
        <w:t>）</w:t>
      </w:r>
      <w:r>
        <w:rPr>
          <w:rFonts w:hint="eastAsia" w:hAnsi="宋体" w:cstheme="minorEastAsia"/>
          <w:color w:val="000000" w:themeColor="text1"/>
          <w:szCs w:val="21"/>
          <w14:textFill>
            <w14:solidFill>
              <w14:schemeClr w14:val="tx1"/>
            </w14:solidFill>
          </w14:textFill>
        </w:rPr>
        <w:t>法开挖应符合下列规定：</w:t>
      </w:r>
    </w:p>
    <w:p>
      <w:pPr>
        <w:pStyle w:val="21"/>
        <w:snapToGrid w:val="0"/>
        <w:spacing w:line="360" w:lineRule="auto"/>
        <w:ind w:firstLine="422" w:firstLineChars="200"/>
        <w:jc w:val="both"/>
        <w:rPr>
          <w:rFonts w:ascii="Times New Roman" w:hAnsi="宋体" w:cs="Times New Roman"/>
          <w:b/>
          <w:bCs/>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 </w:t>
      </w:r>
      <w:r>
        <w:rPr>
          <w:rFonts w:hint="eastAsia" w:hAnsi="宋体" w:cstheme="minorEastAsia"/>
          <w:color w:val="000000" w:themeColor="text1"/>
          <w:sz w:val="21"/>
          <w:szCs w:val="21"/>
          <w14:textFill>
            <w14:solidFill>
              <w14:schemeClr w14:val="tx1"/>
            </w14:solidFill>
          </w14:textFill>
        </w:rPr>
        <w:t>中隔壁（CD）法适用于围岩等级为IV、V 级的浅埋隧道；</w:t>
      </w:r>
    </w:p>
    <w:p>
      <w:pPr>
        <w:pStyle w:val="21"/>
        <w:snapToGrid w:val="0"/>
        <w:spacing w:line="360" w:lineRule="auto"/>
        <w:ind w:firstLine="422" w:firstLineChars="200"/>
        <w:jc w:val="both"/>
        <w:rPr>
          <w:rFonts w:hAnsi="宋体" w:cstheme="minorEastAsia"/>
          <w:strike/>
          <w:color w:val="000000" w:themeColor="text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2 </w:t>
      </w:r>
      <w:r>
        <w:rPr>
          <w:rFonts w:hint="eastAsia" w:hAnsi="宋体" w:cstheme="minorEastAsia"/>
          <w:color w:val="000000" w:themeColor="text1"/>
          <w:sz w:val="21"/>
          <w:szCs w:val="21"/>
          <w14:textFill>
            <w14:solidFill>
              <w14:schemeClr w14:val="tx1"/>
            </w14:solidFill>
          </w14:textFill>
        </w:rPr>
        <w:t>中隔壁法开挖时，应沿一侧自上而下、分部、分层进行，完成后方可开挖中隔墙的另一侧；</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3 </w:t>
      </w:r>
      <w:r>
        <w:rPr>
          <w:rFonts w:hint="eastAsia" w:hAnsi="宋体" w:cstheme="minorEastAsia"/>
          <w:color w:val="000000" w:themeColor="text1"/>
          <w:sz w:val="21"/>
          <w:szCs w:val="21"/>
          <w14:textFill>
            <w14:solidFill>
              <w14:schemeClr w14:val="tx1"/>
            </w14:solidFill>
          </w14:textFill>
        </w:rPr>
        <w:t>各层导洞开挖轮廓应圆顺；</w:t>
      </w:r>
    </w:p>
    <w:p>
      <w:pPr>
        <w:pStyle w:val="21"/>
        <w:snapToGrid w:val="0"/>
        <w:spacing w:line="360" w:lineRule="auto"/>
        <w:ind w:firstLine="480" w:firstLineChars="200"/>
        <w:jc w:val="both"/>
        <w:rPr>
          <w:rFonts w:hAnsi="宋体" w:cstheme="minorEastAsia"/>
          <w:color w:val="000000" w:themeColor="text1"/>
          <w:sz w:val="21"/>
          <w:szCs w:val="2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68480" behindDoc="1" locked="0" layoutInCell="1" allowOverlap="1">
            <wp:simplePos x="0" y="0"/>
            <wp:positionH relativeFrom="column">
              <wp:posOffset>321945</wp:posOffset>
            </wp:positionH>
            <wp:positionV relativeFrom="paragraph">
              <wp:posOffset>205105</wp:posOffset>
            </wp:positionV>
            <wp:extent cx="4797425" cy="2919095"/>
            <wp:effectExtent l="0" t="0" r="3175" b="1905"/>
            <wp:wrapNone/>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4797425" cy="2919095"/>
                    </a:xfrm>
                    <a:prstGeom prst="rect">
                      <a:avLst/>
                    </a:prstGeom>
                    <a:noFill/>
                    <a:ln>
                      <a:noFill/>
                    </a:ln>
                  </pic:spPr>
                </pic:pic>
              </a:graphicData>
            </a:graphic>
          </wp:anchor>
        </w:drawing>
      </w:r>
      <w:r>
        <w:rPr>
          <w:rFonts w:hint="eastAsia" w:ascii="Times New Roman" w:hAnsi="宋体" w:cs="Times New Roman"/>
          <w:b/>
          <w:bCs/>
          <w:color w:val="000000" w:themeColor="text1"/>
          <w:kern w:val="2"/>
          <w:sz w:val="21"/>
          <w:szCs w:val="21"/>
          <w14:textFill>
            <w14:solidFill>
              <w14:schemeClr w14:val="tx1"/>
            </w14:solidFill>
          </w14:textFill>
        </w:rPr>
        <w:t xml:space="preserve">4 </w:t>
      </w:r>
      <w:r>
        <w:rPr>
          <w:rFonts w:hint="eastAsia" w:hAnsi="宋体" w:cstheme="minorEastAsia"/>
          <w:color w:val="000000" w:themeColor="text1"/>
          <w:sz w:val="21"/>
          <w:szCs w:val="21"/>
          <w14:textFill>
            <w14:solidFill>
              <w14:schemeClr w14:val="tx1"/>
            </w14:solidFill>
          </w14:textFill>
        </w:rPr>
        <w:t>导洞应用台阶法开挖，左右侧工作面错开距离宜为</w:t>
      </w:r>
      <w:r>
        <w:rPr>
          <w:rFonts w:hAnsi="宋体" w:cstheme="minorEastAsia"/>
          <w:color w:val="000000" w:themeColor="text1"/>
          <w:sz w:val="21"/>
          <w:szCs w:val="21"/>
          <w14:textFill>
            <w14:solidFill>
              <w14:schemeClr w14:val="tx1"/>
            </w14:solidFill>
          </w14:textFill>
        </w:rPr>
        <w:t>10</w:t>
      </w:r>
      <w:r>
        <w:rPr>
          <w:rFonts w:hint="eastAsia" w:hAnsi="宋体" w:cstheme="minorEastAsia"/>
          <w:color w:val="000000" w:themeColor="text1"/>
          <w:sz w:val="21"/>
          <w:szCs w:val="21"/>
          <w14:textFill>
            <w14:solidFill>
              <w14:schemeClr w14:val="tx1"/>
            </w14:solidFill>
          </w14:textFill>
        </w:rPr>
        <w:t>～</w:t>
      </w:r>
      <w:r>
        <w:rPr>
          <w:rFonts w:hAnsi="宋体" w:cstheme="minorEastAsia"/>
          <w:color w:val="000000" w:themeColor="text1"/>
          <w:sz w:val="21"/>
          <w:szCs w:val="21"/>
          <w14:textFill>
            <w14:solidFill>
              <w14:schemeClr w14:val="tx1"/>
            </w14:solidFill>
          </w14:textFill>
        </w:rPr>
        <w:t>15m</w:t>
      </w:r>
      <w:r>
        <w:rPr>
          <w:rFonts w:hint="eastAsia" w:hAnsi="宋体" w:cstheme="minorEastAsia"/>
          <w:color w:val="000000" w:themeColor="text1"/>
          <w:sz w:val="21"/>
          <w:szCs w:val="21"/>
          <w14:textFill>
            <w14:solidFill>
              <w14:schemeClr w14:val="tx1"/>
            </w14:solidFill>
          </w14:textFill>
        </w:rPr>
        <w:t>，上下台阶距离宜为</w:t>
      </w:r>
      <w:r>
        <w:rPr>
          <w:rFonts w:hAnsi="宋体" w:cstheme="minorEastAsia"/>
          <w:color w:val="000000" w:themeColor="text1"/>
          <w:sz w:val="21"/>
          <w:szCs w:val="21"/>
          <w14:textFill>
            <w14:solidFill>
              <w14:schemeClr w14:val="tx1"/>
            </w14:solidFill>
          </w14:textFill>
        </w:rPr>
        <w:t>3</w:t>
      </w:r>
      <w:r>
        <w:rPr>
          <w:rFonts w:hint="eastAsia" w:hAnsi="宋体" w:cstheme="minorEastAsia"/>
          <w:color w:val="000000" w:themeColor="text1"/>
          <w:sz w:val="21"/>
          <w:szCs w:val="21"/>
          <w14:textFill>
            <w14:solidFill>
              <w14:schemeClr w14:val="tx1"/>
            </w14:solidFill>
          </w14:textFill>
        </w:rPr>
        <w:t>～</w:t>
      </w:r>
      <w:r>
        <w:rPr>
          <w:rFonts w:hAnsi="宋体" w:cstheme="minorEastAsia"/>
          <w:color w:val="000000" w:themeColor="text1"/>
          <w:sz w:val="21"/>
          <w:szCs w:val="21"/>
          <w14:textFill>
            <w14:solidFill>
              <w14:schemeClr w14:val="tx1"/>
            </w14:solidFill>
          </w14:textFill>
        </w:rPr>
        <w:t>5m</w:t>
      </w:r>
      <w:r>
        <w:rPr>
          <w:rFonts w:hint="eastAsia" w:hAnsi="宋体" w:cstheme="minorEastAsia"/>
          <w:color w:val="000000" w:themeColor="text1"/>
          <w:sz w:val="21"/>
          <w:szCs w:val="21"/>
          <w14:textFill>
            <w14:solidFill>
              <w14:schemeClr w14:val="tx1"/>
            </w14:solidFill>
          </w14:textFill>
        </w:rPr>
        <w:t>。</w:t>
      </w:r>
    </w:p>
    <w:p>
      <w:pPr>
        <w:pStyle w:val="22"/>
        <w:tabs>
          <w:tab w:val="left" w:pos="851"/>
          <w:tab w:val="left" w:pos="5835"/>
        </w:tabs>
        <w:snapToGrid w:val="0"/>
        <w:spacing w:line="360" w:lineRule="auto"/>
        <w:ind w:left="825" w:firstLine="0" w:firstLineChars="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0" w:firstLineChars="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0" w:firstLineChars="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0" w:firstLineChars="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0" w:firstLineChars="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0" w:firstLineChars="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0" w:firstLineChars="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0" w:firstLineChars="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0" w:firstLineChars="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0" w:firstLineChars="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0" w:firstLineChars="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0" w:firstLineChars="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0" w:firstLineChars="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1890" w:firstLineChars="900"/>
        <w:jc w:val="left"/>
        <w:rPr>
          <w:rFonts w:ascii="宋体" w:hAnsi="宋体" w:cstheme="minorEastAsia"/>
          <w:color w:val="000000" w:themeColor="text1"/>
          <w:kern w:val="0"/>
          <w:szCs w:val="21"/>
          <w14:textFill>
            <w14:solidFill>
              <w14:schemeClr w14:val="tx1"/>
            </w14:solidFill>
          </w14:textFill>
        </w:rPr>
      </w:pPr>
      <w:r>
        <w:rPr>
          <w:rFonts w:hint="eastAsia"/>
          <w:color w:val="000000" w:themeColor="text1"/>
          <w14:textFill>
            <w14:solidFill>
              <w14:schemeClr w14:val="tx1"/>
            </w14:solidFill>
          </w14:textFill>
        </w:rPr>
        <w:t>图</w:t>
      </w:r>
      <w:r>
        <w:rPr>
          <w:rFonts w:hint="eastAsia" w:hAnsi="宋体"/>
          <w:b/>
          <w:bCs/>
          <w:color w:val="000000" w:themeColor="text1"/>
          <w:szCs w:val="21"/>
          <w14:textFill>
            <w14:solidFill>
              <w14:schemeClr w14:val="tx1"/>
            </w14:solidFill>
          </w14:textFill>
        </w:rPr>
        <w:t xml:space="preserve">11.2.3 </w:t>
      </w:r>
      <w:r>
        <w:rPr>
          <w:color w:val="000000" w:themeColor="text1"/>
          <w14:textFill>
            <w14:solidFill>
              <w14:schemeClr w14:val="tx1"/>
            </w14:solidFill>
          </w14:textFill>
        </w:rPr>
        <w:t xml:space="preserve"> </w:t>
      </w:r>
      <w:r>
        <w:rPr>
          <w:rFonts w:hint="eastAsia" w:ascii="宋体" w:hAnsi="宋体" w:cstheme="minorEastAsia"/>
          <w:color w:val="000000" w:themeColor="text1"/>
          <w:kern w:val="0"/>
          <w:szCs w:val="21"/>
          <w14:textFill>
            <w14:solidFill>
              <w14:schemeClr w14:val="tx1"/>
            </w14:solidFill>
          </w14:textFill>
        </w:rPr>
        <w:t>中隔壁法施工步序图</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11.2.4 </w:t>
      </w:r>
      <w:r>
        <w:rPr>
          <w:rFonts w:hint="eastAsia" w:hAnsi="宋体"/>
          <w:color w:val="000000" w:themeColor="text1"/>
          <w:szCs w:val="21"/>
          <w14:textFill>
            <w14:solidFill>
              <w14:schemeClr w14:val="tx1"/>
            </w14:solidFill>
          </w14:textFill>
        </w:rPr>
        <w:t>交叉中隔壁（C</w:t>
      </w:r>
      <w:r>
        <w:rPr>
          <w:rFonts w:hAnsi="宋体" w:cstheme="minorEastAsia"/>
          <w:color w:val="000000" w:themeColor="text1"/>
          <w:szCs w:val="21"/>
          <w14:textFill>
            <w14:solidFill>
              <w14:schemeClr w14:val="tx1"/>
            </w14:solidFill>
          </w14:textFill>
        </w:rPr>
        <w:t>R</w:t>
      </w:r>
      <w:r>
        <w:rPr>
          <w:rFonts w:hAnsi="宋体"/>
          <w:color w:val="000000" w:themeColor="text1"/>
          <w:szCs w:val="21"/>
          <w14:textFill>
            <w14:solidFill>
              <w14:schemeClr w14:val="tx1"/>
            </w14:solidFill>
          </w14:textFill>
        </w:rPr>
        <w:t>D</w:t>
      </w:r>
      <w:r>
        <w:rPr>
          <w:rFonts w:hint="eastAsia" w:hAnsi="宋体"/>
          <w:color w:val="000000" w:themeColor="text1"/>
          <w:szCs w:val="21"/>
          <w14:textFill>
            <w14:solidFill>
              <w14:schemeClr w14:val="tx1"/>
            </w14:solidFill>
          </w14:textFill>
        </w:rPr>
        <w:t>）法</w:t>
      </w:r>
      <w:r>
        <w:rPr>
          <w:rFonts w:hint="eastAsia" w:hAnsi="宋体" w:cstheme="minorEastAsia"/>
          <w:color w:val="000000" w:themeColor="text1"/>
          <w:szCs w:val="21"/>
          <w14:textFill>
            <w14:solidFill>
              <w14:schemeClr w14:val="tx1"/>
            </w14:solidFill>
          </w14:textFill>
        </w:rPr>
        <w:t>开挖应符合本规程第</w:t>
      </w:r>
      <w:r>
        <w:rPr>
          <w:rFonts w:hint="eastAsia" w:hAnsi="宋体"/>
          <w:b/>
          <w:bCs/>
          <w:color w:val="000000" w:themeColor="text1"/>
          <w:szCs w:val="21"/>
          <w14:textFill>
            <w14:solidFill>
              <w14:schemeClr w14:val="tx1"/>
            </w14:solidFill>
          </w14:textFill>
        </w:rPr>
        <w:t>11.2.3条</w:t>
      </w:r>
      <w:r>
        <w:rPr>
          <w:rFonts w:hint="eastAsia" w:hAnsi="宋体" w:cstheme="minorEastAsia"/>
          <w:color w:val="000000" w:themeColor="text1"/>
          <w:szCs w:val="21"/>
          <w14:textFill>
            <w14:solidFill>
              <w14:schemeClr w14:val="tx1"/>
            </w14:solidFill>
          </w14:textFill>
        </w:rPr>
        <w:t>的规定，并应符合下列规定：</w:t>
      </w:r>
    </w:p>
    <w:p>
      <w:pPr>
        <w:pStyle w:val="21"/>
        <w:snapToGrid w:val="0"/>
        <w:spacing w:line="360" w:lineRule="auto"/>
        <w:ind w:firstLine="422" w:firstLineChars="200"/>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 </w:t>
      </w:r>
      <w:r>
        <w:rPr>
          <w:rFonts w:hint="eastAsia" w:ascii="Times New Roman" w:hAnsi="宋体" w:cs="Times New Roman"/>
          <w:color w:val="000000" w:themeColor="text1"/>
          <w:kern w:val="2"/>
          <w:sz w:val="21"/>
          <w:szCs w:val="21"/>
          <w14:textFill>
            <w14:solidFill>
              <w14:schemeClr w14:val="tx1"/>
            </w14:solidFill>
          </w14:textFill>
        </w:rPr>
        <w:t>交叉中隔壁（CRD）法适用于围岩等级为IV～V 级的浅埋双线或多线隧道；</w:t>
      </w:r>
    </w:p>
    <w:p>
      <w:pPr>
        <w:pStyle w:val="21"/>
        <w:snapToGrid w:val="0"/>
        <w:spacing w:line="360" w:lineRule="auto"/>
        <w:ind w:firstLine="422" w:firstLineChars="200"/>
        <w:jc w:val="both"/>
        <w:rPr>
          <w:rFonts w:hAnsi="宋体" w:cstheme="minorEastAsia"/>
          <w:color w:val="000000" w:themeColor="text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2 </w:t>
      </w:r>
      <w:r>
        <w:rPr>
          <w:rFonts w:hint="eastAsia" w:hAnsi="宋体" w:cstheme="minorEastAsia"/>
          <w:color w:val="000000" w:themeColor="text1"/>
          <w:sz w:val="21"/>
          <w:szCs w:val="21"/>
          <w14:textFill>
            <w14:solidFill>
              <w14:schemeClr w14:val="tx1"/>
            </w14:solidFill>
          </w14:textFill>
        </w:rPr>
        <w:t>各导洞开挖应自上而下，交叉进行；</w:t>
      </w:r>
    </w:p>
    <w:p>
      <w:pPr>
        <w:pStyle w:val="21"/>
        <w:snapToGrid w:val="0"/>
        <w:spacing w:line="360" w:lineRule="auto"/>
        <w:ind w:firstLine="480" w:firstLineChars="200"/>
        <w:jc w:val="both"/>
        <w:rPr>
          <w:rFonts w:hAnsi="宋体" w:cstheme="minorEastAsia"/>
          <w:color w:val="000000" w:themeColor="text1"/>
          <w:sz w:val="21"/>
          <w:szCs w:val="2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69504" behindDoc="1" locked="0" layoutInCell="1" allowOverlap="1">
            <wp:simplePos x="0" y="0"/>
            <wp:positionH relativeFrom="column">
              <wp:posOffset>330835</wp:posOffset>
            </wp:positionH>
            <wp:positionV relativeFrom="paragraph">
              <wp:posOffset>178435</wp:posOffset>
            </wp:positionV>
            <wp:extent cx="4726305" cy="2978785"/>
            <wp:effectExtent l="0" t="0" r="10795" b="5715"/>
            <wp:wrapNone/>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a:xfrm>
                      <a:off x="0" y="0"/>
                      <a:ext cx="4726305" cy="2978785"/>
                    </a:xfrm>
                    <a:prstGeom prst="rect">
                      <a:avLst/>
                    </a:prstGeom>
                    <a:noFill/>
                    <a:ln>
                      <a:noFill/>
                    </a:ln>
                  </pic:spPr>
                </pic:pic>
              </a:graphicData>
            </a:graphic>
          </wp:anchor>
        </w:drawing>
      </w:r>
      <w:r>
        <w:rPr>
          <w:rFonts w:hint="eastAsia" w:ascii="Times New Roman" w:hAnsi="宋体" w:cs="Times New Roman"/>
          <w:b/>
          <w:bCs/>
          <w:color w:val="000000" w:themeColor="text1"/>
          <w:kern w:val="2"/>
          <w:sz w:val="21"/>
          <w:szCs w:val="21"/>
          <w14:textFill>
            <w14:solidFill>
              <w14:schemeClr w14:val="tx1"/>
            </w14:solidFill>
          </w14:textFill>
        </w:rPr>
        <w:t xml:space="preserve">3 </w:t>
      </w:r>
      <w:r>
        <w:rPr>
          <w:rFonts w:hint="eastAsia" w:hAnsi="宋体" w:cstheme="minorEastAsia"/>
          <w:color w:val="000000" w:themeColor="text1"/>
          <w:sz w:val="21"/>
          <w:szCs w:val="21"/>
          <w14:textFill>
            <w14:solidFill>
              <w14:schemeClr w14:val="tx1"/>
            </w14:solidFill>
          </w14:textFill>
        </w:rPr>
        <w:t>在土层开挖时，顶部导洞的上台阶应留置核心土。</w:t>
      </w:r>
    </w:p>
    <w:p>
      <w:pPr>
        <w:pStyle w:val="22"/>
        <w:tabs>
          <w:tab w:val="left" w:pos="851"/>
          <w:tab w:val="left" w:pos="5835"/>
        </w:tabs>
        <w:snapToGrid w:val="0"/>
        <w:spacing w:line="360" w:lineRule="auto"/>
        <w:ind w:left="825" w:firstLine="0" w:firstLineChars="0"/>
        <w:jc w:val="left"/>
        <w:rPr>
          <w:rFonts w:ascii="宋体" w:hAnsi="宋体" w:cstheme="minorEastAsia"/>
          <w:color w:val="000000" w:themeColor="text1"/>
          <w:kern w:val="0"/>
          <w:szCs w:val="21"/>
          <w14:textFill>
            <w14:solidFill>
              <w14:schemeClr w14:val="tx1"/>
            </w14:solidFill>
          </w14:textFill>
        </w:rPr>
      </w:pPr>
    </w:p>
    <w:p>
      <w:pPr>
        <w:pStyle w:val="22"/>
        <w:tabs>
          <w:tab w:val="left" w:pos="851"/>
          <w:tab w:val="left" w:pos="5835"/>
        </w:tabs>
        <w:snapToGrid w:val="0"/>
        <w:spacing w:line="360" w:lineRule="auto"/>
        <w:ind w:left="825" w:firstLine="0" w:firstLineChars="0"/>
        <w:jc w:val="left"/>
        <w:rPr>
          <w:rFonts w:ascii="宋体" w:hAnsi="宋体" w:cstheme="minorEastAsia"/>
          <w:color w:val="000000" w:themeColor="text1"/>
          <w:kern w:val="0"/>
          <w:szCs w:val="21"/>
          <w14:textFill>
            <w14:solidFill>
              <w14:schemeClr w14:val="tx1"/>
            </w14:solidFill>
          </w14:textFill>
        </w:rPr>
      </w:pPr>
    </w:p>
    <w:p>
      <w:pPr>
        <w:pStyle w:val="22"/>
        <w:tabs>
          <w:tab w:val="left" w:pos="851"/>
          <w:tab w:val="left" w:pos="5835"/>
        </w:tabs>
        <w:snapToGrid w:val="0"/>
        <w:spacing w:line="360" w:lineRule="auto"/>
        <w:ind w:left="825" w:firstLine="0" w:firstLineChars="0"/>
        <w:jc w:val="left"/>
        <w:rPr>
          <w:rFonts w:ascii="宋体" w:hAnsi="宋体" w:cstheme="minorEastAsia"/>
          <w:color w:val="000000" w:themeColor="text1"/>
          <w:kern w:val="0"/>
          <w:szCs w:val="21"/>
          <w14:textFill>
            <w14:solidFill>
              <w14:schemeClr w14:val="tx1"/>
            </w14:solidFill>
          </w14:textFill>
        </w:rPr>
      </w:pPr>
    </w:p>
    <w:p>
      <w:pPr>
        <w:pStyle w:val="22"/>
        <w:tabs>
          <w:tab w:val="left" w:pos="851"/>
          <w:tab w:val="left" w:pos="5835"/>
        </w:tabs>
        <w:snapToGrid w:val="0"/>
        <w:spacing w:line="360" w:lineRule="auto"/>
        <w:ind w:left="825" w:firstLine="0" w:firstLineChars="0"/>
        <w:jc w:val="left"/>
        <w:rPr>
          <w:rFonts w:ascii="宋体" w:hAnsi="宋体" w:cstheme="minorEastAsia"/>
          <w:color w:val="000000" w:themeColor="text1"/>
          <w:kern w:val="0"/>
          <w:szCs w:val="21"/>
          <w14:textFill>
            <w14:solidFill>
              <w14:schemeClr w14:val="tx1"/>
            </w14:solidFill>
          </w14:textFill>
        </w:rPr>
      </w:pPr>
    </w:p>
    <w:p>
      <w:pPr>
        <w:pStyle w:val="22"/>
        <w:tabs>
          <w:tab w:val="left" w:pos="851"/>
          <w:tab w:val="left" w:pos="5835"/>
        </w:tabs>
        <w:snapToGrid w:val="0"/>
        <w:spacing w:line="360" w:lineRule="auto"/>
        <w:ind w:left="825" w:firstLine="0" w:firstLineChars="0"/>
        <w:jc w:val="left"/>
        <w:rPr>
          <w:rFonts w:ascii="宋体" w:hAnsi="宋体" w:cstheme="minorEastAsia"/>
          <w:color w:val="000000" w:themeColor="text1"/>
          <w:kern w:val="0"/>
          <w:szCs w:val="21"/>
          <w14:textFill>
            <w14:solidFill>
              <w14:schemeClr w14:val="tx1"/>
            </w14:solidFill>
          </w14:textFill>
        </w:rPr>
      </w:pPr>
    </w:p>
    <w:p>
      <w:pPr>
        <w:pStyle w:val="22"/>
        <w:tabs>
          <w:tab w:val="left" w:pos="851"/>
          <w:tab w:val="left" w:pos="5835"/>
        </w:tabs>
        <w:snapToGrid w:val="0"/>
        <w:spacing w:line="360" w:lineRule="auto"/>
        <w:ind w:left="825" w:firstLine="0" w:firstLineChars="0"/>
        <w:jc w:val="left"/>
        <w:rPr>
          <w:rFonts w:ascii="宋体" w:hAnsi="宋体" w:cstheme="minorEastAsia"/>
          <w:color w:val="000000" w:themeColor="text1"/>
          <w:kern w:val="0"/>
          <w:szCs w:val="21"/>
          <w14:textFill>
            <w14:solidFill>
              <w14:schemeClr w14:val="tx1"/>
            </w14:solidFill>
          </w14:textFill>
        </w:rPr>
      </w:pPr>
    </w:p>
    <w:p>
      <w:pPr>
        <w:pStyle w:val="22"/>
        <w:tabs>
          <w:tab w:val="left" w:pos="851"/>
          <w:tab w:val="left" w:pos="5835"/>
        </w:tabs>
        <w:snapToGrid w:val="0"/>
        <w:spacing w:line="360" w:lineRule="auto"/>
        <w:ind w:left="825" w:firstLine="0" w:firstLineChars="0"/>
        <w:jc w:val="left"/>
        <w:rPr>
          <w:rFonts w:ascii="宋体" w:hAnsi="宋体" w:cstheme="minorEastAsia"/>
          <w:color w:val="000000" w:themeColor="text1"/>
          <w:kern w:val="0"/>
          <w:szCs w:val="21"/>
          <w14:textFill>
            <w14:solidFill>
              <w14:schemeClr w14:val="tx1"/>
            </w14:solidFill>
          </w14:textFill>
        </w:rPr>
      </w:pPr>
    </w:p>
    <w:p>
      <w:pPr>
        <w:pStyle w:val="22"/>
        <w:tabs>
          <w:tab w:val="left" w:pos="851"/>
          <w:tab w:val="left" w:pos="5835"/>
        </w:tabs>
        <w:snapToGrid w:val="0"/>
        <w:spacing w:line="360" w:lineRule="auto"/>
        <w:ind w:left="825" w:firstLine="0" w:firstLineChars="0"/>
        <w:jc w:val="left"/>
        <w:rPr>
          <w:rFonts w:ascii="宋体" w:hAnsi="宋体" w:cstheme="minorEastAsia"/>
          <w:color w:val="000000" w:themeColor="text1"/>
          <w:kern w:val="0"/>
          <w:szCs w:val="21"/>
          <w14:textFill>
            <w14:solidFill>
              <w14:schemeClr w14:val="tx1"/>
            </w14:solidFill>
          </w14:textFill>
        </w:rPr>
      </w:pPr>
    </w:p>
    <w:p>
      <w:pPr>
        <w:pStyle w:val="22"/>
        <w:tabs>
          <w:tab w:val="left" w:pos="851"/>
          <w:tab w:val="left" w:pos="5835"/>
        </w:tabs>
        <w:snapToGrid w:val="0"/>
        <w:spacing w:line="360" w:lineRule="auto"/>
        <w:ind w:left="825" w:firstLine="0" w:firstLineChars="0"/>
        <w:jc w:val="left"/>
        <w:rPr>
          <w:rFonts w:ascii="宋体" w:hAnsi="宋体" w:cstheme="minorEastAsia"/>
          <w:color w:val="000000" w:themeColor="text1"/>
          <w:kern w:val="0"/>
          <w:szCs w:val="21"/>
          <w14:textFill>
            <w14:solidFill>
              <w14:schemeClr w14:val="tx1"/>
            </w14:solidFill>
          </w14:textFill>
        </w:rPr>
      </w:pPr>
    </w:p>
    <w:p>
      <w:pPr>
        <w:pStyle w:val="22"/>
        <w:tabs>
          <w:tab w:val="left" w:pos="851"/>
          <w:tab w:val="left" w:pos="5835"/>
        </w:tabs>
        <w:snapToGrid w:val="0"/>
        <w:spacing w:line="360" w:lineRule="auto"/>
        <w:ind w:left="825" w:firstLine="0" w:firstLineChars="0"/>
        <w:jc w:val="left"/>
        <w:rPr>
          <w:rFonts w:ascii="宋体" w:hAnsi="宋体" w:cstheme="minorEastAsia"/>
          <w:color w:val="000000" w:themeColor="text1"/>
          <w:kern w:val="0"/>
          <w:szCs w:val="21"/>
          <w14:textFill>
            <w14:solidFill>
              <w14:schemeClr w14:val="tx1"/>
            </w14:solidFill>
          </w14:textFill>
        </w:rPr>
      </w:pPr>
    </w:p>
    <w:p>
      <w:pPr>
        <w:pStyle w:val="22"/>
        <w:tabs>
          <w:tab w:val="left" w:pos="851"/>
          <w:tab w:val="left" w:pos="5835"/>
        </w:tabs>
        <w:snapToGrid w:val="0"/>
        <w:spacing w:line="360" w:lineRule="auto"/>
        <w:ind w:left="825" w:firstLine="0" w:firstLineChars="0"/>
        <w:jc w:val="left"/>
        <w:rPr>
          <w:rFonts w:ascii="宋体" w:hAnsi="宋体" w:cstheme="minorEastAsia"/>
          <w:color w:val="000000" w:themeColor="text1"/>
          <w:kern w:val="0"/>
          <w:szCs w:val="21"/>
          <w14:textFill>
            <w14:solidFill>
              <w14:schemeClr w14:val="tx1"/>
            </w14:solidFill>
          </w14:textFill>
        </w:rPr>
      </w:pPr>
    </w:p>
    <w:p>
      <w:pPr>
        <w:pStyle w:val="22"/>
        <w:tabs>
          <w:tab w:val="left" w:pos="851"/>
          <w:tab w:val="left" w:pos="5835"/>
        </w:tabs>
        <w:snapToGrid w:val="0"/>
        <w:spacing w:line="360" w:lineRule="auto"/>
        <w:ind w:left="825" w:firstLine="1680" w:firstLineChars="80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1680" w:firstLineChars="800"/>
        <w:jc w:val="left"/>
        <w:rPr>
          <w:rFonts w:ascii="宋体" w:hAnsi="宋体" w:cstheme="minorEastAsia"/>
          <w:color w:val="000000" w:themeColor="text1"/>
          <w:kern w:val="0"/>
          <w:szCs w:val="21"/>
          <w14:textFill>
            <w14:solidFill>
              <w14:schemeClr w14:val="tx1"/>
            </w14:solidFill>
          </w14:textFill>
        </w:rPr>
      </w:pPr>
      <w:r>
        <w:rPr>
          <w:rFonts w:hint="eastAsia"/>
          <w:color w:val="000000" w:themeColor="text1"/>
          <w14:textFill>
            <w14:solidFill>
              <w14:schemeClr w14:val="tx1"/>
            </w14:solidFill>
          </w14:textFill>
        </w:rPr>
        <w:t>图</w:t>
      </w:r>
      <w:r>
        <w:rPr>
          <w:rFonts w:hint="eastAsia" w:hAnsi="宋体"/>
          <w:b/>
          <w:bCs/>
          <w:color w:val="000000" w:themeColor="text1"/>
          <w:szCs w:val="21"/>
          <w14:textFill>
            <w14:solidFill>
              <w14:schemeClr w14:val="tx1"/>
            </w14:solidFill>
          </w14:textFill>
        </w:rPr>
        <w:t>11.2.4</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交叉</w:t>
      </w:r>
      <w:r>
        <w:rPr>
          <w:rFonts w:hint="eastAsia" w:ascii="宋体" w:hAnsi="宋体" w:cstheme="minorEastAsia"/>
          <w:color w:val="000000" w:themeColor="text1"/>
          <w:kern w:val="0"/>
          <w:szCs w:val="21"/>
          <w14:textFill>
            <w14:solidFill>
              <w14:schemeClr w14:val="tx1"/>
            </w14:solidFill>
          </w14:textFill>
        </w:rPr>
        <w:t>中隔壁法施工步序图</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11.2.5 </w:t>
      </w:r>
      <w:r>
        <w:rPr>
          <w:rFonts w:hint="eastAsia" w:ascii="宋体" w:hAnsi="宋体" w:cstheme="minorEastAsia"/>
          <w:color w:val="000000" w:themeColor="text1"/>
          <w:kern w:val="0"/>
          <w:szCs w:val="21"/>
          <w14:textFill>
            <w14:solidFill>
              <w14:schemeClr w14:val="tx1"/>
            </w14:solidFill>
          </w14:textFill>
        </w:rPr>
        <w:t>双侧壁导坑法适用于IV～</w:t>
      </w:r>
      <w:r>
        <w:rPr>
          <w:rFonts w:hAnsi="宋体" w:cstheme="minorEastAsia"/>
          <w:color w:val="000000" w:themeColor="text1"/>
          <w:szCs w:val="21"/>
          <w14:textFill>
            <w14:solidFill>
              <w14:schemeClr w14:val="tx1"/>
            </w14:solidFill>
          </w14:textFill>
        </w:rPr>
        <w:t xml:space="preserve">V </w:t>
      </w:r>
      <w:r>
        <w:rPr>
          <w:rFonts w:hint="eastAsia" w:ascii="宋体" w:hAnsi="宋体" w:cstheme="minorEastAsia"/>
          <w:color w:val="000000" w:themeColor="text1"/>
          <w:kern w:val="0"/>
          <w:szCs w:val="21"/>
          <w14:textFill>
            <w14:solidFill>
              <w14:schemeClr w14:val="tx1"/>
            </w14:solidFill>
          </w14:textFill>
        </w:rPr>
        <w:t>级围岩双线、多线隧道</w:t>
      </w:r>
      <w:r>
        <w:rPr>
          <w:rFonts w:hint="eastAsia" w:hAnsi="宋体" w:cstheme="minorEastAsia"/>
          <w:color w:val="000000" w:themeColor="text1"/>
          <w:szCs w:val="21"/>
          <w14:textFill>
            <w14:solidFill>
              <w14:schemeClr w14:val="tx1"/>
            </w14:solidFill>
          </w14:textFill>
        </w:rPr>
        <w:t>，</w:t>
      </w:r>
      <w:r>
        <w:rPr>
          <w:rFonts w:hint="eastAsia" w:hAnsi="宋体"/>
          <w:color w:val="000000" w:themeColor="text1"/>
          <w:szCs w:val="21"/>
          <w14:textFill>
            <w14:solidFill>
              <w14:schemeClr w14:val="tx1"/>
            </w14:solidFill>
          </w14:textFill>
        </w:rPr>
        <w:t>施工应符合下列规定：</w:t>
      </w:r>
    </w:p>
    <w:p>
      <w:pPr>
        <w:pStyle w:val="21"/>
        <w:snapToGrid w:val="0"/>
        <w:spacing w:line="360" w:lineRule="auto"/>
        <w:ind w:firstLine="361" w:firstLineChars="171"/>
        <w:jc w:val="both"/>
        <w:rPr>
          <w:rFonts w:ascii="Times New Roman" w:hAnsi="宋体" w:cs="Times New Roman"/>
          <w:b/>
          <w:bCs/>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 </w:t>
      </w:r>
      <w:r>
        <w:rPr>
          <w:rFonts w:hint="eastAsia" w:hAnsi="宋体" w:cstheme="minorEastAsia"/>
          <w:color w:val="000000" w:themeColor="text1"/>
          <w:sz w:val="21"/>
          <w:szCs w:val="21"/>
          <w14:textFill>
            <w14:solidFill>
              <w14:schemeClr w14:val="tx1"/>
            </w14:solidFill>
          </w14:textFill>
        </w:rPr>
        <w:t>双侧壁导坑法适用于围岩等级为IV～</w:t>
      </w:r>
      <w:r>
        <w:rPr>
          <w:rFonts w:hAnsi="宋体" w:cstheme="minorEastAsia"/>
          <w:color w:val="000000" w:themeColor="text1"/>
          <w:szCs w:val="21"/>
          <w14:textFill>
            <w14:solidFill>
              <w14:schemeClr w14:val="tx1"/>
            </w14:solidFill>
          </w14:textFill>
        </w:rPr>
        <w:t xml:space="preserve">V </w:t>
      </w:r>
      <w:r>
        <w:rPr>
          <w:rFonts w:hint="eastAsia" w:hAnsi="宋体" w:cstheme="minorEastAsia"/>
          <w:color w:val="000000" w:themeColor="text1"/>
          <w:sz w:val="21"/>
          <w:szCs w:val="21"/>
          <w14:textFill>
            <w14:solidFill>
              <w14:schemeClr w14:val="tx1"/>
            </w14:solidFill>
          </w14:textFill>
        </w:rPr>
        <w:t>级的双线、多线隧道；</w:t>
      </w:r>
    </w:p>
    <w:p>
      <w:pPr>
        <w:pStyle w:val="21"/>
        <w:snapToGrid w:val="0"/>
        <w:spacing w:line="360" w:lineRule="auto"/>
        <w:ind w:firstLine="361" w:firstLineChars="171"/>
        <w:jc w:val="both"/>
        <w:rPr>
          <w:rFonts w:ascii="Times New Roman" w:hAnsi="宋体" w:cs="Times New Roman"/>
          <w:b/>
          <w:bCs/>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2 </w:t>
      </w:r>
      <w:r>
        <w:rPr>
          <w:rFonts w:hint="eastAsia" w:hAnsi="宋体" w:cstheme="minorEastAsia"/>
          <w:color w:val="000000" w:themeColor="text1"/>
          <w:sz w:val="21"/>
          <w:szCs w:val="21"/>
          <w14:textFill>
            <w14:solidFill>
              <w14:schemeClr w14:val="tx1"/>
            </w14:solidFill>
          </w14:textFill>
        </w:rPr>
        <w:t>侧壁导洞断面宜为整个断面的1/3；</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3 </w:t>
      </w:r>
      <w:r>
        <w:rPr>
          <w:rFonts w:hint="eastAsia" w:hAnsi="宋体" w:cstheme="minorEastAsia"/>
          <w:color w:val="000000" w:themeColor="text1"/>
          <w:sz w:val="21"/>
          <w:szCs w:val="21"/>
          <w14:textFill>
            <w14:solidFill>
              <w14:schemeClr w14:val="tx1"/>
            </w14:solidFill>
          </w14:textFill>
        </w:rPr>
        <w:t>侧壁导洞宽度不应大于0.3倍隧道宽度；</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4 </w:t>
      </w:r>
      <w:r>
        <w:rPr>
          <w:rFonts w:hint="eastAsia" w:hAnsi="宋体" w:cstheme="minorEastAsia"/>
          <w:color w:val="000000" w:themeColor="text1"/>
          <w:sz w:val="21"/>
          <w:szCs w:val="21"/>
          <w14:textFill>
            <w14:solidFill>
              <w14:schemeClr w14:val="tx1"/>
            </w14:solidFill>
          </w14:textFill>
        </w:rPr>
        <w:t>侧壁导洞、中间部分开挖应采用短台阶，预留核心土，台阶长度宜为3～5m；</w:t>
      </w:r>
    </w:p>
    <w:p>
      <w:pPr>
        <w:pStyle w:val="21"/>
        <w:snapToGrid w:val="0"/>
        <w:spacing w:line="360" w:lineRule="auto"/>
        <w:ind w:firstLine="361" w:firstLineChars="171"/>
        <w:jc w:val="both"/>
        <w:rPr>
          <w:rFonts w:hAnsi="宋体" w:cstheme="minorEastAsia"/>
          <w:strike/>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5 </w:t>
      </w:r>
      <w:r>
        <w:rPr>
          <w:rFonts w:hint="eastAsia" w:hAnsi="宋体" w:cstheme="minorEastAsia"/>
          <w:color w:val="000000" w:themeColor="text1"/>
          <w:sz w:val="21"/>
          <w:szCs w:val="21"/>
          <w14:textFill>
            <w14:solidFill>
              <w14:schemeClr w14:val="tx1"/>
            </w14:solidFill>
          </w14:textFill>
        </w:rPr>
        <w:t>左右侧壁导洞施工时，工作面错开距离不应小于10m；</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6 </w:t>
      </w:r>
      <w:r>
        <w:rPr>
          <w:rFonts w:hint="eastAsia" w:hAnsi="宋体" w:cstheme="minorEastAsia"/>
          <w:color w:val="000000" w:themeColor="text1"/>
          <w:sz w:val="21"/>
          <w:szCs w:val="21"/>
          <w14:textFill>
            <w14:solidFill>
              <w14:schemeClr w14:val="tx1"/>
            </w14:solidFill>
          </w14:textFill>
        </w:rPr>
        <w:t>侧壁导洞应超前中间部位施工，侧壁导洞工作面超前距离宜为30</w:t>
      </w:r>
      <w:r>
        <w:rPr>
          <w:rFonts w:ascii="Times New Roman" w:cs="Times New Roman"/>
          <w:color w:val="000000" w:themeColor="text1"/>
          <w:sz w:val="21"/>
          <w:szCs w:val="21"/>
          <w14:textFill>
            <w14:solidFill>
              <w14:schemeClr w14:val="tx1"/>
            </w14:solidFill>
          </w14:textFill>
        </w:rPr>
        <w:t>~</w:t>
      </w:r>
      <w:r>
        <w:rPr>
          <w:rFonts w:hint="eastAsia" w:hAnsi="宋体" w:cstheme="minorEastAsia"/>
          <w:color w:val="000000" w:themeColor="text1"/>
          <w:sz w:val="21"/>
          <w:szCs w:val="21"/>
          <w14:textFill>
            <w14:solidFill>
              <w14:schemeClr w14:val="tx1"/>
            </w14:solidFill>
          </w14:textFill>
        </w:rPr>
        <w:t>50m；</w:t>
      </w:r>
    </w:p>
    <w:p>
      <w:pPr>
        <w:pStyle w:val="21"/>
        <w:snapToGrid w:val="0"/>
        <w:spacing w:line="360" w:lineRule="auto"/>
        <w:ind w:firstLine="410" w:firstLineChars="171"/>
        <w:jc w:val="both"/>
        <w:rPr>
          <w:rFonts w:hAnsi="宋体" w:cstheme="minorEastAsia"/>
          <w:strike/>
          <w:color w:val="000000" w:themeColor="text1"/>
          <w:sz w:val="21"/>
          <w:szCs w:val="2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70528" behindDoc="1" locked="0" layoutInCell="1" allowOverlap="1">
            <wp:simplePos x="0" y="0"/>
            <wp:positionH relativeFrom="column">
              <wp:posOffset>267335</wp:posOffset>
            </wp:positionH>
            <wp:positionV relativeFrom="paragraph">
              <wp:posOffset>256540</wp:posOffset>
            </wp:positionV>
            <wp:extent cx="4870450" cy="2936240"/>
            <wp:effectExtent l="0" t="0" r="6350" b="10160"/>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4870450" cy="2936240"/>
                    </a:xfrm>
                    <a:prstGeom prst="rect">
                      <a:avLst/>
                    </a:prstGeom>
                    <a:noFill/>
                    <a:ln>
                      <a:noFill/>
                    </a:ln>
                  </pic:spPr>
                </pic:pic>
              </a:graphicData>
            </a:graphic>
          </wp:anchor>
        </w:drawing>
      </w:r>
      <w:r>
        <w:rPr>
          <w:rFonts w:hint="eastAsia" w:ascii="Times New Roman" w:hAnsi="宋体" w:cs="Times New Roman"/>
          <w:b/>
          <w:bCs/>
          <w:color w:val="000000" w:themeColor="text1"/>
          <w:kern w:val="2"/>
          <w:sz w:val="21"/>
          <w:szCs w:val="21"/>
          <w14:textFill>
            <w14:solidFill>
              <w14:schemeClr w14:val="tx1"/>
            </w14:solidFill>
          </w14:textFill>
        </w:rPr>
        <w:t xml:space="preserve">7 </w:t>
      </w:r>
      <w:r>
        <w:rPr>
          <w:rFonts w:hint="eastAsia" w:hAnsi="宋体" w:cstheme="minorEastAsia"/>
          <w:color w:val="000000" w:themeColor="text1"/>
          <w:sz w:val="21"/>
          <w:szCs w:val="21"/>
          <w14:textFill>
            <w14:solidFill>
              <w14:schemeClr w14:val="tx1"/>
            </w14:solidFill>
          </w14:textFill>
        </w:rPr>
        <w:t>侧壁导洞完成后，中间部位宜分上、下两步开挖，上部开挖后，及时进行初期支护。</w:t>
      </w:r>
    </w:p>
    <w:p>
      <w:pPr>
        <w:pStyle w:val="21"/>
        <w:snapToGrid w:val="0"/>
        <w:spacing w:line="360" w:lineRule="auto"/>
        <w:ind w:firstLine="210" w:firstLineChars="100"/>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210" w:firstLineChars="100"/>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210" w:firstLineChars="100"/>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210" w:firstLineChars="100"/>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210" w:firstLineChars="100"/>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210" w:firstLineChars="100"/>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210" w:firstLineChars="100"/>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210" w:firstLineChars="100"/>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210" w:firstLineChars="100"/>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210" w:firstLineChars="100"/>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210" w:firstLineChars="100"/>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210" w:firstLineChars="100"/>
        <w:jc w:val="both"/>
        <w:rPr>
          <w:rFonts w:hAnsi="宋体" w:cstheme="minorEastAsia"/>
          <w:color w:val="000000" w:themeColor="text1"/>
          <w:sz w:val="21"/>
          <w:szCs w:val="21"/>
          <w14:textFill>
            <w14:solidFill>
              <w14:schemeClr w14:val="tx1"/>
            </w14:solidFill>
          </w14:textFill>
        </w:rPr>
      </w:pPr>
    </w:p>
    <w:p>
      <w:pPr>
        <w:pStyle w:val="22"/>
        <w:tabs>
          <w:tab w:val="left" w:pos="851"/>
          <w:tab w:val="left" w:pos="5835"/>
        </w:tabs>
        <w:snapToGrid w:val="0"/>
        <w:spacing w:line="360" w:lineRule="auto"/>
        <w:ind w:left="825" w:firstLine="1470" w:firstLineChars="70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rFonts w:hint="eastAsia" w:hAnsi="宋体"/>
          <w:b/>
          <w:bCs/>
          <w:color w:val="000000" w:themeColor="text1"/>
          <w:szCs w:val="21"/>
          <w14:textFill>
            <w14:solidFill>
              <w14:schemeClr w14:val="tx1"/>
            </w14:solidFill>
          </w14:textFill>
        </w:rPr>
        <w:t xml:space="preserve">11.2.5-1  </w:t>
      </w:r>
      <w:r>
        <w:rPr>
          <w:color w:val="000000" w:themeColor="text1"/>
          <w14:textFill>
            <w14:solidFill>
              <w14:schemeClr w14:val="tx1"/>
            </w14:solidFill>
          </w14:textFill>
        </w:rPr>
        <w:t>双侧壁导</w:t>
      </w:r>
      <w:r>
        <w:rPr>
          <w:rFonts w:hint="eastAsia"/>
          <w:color w:val="000000" w:themeColor="text1"/>
          <w14:textFill>
            <w14:solidFill>
              <w14:schemeClr w14:val="tx1"/>
            </w14:solidFill>
          </w14:textFill>
        </w:rPr>
        <w:t>洞</w:t>
      </w:r>
      <w:r>
        <w:rPr>
          <w:color w:val="000000" w:themeColor="text1"/>
          <w14:textFill>
            <w14:solidFill>
              <w14:schemeClr w14:val="tx1"/>
            </w14:solidFill>
          </w14:textFill>
        </w:rPr>
        <w:t>法</w:t>
      </w:r>
      <w:r>
        <w:rPr>
          <w:rFonts w:hint="eastAsia"/>
          <w:color w:val="000000" w:themeColor="text1"/>
          <w14:textFill>
            <w14:solidFill>
              <w14:schemeClr w14:val="tx1"/>
            </w14:solidFill>
          </w14:textFill>
        </w:rPr>
        <w:t>（一）</w:t>
      </w:r>
      <w:r>
        <w:rPr>
          <w:color w:val="000000" w:themeColor="text1"/>
          <w14:textFill>
            <w14:solidFill>
              <w14:schemeClr w14:val="tx1"/>
            </w14:solidFill>
          </w14:textFill>
        </w:rPr>
        <w:t>施工</w:t>
      </w:r>
      <w:r>
        <w:rPr>
          <w:rFonts w:hint="eastAsia"/>
          <w:color w:val="000000" w:themeColor="text1"/>
          <w14:textFill>
            <w14:solidFill>
              <w14:schemeClr w14:val="tx1"/>
            </w14:solidFill>
          </w14:textFill>
        </w:rPr>
        <w:t>步序</w:t>
      </w:r>
      <w:r>
        <w:rPr>
          <w:color w:val="000000" w:themeColor="text1"/>
          <w14:textFill>
            <w14:solidFill>
              <w14:schemeClr w14:val="tx1"/>
            </w14:solidFill>
          </w14:textFill>
        </w:rPr>
        <w:t>图</w:t>
      </w:r>
    </w:p>
    <w:p>
      <w:pPr>
        <w:pStyle w:val="21"/>
        <w:snapToGrid w:val="0"/>
        <w:spacing w:line="360" w:lineRule="auto"/>
        <w:ind w:firstLine="240" w:firstLineChars="100"/>
        <w:jc w:val="both"/>
        <w:rPr>
          <w:rFonts w:hAnsi="宋体" w:cstheme="minorEastAsia"/>
          <w:color w:val="000000" w:themeColor="text1"/>
          <w:sz w:val="21"/>
          <w:szCs w:val="2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71552" behindDoc="1" locked="0" layoutInCell="1" allowOverlap="1">
            <wp:simplePos x="0" y="0"/>
            <wp:positionH relativeFrom="column">
              <wp:posOffset>150495</wp:posOffset>
            </wp:positionH>
            <wp:positionV relativeFrom="paragraph">
              <wp:posOffset>6350</wp:posOffset>
            </wp:positionV>
            <wp:extent cx="4906010" cy="3097530"/>
            <wp:effectExtent l="0" t="0" r="8890" b="1270"/>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4906010" cy="3097530"/>
                    </a:xfrm>
                    <a:prstGeom prst="rect">
                      <a:avLst/>
                    </a:prstGeom>
                    <a:noFill/>
                    <a:ln>
                      <a:noFill/>
                    </a:ln>
                  </pic:spPr>
                </pic:pic>
              </a:graphicData>
            </a:graphic>
          </wp:anchor>
        </w:drawing>
      </w:r>
    </w:p>
    <w:p>
      <w:pPr>
        <w:pStyle w:val="21"/>
        <w:snapToGrid w:val="0"/>
        <w:spacing w:line="360" w:lineRule="auto"/>
        <w:ind w:firstLine="210" w:firstLineChars="100"/>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2400" w:firstLineChars="1000"/>
        <w:jc w:val="both"/>
        <w:rPr>
          <w:color w:val="000000" w:themeColor="text1"/>
          <w14:textFill>
            <w14:solidFill>
              <w14:schemeClr w14:val="tx1"/>
            </w14:solidFill>
          </w14:textFill>
        </w:rPr>
      </w:pPr>
    </w:p>
    <w:p>
      <w:pPr>
        <w:pStyle w:val="21"/>
        <w:snapToGrid w:val="0"/>
        <w:spacing w:line="360" w:lineRule="auto"/>
        <w:ind w:firstLine="2400" w:firstLineChars="1000"/>
        <w:jc w:val="both"/>
        <w:rPr>
          <w:color w:val="000000" w:themeColor="text1"/>
          <w14:textFill>
            <w14:solidFill>
              <w14:schemeClr w14:val="tx1"/>
            </w14:solidFill>
          </w14:textFill>
        </w:rPr>
      </w:pPr>
    </w:p>
    <w:p>
      <w:pPr>
        <w:pStyle w:val="21"/>
        <w:snapToGrid w:val="0"/>
        <w:spacing w:line="360" w:lineRule="auto"/>
        <w:ind w:firstLine="2400" w:firstLineChars="1000"/>
        <w:jc w:val="both"/>
        <w:rPr>
          <w:color w:val="000000" w:themeColor="text1"/>
          <w14:textFill>
            <w14:solidFill>
              <w14:schemeClr w14:val="tx1"/>
            </w14:solidFill>
          </w14:textFill>
        </w:rPr>
      </w:pPr>
    </w:p>
    <w:p>
      <w:pPr>
        <w:pStyle w:val="21"/>
        <w:snapToGrid w:val="0"/>
        <w:spacing w:line="360" w:lineRule="auto"/>
        <w:ind w:firstLine="2400" w:firstLineChars="1000"/>
        <w:jc w:val="both"/>
        <w:rPr>
          <w:color w:val="000000" w:themeColor="text1"/>
          <w14:textFill>
            <w14:solidFill>
              <w14:schemeClr w14:val="tx1"/>
            </w14:solidFill>
          </w14:textFill>
        </w:rPr>
      </w:pPr>
    </w:p>
    <w:p>
      <w:pPr>
        <w:pStyle w:val="21"/>
        <w:snapToGrid w:val="0"/>
        <w:spacing w:line="360" w:lineRule="auto"/>
        <w:ind w:firstLine="2400" w:firstLineChars="1000"/>
        <w:jc w:val="both"/>
        <w:rPr>
          <w:color w:val="000000" w:themeColor="text1"/>
          <w14:textFill>
            <w14:solidFill>
              <w14:schemeClr w14:val="tx1"/>
            </w14:solidFill>
          </w14:textFill>
        </w:rPr>
      </w:pPr>
    </w:p>
    <w:p>
      <w:pPr>
        <w:pStyle w:val="21"/>
        <w:snapToGrid w:val="0"/>
        <w:spacing w:line="360" w:lineRule="auto"/>
        <w:ind w:firstLine="2400" w:firstLineChars="1000"/>
        <w:jc w:val="both"/>
        <w:rPr>
          <w:color w:val="000000" w:themeColor="text1"/>
          <w14:textFill>
            <w14:solidFill>
              <w14:schemeClr w14:val="tx1"/>
            </w14:solidFill>
          </w14:textFill>
        </w:rPr>
      </w:pPr>
    </w:p>
    <w:p>
      <w:pPr>
        <w:pStyle w:val="21"/>
        <w:snapToGrid w:val="0"/>
        <w:spacing w:line="360" w:lineRule="auto"/>
        <w:ind w:firstLine="2400" w:firstLineChars="1000"/>
        <w:jc w:val="both"/>
        <w:rPr>
          <w:color w:val="000000" w:themeColor="text1"/>
          <w14:textFill>
            <w14:solidFill>
              <w14:schemeClr w14:val="tx1"/>
            </w14:solidFill>
          </w14:textFill>
        </w:rPr>
      </w:pPr>
    </w:p>
    <w:p>
      <w:pPr>
        <w:pStyle w:val="21"/>
        <w:snapToGrid w:val="0"/>
        <w:spacing w:line="360" w:lineRule="auto"/>
        <w:ind w:firstLine="2400" w:firstLineChars="1000"/>
        <w:jc w:val="both"/>
        <w:rPr>
          <w:color w:val="000000" w:themeColor="text1"/>
          <w14:textFill>
            <w14:solidFill>
              <w14:schemeClr w14:val="tx1"/>
            </w14:solidFill>
          </w14:textFill>
        </w:rPr>
      </w:pPr>
    </w:p>
    <w:p>
      <w:pPr>
        <w:pStyle w:val="21"/>
        <w:snapToGrid w:val="0"/>
        <w:spacing w:line="360" w:lineRule="auto"/>
        <w:ind w:firstLine="2400" w:firstLineChars="1000"/>
        <w:jc w:val="both"/>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1470" w:firstLineChars="70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rFonts w:hint="eastAsia" w:hAnsi="宋体"/>
          <w:b/>
          <w:bCs/>
          <w:color w:val="000000" w:themeColor="text1"/>
          <w:szCs w:val="21"/>
          <w14:textFill>
            <w14:solidFill>
              <w14:schemeClr w14:val="tx1"/>
            </w14:solidFill>
          </w14:textFill>
        </w:rPr>
        <w:t xml:space="preserve">11.2.5-2 </w:t>
      </w:r>
      <w:r>
        <w:rPr>
          <w:color w:val="000000" w:themeColor="text1"/>
          <w14:textFill>
            <w14:solidFill>
              <w14:schemeClr w14:val="tx1"/>
            </w14:solidFill>
          </w14:textFill>
        </w:rPr>
        <w:t xml:space="preserve"> 双侧壁导</w:t>
      </w:r>
      <w:r>
        <w:rPr>
          <w:rFonts w:hint="eastAsia"/>
          <w:color w:val="000000" w:themeColor="text1"/>
          <w14:textFill>
            <w14:solidFill>
              <w14:schemeClr w14:val="tx1"/>
            </w14:solidFill>
          </w14:textFill>
        </w:rPr>
        <w:t>洞</w:t>
      </w:r>
      <w:r>
        <w:rPr>
          <w:color w:val="000000" w:themeColor="text1"/>
          <w14:textFill>
            <w14:solidFill>
              <w14:schemeClr w14:val="tx1"/>
            </w14:solidFill>
          </w14:textFill>
        </w:rPr>
        <w:t>法</w:t>
      </w:r>
      <w:r>
        <w:rPr>
          <w:rFonts w:hint="eastAsia"/>
          <w:color w:val="000000" w:themeColor="text1"/>
          <w14:textFill>
            <w14:solidFill>
              <w14:schemeClr w14:val="tx1"/>
            </w14:solidFill>
          </w14:textFill>
        </w:rPr>
        <w:t>（二）</w:t>
      </w:r>
      <w:r>
        <w:rPr>
          <w:color w:val="000000" w:themeColor="text1"/>
          <w14:textFill>
            <w14:solidFill>
              <w14:schemeClr w14:val="tx1"/>
            </w14:solidFill>
          </w14:textFill>
        </w:rPr>
        <w:t>施工</w:t>
      </w:r>
      <w:r>
        <w:rPr>
          <w:rFonts w:hint="eastAsia"/>
          <w:color w:val="000000" w:themeColor="text1"/>
          <w14:textFill>
            <w14:solidFill>
              <w14:schemeClr w14:val="tx1"/>
            </w14:solidFill>
          </w14:textFill>
        </w:rPr>
        <w:t>步序</w:t>
      </w:r>
      <w:r>
        <w:rPr>
          <w:color w:val="000000" w:themeColor="text1"/>
          <w14:textFill>
            <w14:solidFill>
              <w14:schemeClr w14:val="tx1"/>
            </w14:solidFill>
          </w14:textFill>
        </w:rPr>
        <w:t>图</w:t>
      </w:r>
    </w:p>
    <w:p>
      <w:pPr>
        <w:pStyle w:val="22"/>
        <w:tabs>
          <w:tab w:val="left" w:pos="851"/>
        </w:tabs>
        <w:snapToGrid w:val="0"/>
        <w:spacing w:line="360" w:lineRule="auto"/>
        <w:ind w:firstLine="0" w:firstLineChars="0"/>
        <w:jc w:val="left"/>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11.2.6 </w:t>
      </w:r>
      <w:r>
        <w:rPr>
          <w:rFonts w:hint="eastAsia" w:ascii="宋体" w:hAnsi="宋体" w:cstheme="minorEastAsia"/>
          <w:color w:val="000000" w:themeColor="text1"/>
          <w:kern w:val="0"/>
          <w:szCs w:val="21"/>
          <w14:textFill>
            <w14:solidFill>
              <w14:schemeClr w14:val="tx1"/>
            </w14:solidFill>
          </w14:textFill>
        </w:rPr>
        <w:t>双连拱隧道中洞法施工应符合下列规定：</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 </w:t>
      </w:r>
      <w:r>
        <w:rPr>
          <w:rFonts w:hint="eastAsia" w:hAnsi="宋体" w:cstheme="minorEastAsia"/>
          <w:color w:val="000000" w:themeColor="text1"/>
          <w:sz w:val="21"/>
          <w:szCs w:val="21"/>
          <w14:textFill>
            <w14:solidFill>
              <w14:schemeClr w14:val="tx1"/>
            </w14:solidFill>
          </w14:textFill>
        </w:rPr>
        <w:t>中洞应先开挖，侧洞应在中洞内二衬墙体混凝土结构及支撑施工完成后方可开挖；</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2 </w:t>
      </w:r>
      <w:r>
        <w:rPr>
          <w:rFonts w:hint="eastAsia" w:hAnsi="宋体" w:cstheme="minorEastAsia"/>
          <w:color w:val="000000" w:themeColor="text1"/>
          <w:sz w:val="21"/>
          <w:szCs w:val="21"/>
          <w14:textFill>
            <w14:solidFill>
              <w14:schemeClr w14:val="tx1"/>
            </w14:solidFill>
          </w14:textFill>
        </w:rPr>
        <w:t>中洞开挖高度宜大于中墙高度1m，开挖宽度应大于5m；</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3 </w:t>
      </w:r>
      <w:r>
        <w:rPr>
          <w:rFonts w:hint="eastAsia" w:hAnsi="宋体" w:cstheme="minorEastAsia"/>
          <w:color w:val="000000" w:themeColor="text1"/>
          <w:sz w:val="21"/>
          <w:szCs w:val="21"/>
          <w14:textFill>
            <w14:solidFill>
              <w14:schemeClr w14:val="tx1"/>
            </w14:solidFill>
          </w14:textFill>
        </w:rPr>
        <w:t>中洞开挖长度应根据隧道长度、宽度和地质情况确定；短隧道可先贯通中洞，后开挖侧洞；</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drawing>
          <wp:anchor distT="0" distB="0" distL="114300" distR="114300" simplePos="0" relativeHeight="251672576" behindDoc="1" locked="0" layoutInCell="1" allowOverlap="1">
            <wp:simplePos x="0" y="0"/>
            <wp:positionH relativeFrom="column">
              <wp:posOffset>142875</wp:posOffset>
            </wp:positionH>
            <wp:positionV relativeFrom="paragraph">
              <wp:posOffset>19685</wp:posOffset>
            </wp:positionV>
            <wp:extent cx="5132705" cy="3190875"/>
            <wp:effectExtent l="0" t="0" r="10795" b="9525"/>
            <wp:wrapNone/>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5132705" cy="3190875"/>
                    </a:xfrm>
                    <a:prstGeom prst="rect">
                      <a:avLst/>
                    </a:prstGeom>
                    <a:noFill/>
                    <a:ln>
                      <a:noFill/>
                    </a:ln>
                  </pic:spPr>
                </pic:pic>
              </a:graphicData>
            </a:graphic>
          </wp:anchor>
        </w:drawing>
      </w:r>
      <w:r>
        <w:rPr>
          <w:rFonts w:hint="eastAsia" w:ascii="Times New Roman" w:hAnsi="宋体" w:cs="Times New Roman"/>
          <w:b/>
          <w:bCs/>
          <w:color w:val="000000" w:themeColor="text1"/>
          <w:kern w:val="2"/>
          <w:sz w:val="21"/>
          <w:szCs w:val="21"/>
          <w14:textFill>
            <w14:solidFill>
              <w14:schemeClr w14:val="tx1"/>
            </w14:solidFill>
          </w14:textFill>
        </w:rPr>
        <w:t xml:space="preserve">4 </w:t>
      </w:r>
      <w:r>
        <w:rPr>
          <w:rFonts w:hint="eastAsia" w:hAnsi="宋体" w:cstheme="minorEastAsia"/>
          <w:color w:val="000000" w:themeColor="text1"/>
          <w:sz w:val="21"/>
          <w:szCs w:val="21"/>
          <w14:textFill>
            <w14:solidFill>
              <w14:schemeClr w14:val="tx1"/>
            </w14:solidFill>
          </w14:textFill>
        </w:rPr>
        <w:t>左右侧洞应对称、同步开挖，并应设置临时横向支撑。</w:t>
      </w: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2"/>
        <w:tabs>
          <w:tab w:val="left" w:pos="851"/>
          <w:tab w:val="left" w:pos="5835"/>
        </w:tabs>
        <w:snapToGrid w:val="0"/>
        <w:spacing w:line="360" w:lineRule="auto"/>
        <w:ind w:left="825" w:firstLine="1680" w:firstLineChars="800"/>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rFonts w:hint="eastAsia" w:hAnsi="宋体"/>
          <w:b/>
          <w:bCs/>
          <w:color w:val="000000" w:themeColor="text1"/>
          <w:szCs w:val="21"/>
          <w14:textFill>
            <w14:solidFill>
              <w14:schemeClr w14:val="tx1"/>
            </w14:solidFill>
          </w14:textFill>
        </w:rPr>
        <w:t>11.2.6</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中洞</w:t>
      </w:r>
      <w:r>
        <w:rPr>
          <w:color w:val="000000" w:themeColor="text1"/>
          <w14:textFill>
            <w14:solidFill>
              <w14:schemeClr w14:val="tx1"/>
            </w14:solidFill>
          </w14:textFill>
        </w:rPr>
        <w:t>法施工</w:t>
      </w:r>
      <w:r>
        <w:rPr>
          <w:rFonts w:hint="eastAsia"/>
          <w:color w:val="000000" w:themeColor="text1"/>
          <w14:textFill>
            <w14:solidFill>
              <w14:schemeClr w14:val="tx1"/>
            </w14:solidFill>
          </w14:textFill>
        </w:rPr>
        <w:t>步序</w:t>
      </w:r>
      <w:r>
        <w:rPr>
          <w:color w:val="000000" w:themeColor="text1"/>
          <w14:textFill>
            <w14:solidFill>
              <w14:schemeClr w14:val="tx1"/>
            </w14:solidFill>
          </w14:textFill>
        </w:rPr>
        <w:t>图</w:t>
      </w:r>
    </w:p>
    <w:p>
      <w:pPr>
        <w:numPr>
          <w:ilvl w:val="1"/>
          <w:numId w:val="0"/>
        </w:numPr>
        <w:tabs>
          <w:tab w:val="left" w:pos="576"/>
        </w:tabs>
        <w:adjustRightInd w:val="0"/>
        <w:snapToGrid w:val="0"/>
        <w:spacing w:before="312" w:beforeLines="100" w:after="312" w:afterLines="100"/>
        <w:ind w:left="578" w:hanging="578"/>
        <w:jc w:val="center"/>
        <w:outlineLvl w:val="1"/>
        <w:rPr>
          <w:rFonts w:hAnsi="宋体"/>
          <w:b/>
          <w:color w:val="000000" w:themeColor="text1"/>
          <w:sz w:val="24"/>
          <w14:textFill>
            <w14:solidFill>
              <w14:schemeClr w14:val="tx1"/>
            </w14:solidFill>
          </w14:textFill>
        </w:rPr>
      </w:pPr>
      <w:bookmarkStart w:id="274" w:name="_Toc14286"/>
      <w:bookmarkStart w:id="275" w:name="_Toc9371"/>
      <w:bookmarkStart w:id="276" w:name="_Toc8309"/>
      <w:bookmarkStart w:id="277" w:name="_Toc6459"/>
      <w:bookmarkStart w:id="278" w:name="_Toc8863"/>
      <w:bookmarkStart w:id="279" w:name="_Toc13669"/>
      <w:r>
        <w:rPr>
          <w:rFonts w:hint="eastAsia" w:hAnsi="宋体"/>
          <w:b/>
          <w:color w:val="000000" w:themeColor="text1"/>
          <w:sz w:val="24"/>
          <w14:textFill>
            <w14:solidFill>
              <w14:schemeClr w14:val="tx1"/>
            </w14:solidFill>
          </w14:textFill>
        </w:rPr>
        <w:t>11.3  暗挖车站开挖</w:t>
      </w:r>
      <w:bookmarkEnd w:id="274"/>
      <w:bookmarkEnd w:id="275"/>
      <w:bookmarkEnd w:id="276"/>
      <w:bookmarkEnd w:id="277"/>
      <w:bookmarkEnd w:id="278"/>
      <w:bookmarkEnd w:id="279"/>
    </w:p>
    <w:p>
      <w:pPr>
        <w:pStyle w:val="22"/>
        <w:tabs>
          <w:tab w:val="left" w:pos="851"/>
          <w:tab w:val="left" w:pos="5835"/>
        </w:tabs>
        <w:snapToGrid w:val="0"/>
        <w:spacing w:line="360" w:lineRule="auto"/>
        <w:ind w:firstLine="0" w:firstLineChars="0"/>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11.3.1 </w:t>
      </w:r>
      <w:r>
        <w:rPr>
          <w:rFonts w:hint="eastAsia"/>
          <w:color w:val="000000" w:themeColor="text1"/>
          <w14:textFill>
            <w14:solidFill>
              <w14:schemeClr w14:val="tx1"/>
            </w14:solidFill>
          </w14:textFill>
        </w:rPr>
        <w:t>暗挖车站施工方法应根据车站结构类型合理选择，采用双侧壁导坑法、CRD法修建车站应符合本规程第</w:t>
      </w:r>
      <w:r>
        <w:rPr>
          <w:rFonts w:hint="eastAsia"/>
          <w:b/>
          <w:bCs/>
          <w:color w:val="000000" w:themeColor="text1"/>
          <w14:textFill>
            <w14:solidFill>
              <w14:schemeClr w14:val="tx1"/>
            </w14:solidFill>
          </w14:textFill>
        </w:rPr>
        <w:t>11.2</w:t>
      </w:r>
      <w:r>
        <w:rPr>
          <w:rFonts w:hint="eastAsia"/>
          <w:color w:val="000000" w:themeColor="text1"/>
          <w14:textFill>
            <w14:solidFill>
              <w14:schemeClr w14:val="tx1"/>
            </w14:solidFill>
          </w14:textFill>
        </w:rPr>
        <w:t>节的有关规定。</w:t>
      </w:r>
    </w:p>
    <w:p>
      <w:pPr>
        <w:pStyle w:val="22"/>
        <w:tabs>
          <w:tab w:val="left" w:pos="851"/>
          <w:tab w:val="left" w:pos="5835"/>
        </w:tabs>
        <w:snapToGrid w:val="0"/>
        <w:spacing w:line="360" w:lineRule="auto"/>
        <w:ind w:firstLine="0" w:firstLineChars="0"/>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11.3.2 </w:t>
      </w:r>
      <w:r>
        <w:rPr>
          <w:rFonts w:hint="eastAsia"/>
          <w:color w:val="000000" w:themeColor="text1"/>
          <w14:textFill>
            <w14:solidFill>
              <w14:schemeClr w14:val="tx1"/>
            </w14:solidFill>
          </w14:textFill>
        </w:rPr>
        <w:t>暗挖车站中洞法开挖应符合下列规定：</w:t>
      </w:r>
    </w:p>
    <w:p>
      <w:pPr>
        <w:pStyle w:val="22"/>
        <w:tabs>
          <w:tab w:val="left" w:pos="851"/>
          <w:tab w:val="left" w:pos="5835"/>
        </w:tabs>
        <w:snapToGrid w:val="0"/>
        <w:spacing w:line="360" w:lineRule="auto"/>
        <w:ind w:firstLine="422"/>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1</w:t>
      </w:r>
      <w:r>
        <w:rPr>
          <w:rFonts w:hint="eastAsia"/>
          <w:color w:val="000000" w:themeColor="text1"/>
          <w14:textFill>
            <w14:solidFill>
              <w14:schemeClr w14:val="tx1"/>
            </w14:solidFill>
          </w14:textFill>
        </w:rPr>
        <w:t xml:space="preserve"> 暗挖车站中洞法应按照中间部分（中洞）开挖</w:t>
      </w:r>
      <w:r>
        <w:rPr>
          <w:rFonts w:hint="eastAsia" w:ascii="宋体" w:hAnsi="宋体" w:cs="宋体"/>
          <w:color w:val="000000" w:themeColor="text1"/>
          <w14:textFill>
            <w14:solidFill>
              <w14:schemeClr w14:val="tx1"/>
            </w14:solidFill>
          </w14:textFill>
        </w:rPr>
        <w:t>→</w:t>
      </w:r>
      <w:r>
        <w:rPr>
          <w:rFonts w:hint="eastAsia"/>
          <w:color w:val="000000" w:themeColor="text1"/>
          <w14:textFill>
            <w14:solidFill>
              <w14:schemeClr w14:val="tx1"/>
            </w14:solidFill>
          </w14:textFill>
        </w:rPr>
        <w:t>中洞内梁柱结构施工</w:t>
      </w:r>
      <w:r>
        <w:rPr>
          <w:rFonts w:hint="eastAsia" w:ascii="宋体" w:hAnsi="宋体" w:cs="宋体"/>
          <w:color w:val="000000" w:themeColor="text1"/>
          <w14:textFill>
            <w14:solidFill>
              <w14:schemeClr w14:val="tx1"/>
            </w14:solidFill>
          </w14:textFill>
        </w:rPr>
        <w:t>→</w:t>
      </w:r>
      <w:r>
        <w:rPr>
          <w:rFonts w:hint="eastAsia"/>
          <w:color w:val="000000" w:themeColor="text1"/>
          <w14:textFill>
            <w14:solidFill>
              <w14:schemeClr w14:val="tx1"/>
            </w14:solidFill>
          </w14:textFill>
        </w:rPr>
        <w:t>两侧部分（侧洞）开挖的顺序进行；</w:t>
      </w:r>
    </w:p>
    <w:p>
      <w:pPr>
        <w:pStyle w:val="22"/>
        <w:tabs>
          <w:tab w:val="left" w:pos="851"/>
          <w:tab w:val="left" w:pos="5835"/>
        </w:tabs>
        <w:snapToGrid w:val="0"/>
        <w:spacing w:line="360" w:lineRule="auto"/>
        <w:ind w:firstLine="422"/>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2 </w:t>
      </w:r>
      <w:r>
        <w:rPr>
          <w:rFonts w:hint="eastAsia"/>
          <w:color w:val="000000" w:themeColor="text1"/>
          <w14:textFill>
            <w14:solidFill>
              <w14:schemeClr w14:val="tx1"/>
            </w14:solidFill>
          </w14:textFill>
        </w:rPr>
        <w:t>中洞施工宜采用中隔壁（CD）法 、交叉中隔壁（CRD ）法，并应符合本规程第</w:t>
      </w:r>
      <w:r>
        <w:rPr>
          <w:rFonts w:hint="eastAsia"/>
          <w:b/>
          <w:bCs/>
          <w:color w:val="000000" w:themeColor="text1"/>
          <w14:textFill>
            <w14:solidFill>
              <w14:schemeClr w14:val="tx1"/>
            </w14:solidFill>
          </w14:textFill>
        </w:rPr>
        <w:t>11.2.3、11.2.4条</w:t>
      </w:r>
      <w:r>
        <w:rPr>
          <w:rFonts w:hint="eastAsia"/>
          <w:color w:val="000000" w:themeColor="text1"/>
          <w14:textFill>
            <w14:solidFill>
              <w14:schemeClr w14:val="tx1"/>
            </w14:solidFill>
          </w14:textFill>
        </w:rPr>
        <w:t>的规定；</w:t>
      </w:r>
    </w:p>
    <w:p>
      <w:pPr>
        <w:pStyle w:val="22"/>
        <w:tabs>
          <w:tab w:val="left" w:pos="851"/>
          <w:tab w:val="left" w:pos="5835"/>
        </w:tabs>
        <w:snapToGrid w:val="0"/>
        <w:spacing w:line="360" w:lineRule="auto"/>
        <w:ind w:firstLine="422"/>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3 </w:t>
      </w:r>
      <w:r>
        <w:rPr>
          <w:rFonts w:hint="eastAsia"/>
          <w:color w:val="000000" w:themeColor="text1"/>
          <w14:textFill>
            <w14:solidFill>
              <w14:schemeClr w14:val="tx1"/>
            </w14:solidFill>
          </w14:textFill>
        </w:rPr>
        <w:t>侧洞应在中洞梁柱结构施工完成后并达到设计强度后进行；左右侧洞应对称开挖，开挖前沿拱墙进行超前小导管注浆加固，开挖后及时施作初期支护和中隔板；</w:t>
      </w:r>
    </w:p>
    <w:p>
      <w:pPr>
        <w:pStyle w:val="22"/>
        <w:tabs>
          <w:tab w:val="left" w:pos="851"/>
          <w:tab w:val="left" w:pos="5835"/>
        </w:tabs>
        <w:snapToGrid w:val="0"/>
        <w:spacing w:line="360" w:lineRule="auto"/>
        <w:ind w:firstLine="422"/>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4 </w:t>
      </w:r>
      <w:r>
        <w:rPr>
          <w:rFonts w:hint="eastAsia"/>
          <w:color w:val="000000" w:themeColor="text1"/>
          <w14:textFill>
            <w14:solidFill>
              <w14:schemeClr w14:val="tx1"/>
            </w14:solidFill>
          </w14:textFill>
        </w:rPr>
        <w:t>导洞应自上而下，采用台阶法开挖。</w:t>
      </w:r>
    </w:p>
    <w:p>
      <w:pPr>
        <w:pStyle w:val="22"/>
        <w:widowControl/>
        <w:tabs>
          <w:tab w:val="left" w:pos="851"/>
          <w:tab w:val="left" w:pos="5835"/>
        </w:tabs>
        <w:snapToGrid w:val="0"/>
        <w:spacing w:line="360" w:lineRule="auto"/>
        <w:ind w:firstLine="0" w:firstLineChars="0"/>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11.3.3 </w:t>
      </w:r>
      <w:r>
        <w:rPr>
          <w:rFonts w:hint="eastAsia"/>
          <w:color w:val="000000" w:themeColor="text1"/>
          <w14:textFill>
            <w14:solidFill>
              <w14:schemeClr w14:val="tx1"/>
            </w14:solidFill>
          </w14:textFill>
        </w:rPr>
        <w:t>侧洞法开挖应符合本规程第</w:t>
      </w:r>
      <w:r>
        <w:rPr>
          <w:rFonts w:hint="eastAsia"/>
          <w:b/>
          <w:bCs/>
          <w:color w:val="000000" w:themeColor="text1"/>
          <w14:textFill>
            <w14:solidFill>
              <w14:schemeClr w14:val="tx1"/>
            </w14:solidFill>
          </w14:textFill>
        </w:rPr>
        <w:t>11.2.5</w:t>
      </w:r>
      <w:r>
        <w:rPr>
          <w:rFonts w:hint="eastAsia"/>
          <w:color w:val="000000" w:themeColor="text1"/>
          <w14:textFill>
            <w14:solidFill>
              <w14:schemeClr w14:val="tx1"/>
            </w14:solidFill>
          </w14:textFill>
        </w:rPr>
        <w:t>条的规定，并应符合下列规定：</w:t>
      </w:r>
    </w:p>
    <w:p>
      <w:pPr>
        <w:pStyle w:val="22"/>
        <w:tabs>
          <w:tab w:val="left" w:pos="851"/>
          <w:tab w:val="left" w:pos="5835"/>
        </w:tabs>
        <w:snapToGrid w:val="0"/>
        <w:spacing w:line="360" w:lineRule="auto"/>
        <w:ind w:firstLine="422"/>
        <w:jc w:val="left"/>
        <w:rPr>
          <w:rFonts w:hAnsi="宋体" w:cstheme="minorEastAsia"/>
          <w:color w:val="000000" w:themeColor="text1"/>
          <w:szCs w:val="21"/>
          <w14:textFill>
            <w14:solidFill>
              <w14:schemeClr w14:val="tx1"/>
            </w14:solidFill>
          </w14:textFill>
        </w:rPr>
      </w:pPr>
      <w:r>
        <w:rPr>
          <w:rFonts w:hint="eastAsia"/>
          <w:b/>
          <w:bCs/>
          <w:color w:val="000000" w:themeColor="text1"/>
          <w14:textFill>
            <w14:solidFill>
              <w14:schemeClr w14:val="tx1"/>
            </w14:solidFill>
          </w14:textFill>
        </w:rPr>
        <w:t xml:space="preserve">1 </w:t>
      </w:r>
      <w:r>
        <w:rPr>
          <w:rFonts w:hint="eastAsia" w:hAnsi="宋体" w:cstheme="minorEastAsia"/>
          <w:color w:val="000000" w:themeColor="text1"/>
          <w:szCs w:val="21"/>
          <w14:textFill>
            <w14:solidFill>
              <w14:schemeClr w14:val="tx1"/>
            </w14:solidFill>
          </w14:textFill>
        </w:rPr>
        <w:t>侧洞、中洞应分上、中、下3层导洞开挖，</w:t>
      </w:r>
      <w:r>
        <w:rPr>
          <w:rFonts w:hint="eastAsia"/>
          <w:color w:val="000000" w:themeColor="text1"/>
          <w14:textFill>
            <w14:solidFill>
              <w14:schemeClr w14:val="tx1"/>
            </w14:solidFill>
          </w14:textFill>
        </w:rPr>
        <w:t>各层导洞应相互错开</w:t>
      </w:r>
      <w:r>
        <w:rPr>
          <w:rFonts w:hint="eastAsia" w:hAnsi="宋体" w:cstheme="minorEastAsia"/>
          <w:color w:val="000000" w:themeColor="text1"/>
          <w:szCs w:val="21"/>
          <w14:textFill>
            <w14:solidFill>
              <w14:schemeClr w14:val="tx1"/>
            </w14:solidFill>
          </w14:textFill>
        </w:rPr>
        <w:t>；</w:t>
      </w:r>
    </w:p>
    <w:p>
      <w:pPr>
        <w:pStyle w:val="22"/>
        <w:tabs>
          <w:tab w:val="left" w:pos="851"/>
          <w:tab w:val="left" w:pos="5835"/>
        </w:tabs>
        <w:snapToGrid w:val="0"/>
        <w:spacing w:line="360" w:lineRule="auto"/>
        <w:ind w:firstLine="422"/>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2 </w:t>
      </w:r>
      <w:r>
        <w:rPr>
          <w:rFonts w:hint="eastAsia"/>
          <w:color w:val="000000" w:themeColor="text1"/>
          <w14:textFill>
            <w14:solidFill>
              <w14:schemeClr w14:val="tx1"/>
            </w14:solidFill>
          </w14:textFill>
        </w:rPr>
        <w:t>侧洞应先行开挖，左右</w:t>
      </w:r>
      <w:r>
        <w:rPr>
          <w:rFonts w:hint="eastAsia" w:hAnsi="宋体" w:cstheme="minorEastAsia"/>
          <w:color w:val="000000" w:themeColor="text1"/>
          <w:szCs w:val="21"/>
          <w14:textFill>
            <w14:solidFill>
              <w14:schemeClr w14:val="tx1"/>
            </w14:solidFill>
          </w14:textFill>
        </w:rPr>
        <w:t>侧洞格栅钢架位置应准确、相互对应，与中洞横向节点连接应牢固</w:t>
      </w:r>
      <w:r>
        <w:rPr>
          <w:rFonts w:hint="eastAsia"/>
          <w:color w:val="000000" w:themeColor="text1"/>
          <w14:textFill>
            <w14:solidFill>
              <w14:schemeClr w14:val="tx1"/>
            </w14:solidFill>
          </w14:textFill>
        </w:rPr>
        <w:t>；</w:t>
      </w:r>
    </w:p>
    <w:p>
      <w:pPr>
        <w:pStyle w:val="22"/>
        <w:tabs>
          <w:tab w:val="left" w:pos="851"/>
          <w:tab w:val="left" w:pos="5835"/>
        </w:tabs>
        <w:snapToGrid w:val="0"/>
        <w:spacing w:line="360" w:lineRule="auto"/>
        <w:ind w:firstLine="422"/>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3 </w:t>
      </w:r>
      <w:r>
        <w:rPr>
          <w:rFonts w:hint="eastAsia"/>
          <w:color w:val="000000" w:themeColor="text1"/>
          <w14:textFill>
            <w14:solidFill>
              <w14:schemeClr w14:val="tx1"/>
            </w14:solidFill>
          </w14:textFill>
        </w:rPr>
        <w:t>中洞应在侧洞二次衬砌结构完成并达到设计强度后方可开挖，宜分上、下台阶开挖。</w:t>
      </w:r>
    </w:p>
    <w:p>
      <w:pPr>
        <w:pStyle w:val="22"/>
        <w:tabs>
          <w:tab w:val="left" w:pos="851"/>
          <w:tab w:val="left" w:pos="5835"/>
        </w:tabs>
        <w:snapToGrid w:val="0"/>
        <w:spacing w:line="360" w:lineRule="auto"/>
        <w:ind w:firstLine="0" w:firstLineChars="0"/>
        <w:rPr>
          <w:rFonts w:hAnsi="宋体"/>
          <w:color w:val="000000" w:themeColor="text1"/>
          <w:szCs w:val="21"/>
          <w14:textFill>
            <w14:solidFill>
              <w14:schemeClr w14:val="tx1"/>
            </w14:solidFill>
          </w14:textFill>
        </w:rPr>
      </w:pPr>
      <w:r>
        <w:rPr>
          <w:rFonts w:hint="eastAsia"/>
          <w:b/>
          <w:bCs/>
          <w:color w:val="000000" w:themeColor="text1"/>
          <w14:textFill>
            <w14:solidFill>
              <w14:schemeClr w14:val="tx1"/>
            </w14:solidFill>
          </w14:textFill>
        </w:rPr>
        <w:t xml:space="preserve">11.3.4 </w:t>
      </w:r>
      <w:r>
        <w:rPr>
          <w:rFonts w:hint="eastAsia"/>
          <w:color w:val="000000" w:themeColor="text1"/>
          <w14:textFill>
            <w14:solidFill>
              <w14:schemeClr w14:val="tx1"/>
            </w14:solidFill>
          </w14:textFill>
        </w:rPr>
        <w:t xml:space="preserve"> </w:t>
      </w:r>
      <w:r>
        <w:rPr>
          <w:rFonts w:hint="eastAsia" w:hAnsi="宋体"/>
          <w:color w:val="000000" w:themeColor="text1"/>
          <w:szCs w:val="21"/>
          <w14:textFill>
            <w14:solidFill>
              <w14:schemeClr w14:val="tx1"/>
            </w14:solidFill>
          </w14:textFill>
        </w:rPr>
        <w:t>柱洞法开挖应符合下列规定：</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 xml:space="preserve">1 </w:t>
      </w:r>
      <w:r>
        <w:rPr>
          <w:rFonts w:hint="eastAsia" w:hAnsi="宋体" w:cstheme="minorEastAsia"/>
          <w:color w:val="000000" w:themeColor="text1"/>
          <w:sz w:val="21"/>
          <w:szCs w:val="21"/>
          <w14:textFill>
            <w14:solidFill>
              <w14:schemeClr w14:val="tx1"/>
            </w14:solidFill>
          </w14:textFill>
        </w:rPr>
        <w:t>侧洞、柱洞和中洞应分上、中、下层导洞开挖；</w:t>
      </w:r>
    </w:p>
    <w:p>
      <w:pPr>
        <w:pStyle w:val="21"/>
        <w:snapToGrid w:val="0"/>
        <w:spacing w:line="360" w:lineRule="auto"/>
        <w:ind w:firstLine="361" w:firstLineChars="171"/>
        <w:jc w:val="both"/>
        <w:rPr>
          <w:rFonts w:ascii="Times New Roman" w:cs="Times New Roman"/>
          <w:b/>
          <w:bCs/>
          <w:color w:val="000000" w:themeColor="text1"/>
          <w:kern w:val="2"/>
          <w:sz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 xml:space="preserve">2 </w:t>
      </w:r>
      <w:r>
        <w:rPr>
          <w:rFonts w:hint="eastAsia" w:hAnsi="宋体" w:cstheme="minorEastAsia"/>
          <w:color w:val="000000" w:themeColor="text1"/>
          <w:sz w:val="21"/>
          <w:szCs w:val="21"/>
          <w14:textFill>
            <w14:solidFill>
              <w14:schemeClr w14:val="tx1"/>
            </w14:solidFill>
          </w14:textFill>
        </w:rPr>
        <w:t>侧洞、柱洞和中洞开挖应自上而下、分层、对称进行，开挖应符合初期支护和二衬结构设计要求；</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 xml:space="preserve">3 </w:t>
      </w:r>
      <w:r>
        <w:rPr>
          <w:rFonts w:hint="eastAsia" w:hAnsi="宋体" w:cstheme="minorEastAsia"/>
          <w:color w:val="000000" w:themeColor="text1"/>
          <w:sz w:val="21"/>
          <w:szCs w:val="21"/>
          <w14:textFill>
            <w14:solidFill>
              <w14:schemeClr w14:val="tx1"/>
            </w14:solidFill>
          </w14:textFill>
        </w:rPr>
        <w:t>柱洞初期支护、洞内梁、柱结构施工完成后方可进行中洞、侧洞开挖；</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 xml:space="preserve">4 </w:t>
      </w:r>
      <w:r>
        <w:rPr>
          <w:rFonts w:hint="eastAsia" w:hAnsi="宋体" w:cstheme="minorEastAsia"/>
          <w:color w:val="000000" w:themeColor="text1"/>
          <w:sz w:val="21"/>
          <w:szCs w:val="21"/>
          <w14:textFill>
            <w14:solidFill>
              <w14:schemeClr w14:val="tx1"/>
            </w14:solidFill>
          </w14:textFill>
        </w:rPr>
        <w:t>中洞应在柱洞内梁、柱结构完成并达到设计强度后开挖；</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 xml:space="preserve">5 </w:t>
      </w:r>
      <w:r>
        <w:rPr>
          <w:rFonts w:hint="eastAsia" w:hAnsi="宋体" w:cstheme="minorEastAsia"/>
          <w:color w:val="000000" w:themeColor="text1"/>
          <w:sz w:val="21"/>
          <w:szCs w:val="21"/>
          <w14:textFill>
            <w14:solidFill>
              <w14:schemeClr w14:val="tx1"/>
            </w14:solidFill>
          </w14:textFill>
        </w:rPr>
        <w:t>侧洞应在中洞、柱洞二衬结构完成并达到设计强度后开挖。</w:t>
      </w:r>
    </w:p>
    <w:p>
      <w:pPr>
        <w:pStyle w:val="22"/>
        <w:numPr>
          <w:ilvl w:val="255"/>
          <w:numId w:val="0"/>
        </w:num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int="eastAsia"/>
          <w:b/>
          <w:bCs/>
          <w:color w:val="000000" w:themeColor="text1"/>
          <w14:textFill>
            <w14:solidFill>
              <w14:schemeClr w14:val="tx1"/>
            </w14:solidFill>
          </w14:textFill>
        </w:rPr>
        <w:t xml:space="preserve">11.3.5 </w:t>
      </w:r>
      <w:r>
        <w:rPr>
          <w:rFonts w:hint="eastAsia" w:hAnsi="宋体"/>
          <w:color w:val="000000" w:themeColor="text1"/>
          <w:szCs w:val="21"/>
          <w14:textFill>
            <w14:solidFill>
              <w14:schemeClr w14:val="tx1"/>
            </w14:solidFill>
          </w14:textFill>
        </w:rPr>
        <w:t>洞桩法（</w:t>
      </w:r>
      <w:r>
        <w:rPr>
          <w:rFonts w:hint="eastAsia"/>
          <w:color w:val="000000" w:themeColor="text1"/>
          <w14:textFill>
            <w14:solidFill>
              <w14:schemeClr w14:val="tx1"/>
            </w14:solidFill>
          </w14:textFill>
        </w:rPr>
        <w:t>PBA法）</w:t>
      </w:r>
      <w:r>
        <w:rPr>
          <w:rFonts w:hint="eastAsia" w:hAnsi="宋体"/>
          <w:color w:val="000000" w:themeColor="text1"/>
          <w:szCs w:val="21"/>
          <w14:textFill>
            <w14:solidFill>
              <w14:schemeClr w14:val="tx1"/>
            </w14:solidFill>
          </w14:textFill>
        </w:rPr>
        <w:t>开挖应符合下列规定：</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 xml:space="preserve">1 </w:t>
      </w:r>
      <w:r>
        <w:rPr>
          <w:rFonts w:hint="eastAsia" w:hAnsi="宋体" w:cstheme="minorEastAsia"/>
          <w:color w:val="000000" w:themeColor="text1"/>
          <w:sz w:val="21"/>
          <w:szCs w:val="21"/>
          <w14:textFill>
            <w14:solidFill>
              <w14:schemeClr w14:val="tx1"/>
            </w14:solidFill>
          </w14:textFill>
        </w:rPr>
        <w:t>导洞按照设计要求的次序开挖；宜先下部导洞后上部导洞，先边导洞后中导洞，距离建筑物较近的导洞宜先开挖；导洞的工作面前后错开不应小于10m；</w:t>
      </w:r>
    </w:p>
    <w:p>
      <w:pPr>
        <w:pStyle w:val="21"/>
        <w:snapToGrid w:val="0"/>
        <w:spacing w:line="360" w:lineRule="auto"/>
        <w:ind w:firstLine="361" w:firstLineChars="171"/>
        <w:jc w:val="both"/>
        <w:rPr>
          <w:rFonts w:hAnsi="宋体" w:cstheme="minorEastAsia"/>
          <w:strike/>
          <w:color w:val="000000" w:themeColor="text1"/>
          <w:sz w:val="21"/>
          <w:szCs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 xml:space="preserve">2 </w:t>
      </w:r>
      <w:r>
        <w:rPr>
          <w:rFonts w:hint="eastAsia" w:hAnsi="宋体" w:cstheme="minorEastAsia"/>
          <w:color w:val="000000" w:themeColor="text1"/>
          <w:sz w:val="21"/>
          <w:szCs w:val="21"/>
          <w14:textFill>
            <w14:solidFill>
              <w14:schemeClr w14:val="tx1"/>
            </w14:solidFill>
          </w14:textFill>
        </w:rPr>
        <w:t>导洞、扣拱开挖前，应对地下水采取降、堵、排等结合措施，保证无水施工，应进行地层超前加固，开挖与支护应紧密配合，及时进行初支背后回填注浆，变形沉降应符合设计要求；</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3</w:t>
      </w:r>
      <w:r>
        <w:rPr>
          <w:rFonts w:hint="eastAsia" w:hAnsi="宋体" w:cstheme="minorEastAsia"/>
          <w:color w:val="000000" w:themeColor="text1"/>
          <w:sz w:val="21"/>
          <w:szCs w:val="21"/>
          <w14:textFill>
            <w14:solidFill>
              <w14:schemeClr w14:val="tx1"/>
            </w14:solidFill>
          </w14:textFill>
        </w:rPr>
        <w:t xml:space="preserve"> 扣拱应左右对称施工，拱部土体应采用台阶法同向开挖，宜先两侧后中部开挖，工作面错开距离不宜小于6m，两侧开挖应同步进行；</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 xml:space="preserve">4 </w:t>
      </w:r>
      <w:r>
        <w:rPr>
          <w:rFonts w:hint="eastAsia" w:hAnsi="宋体" w:cstheme="minorEastAsia"/>
          <w:color w:val="000000" w:themeColor="text1"/>
          <w:sz w:val="21"/>
          <w:szCs w:val="21"/>
          <w14:textFill>
            <w14:solidFill>
              <w14:schemeClr w14:val="tx1"/>
            </w14:solidFill>
          </w14:textFill>
        </w:rPr>
        <w:t>上部导洞初期支护拆除，应按设计要求安装临时支撑；</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 xml:space="preserve">5 </w:t>
      </w:r>
      <w:r>
        <w:rPr>
          <w:rFonts w:hint="eastAsia" w:hAnsi="宋体" w:cstheme="minorEastAsia"/>
          <w:color w:val="000000" w:themeColor="text1"/>
          <w:sz w:val="21"/>
          <w:szCs w:val="21"/>
          <w14:textFill>
            <w14:solidFill>
              <w14:schemeClr w14:val="tx1"/>
            </w14:solidFill>
          </w14:textFill>
        </w:rPr>
        <w:t>车站主体土方应在二衬扣拱保护下分段、分层开挖，车站主体结构应及时分段施工。</w:t>
      </w:r>
    </w:p>
    <w:p>
      <w:pPr>
        <w:pStyle w:val="21"/>
        <w:snapToGrid w:val="0"/>
        <w:spacing w:line="360" w:lineRule="auto"/>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11.3.6 </w:t>
      </w:r>
      <w:r>
        <w:rPr>
          <w:rFonts w:hint="eastAsia" w:ascii="Times New Roman" w:hAnsi="宋体" w:cs="Times New Roman"/>
          <w:color w:val="000000" w:themeColor="text1"/>
          <w:kern w:val="2"/>
          <w:sz w:val="21"/>
          <w:szCs w:val="21"/>
          <w14:textFill>
            <w14:solidFill>
              <w14:schemeClr w14:val="tx1"/>
            </w14:solidFill>
          </w14:textFill>
        </w:rPr>
        <w:t>地铁车站采用洞桩法（PBA）扩挖盾构隧道，开挖应符合下列规定：</w:t>
      </w:r>
    </w:p>
    <w:p>
      <w:pPr>
        <w:widowControl/>
        <w:spacing w:line="360" w:lineRule="auto"/>
        <w:ind w:left="420" w:leftChars="20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hAnsi="宋体"/>
          <w:color w:val="000000" w:themeColor="text1"/>
          <w:szCs w:val="21"/>
          <w14:textFill>
            <w14:solidFill>
              <w14:schemeClr w14:val="tx1"/>
            </w14:solidFill>
          </w14:textFill>
        </w:rPr>
        <w:t>盾构通过车站附属构筑物时，应按设计要求采取土体注浆加固、设置加强梁等加固措施；</w:t>
      </w:r>
      <w:r>
        <w:rPr>
          <w:rFonts w:hint="eastAsia" w:hAnsi="宋体"/>
          <w:b/>
          <w:bCs/>
          <w:color w:val="000000" w:themeColor="text1"/>
          <w:szCs w:val="21"/>
          <w14:textFill>
            <w14:solidFill>
              <w14:schemeClr w14:val="tx1"/>
            </w14:solidFill>
          </w14:textFill>
        </w:rPr>
        <w:t xml:space="preserve">2 </w:t>
      </w:r>
      <w:r>
        <w:rPr>
          <w:rFonts w:hint="eastAsia" w:hAnsi="宋体"/>
          <w:color w:val="000000" w:themeColor="text1"/>
          <w:szCs w:val="21"/>
          <w14:textFill>
            <w14:solidFill>
              <w14:schemeClr w14:val="tx1"/>
            </w14:solidFill>
          </w14:textFill>
        </w:rPr>
        <w:t>开挖前应按设计要求进行土体加固、止水；</w:t>
      </w:r>
    </w:p>
    <w:p>
      <w:pPr>
        <w:widowControl/>
        <w:spacing w:line="360" w:lineRule="auto"/>
        <w:ind w:firstLine="420" w:firstLineChars="200"/>
        <w:jc w:val="left"/>
        <w:rPr>
          <w:rFonts w:hAnsi="宋体"/>
          <w:color w:val="000000" w:themeColor="text1"/>
          <w:szCs w:val="21"/>
          <w14:textFill>
            <w14:solidFill>
              <w14:schemeClr w14:val="tx1"/>
            </w14:solidFill>
          </w14:textFill>
        </w:rPr>
      </w:pPr>
    </w:p>
    <w:p>
      <w:pPr>
        <w:widowControl/>
        <w:spacing w:line="360" w:lineRule="auto"/>
        <w:ind w:firstLine="420" w:firstLineChars="200"/>
        <w:jc w:val="center"/>
        <w:rPr>
          <w:rFonts w:hAnsi="宋体"/>
          <w:color w:val="000000" w:themeColor="text1"/>
          <w:szCs w:val="21"/>
          <w14:textFill>
            <w14:solidFill>
              <w14:schemeClr w14:val="tx1"/>
            </w14:solidFill>
          </w14:textFill>
        </w:rPr>
      </w:pPr>
      <w:r>
        <w:rPr>
          <w:color w:val="000000" w:themeColor="text1"/>
          <w14:textFill>
            <w14:solidFill>
              <w14:schemeClr w14:val="tx1"/>
            </w14:solidFill>
          </w14:textFill>
        </w:rPr>
        <w:drawing>
          <wp:inline distT="0" distB="0" distL="114300" distR="114300">
            <wp:extent cx="3637915" cy="1988185"/>
            <wp:effectExtent l="0" t="0" r="6985" b="5715"/>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pic:cNvPicPr>
                      <a:picLocks noChangeAspect="1"/>
                    </pic:cNvPicPr>
                  </pic:nvPicPr>
                  <pic:blipFill>
                    <a:blip r:embed="rId96"/>
                    <a:stretch>
                      <a:fillRect/>
                    </a:stretch>
                  </pic:blipFill>
                  <pic:spPr>
                    <a:xfrm>
                      <a:off x="0" y="0"/>
                      <a:ext cx="3637915" cy="1988185"/>
                    </a:xfrm>
                    <a:prstGeom prst="rect">
                      <a:avLst/>
                    </a:prstGeom>
                    <a:noFill/>
                    <a:ln>
                      <a:noFill/>
                    </a:ln>
                  </pic:spPr>
                </pic:pic>
              </a:graphicData>
            </a:graphic>
          </wp:inline>
        </w:drawing>
      </w:r>
    </w:p>
    <w:p>
      <w:pPr>
        <w:spacing w:line="360" w:lineRule="auto"/>
        <w:ind w:firstLine="422" w:firstLineChars="200"/>
        <w:jc w:val="center"/>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图11.3.6  </w:t>
      </w:r>
      <w:r>
        <w:rPr>
          <w:rFonts w:hint="eastAsia"/>
          <w:color w:val="000000" w:themeColor="text1"/>
          <w14:textFill>
            <w14:solidFill>
              <w14:schemeClr w14:val="tx1"/>
            </w14:solidFill>
          </w14:textFill>
        </w:rPr>
        <w:t>盾构扩挖车站结构断面图</w:t>
      </w:r>
    </w:p>
    <w:p>
      <w:pPr>
        <w:widowControl/>
        <w:spacing w:line="360" w:lineRule="auto"/>
        <w:ind w:firstLine="422" w:firstLineChars="200"/>
        <w:jc w:val="center"/>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hAnsi="宋体"/>
          <w:color w:val="000000" w:themeColor="text1"/>
          <w:szCs w:val="21"/>
          <w14:textFill>
            <w14:solidFill>
              <w14:schemeClr w14:val="tx1"/>
            </w14:solidFill>
          </w14:textFill>
        </w:rPr>
        <w:t>侧导洞开挖、中间洞室开挖及扣拱施工应利用横通道分区、分段进行，并应符合本规程第11.3.5条的规定；横通道应在在盾构隧道中墙完成后开挖，以增加侧导洞、中间洞室工作面；</w:t>
      </w:r>
    </w:p>
    <w:p>
      <w:pPr>
        <w:widowControl/>
        <w:spacing w:line="360" w:lineRule="auto"/>
        <w:ind w:firstLine="422" w:firstLineChars="20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hAnsi="宋体"/>
          <w:color w:val="000000" w:themeColor="text1"/>
          <w:szCs w:val="21"/>
          <w14:textFill>
            <w14:solidFill>
              <w14:schemeClr w14:val="tx1"/>
            </w14:solidFill>
          </w14:textFill>
        </w:rPr>
        <w:t>中墙施工与侧导洞开挖、侧导洞开挖与洞桩施工、中间洞室开挖与洞桩施工宜同步进行；</w:t>
      </w:r>
    </w:p>
    <w:p>
      <w:pPr>
        <w:widowControl/>
        <w:spacing w:line="360" w:lineRule="auto"/>
        <w:ind w:firstLine="422" w:firstLineChars="20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5 </w:t>
      </w:r>
      <w:r>
        <w:rPr>
          <w:rFonts w:hint="eastAsia" w:hAnsi="宋体"/>
          <w:color w:val="000000" w:themeColor="text1"/>
          <w:szCs w:val="21"/>
          <w14:textFill>
            <w14:solidFill>
              <w14:schemeClr w14:val="tx1"/>
            </w14:solidFill>
          </w14:textFill>
        </w:rPr>
        <w:t>侧导洞开挖应对称开挖，并应盾构隧道内架设支撑后进行，侧导洞工作面步距不应大于20m；</w:t>
      </w:r>
    </w:p>
    <w:p>
      <w:pPr>
        <w:widowControl/>
        <w:spacing w:line="360" w:lineRule="auto"/>
        <w:ind w:firstLine="422" w:firstLineChars="20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6 </w:t>
      </w:r>
      <w:r>
        <w:rPr>
          <w:rFonts w:hint="eastAsia" w:hAnsi="宋体"/>
          <w:color w:val="000000" w:themeColor="text1"/>
          <w:szCs w:val="21"/>
          <w14:textFill>
            <w14:solidFill>
              <w14:schemeClr w14:val="tx1"/>
            </w14:solidFill>
          </w14:textFill>
        </w:rPr>
        <w:t>应在侧导洞内对中间洞室拱部土体进行注浆加固，中间洞室差异沉降符合设计要求；</w:t>
      </w:r>
    </w:p>
    <w:p>
      <w:pPr>
        <w:widowControl/>
        <w:spacing w:line="360" w:lineRule="auto"/>
        <w:ind w:firstLine="422" w:firstLineChars="20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 </w:t>
      </w:r>
      <w:r>
        <w:rPr>
          <w:rFonts w:hint="eastAsia" w:hAnsi="宋体"/>
          <w:color w:val="000000" w:themeColor="text1"/>
          <w:szCs w:val="21"/>
          <w14:textFill>
            <w14:solidFill>
              <w14:schemeClr w14:val="tx1"/>
            </w14:solidFill>
          </w14:textFill>
        </w:rPr>
        <w:t>中间洞室应作为独立洞室采用台阶法进行开挖，工作面与侧导洞工作面的距离不应小于15m；开挖时应设置临时中隔壁等竖向支撑，应根据中间洞室拱部土体扰动状况，宜对初衬扣拱与盾构钢管片连接处节点土体进行深孔注浆加固。</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280" w:name="_Toc2727"/>
      <w:bookmarkStart w:id="281" w:name="_Toc23491"/>
      <w:bookmarkStart w:id="282" w:name="_Toc2989"/>
      <w:bookmarkStart w:id="283" w:name="_Toc28775"/>
      <w:bookmarkStart w:id="284" w:name="_Toc12325"/>
      <w:bookmarkStart w:id="285" w:name="_Toc30589"/>
      <w:r>
        <w:rPr>
          <w:rFonts w:hint="eastAsia" w:hAnsi="宋体"/>
          <w:b/>
          <w:color w:val="000000" w:themeColor="text1"/>
          <w:sz w:val="24"/>
          <w14:textFill>
            <w14:solidFill>
              <w14:schemeClr w14:val="tx1"/>
            </w14:solidFill>
          </w14:textFill>
        </w:rPr>
        <w:t>11.4  附属结构开挖</w:t>
      </w:r>
      <w:bookmarkEnd w:id="280"/>
      <w:bookmarkEnd w:id="281"/>
      <w:bookmarkEnd w:id="282"/>
      <w:bookmarkEnd w:id="283"/>
      <w:bookmarkEnd w:id="284"/>
      <w:bookmarkEnd w:id="285"/>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11.4.1 </w:t>
      </w:r>
      <w:r>
        <w:rPr>
          <w:rFonts w:hint="eastAsia" w:hAnsi="宋体"/>
          <w:color w:val="000000" w:themeColor="text1"/>
          <w:szCs w:val="21"/>
          <w14:textFill>
            <w14:solidFill>
              <w14:schemeClr w14:val="tx1"/>
            </w14:solidFill>
          </w14:textFill>
        </w:rPr>
        <w:t>暗挖人行通道、联络通道及横通道开挖应符合本规程</w:t>
      </w:r>
      <w:r>
        <w:rPr>
          <w:rFonts w:hint="eastAsia"/>
          <w:color w:val="000000" w:themeColor="text1"/>
          <w14:textFill>
            <w14:solidFill>
              <w14:schemeClr w14:val="tx1"/>
            </w14:solidFill>
          </w14:textFill>
        </w:rPr>
        <w:t>第</w:t>
      </w:r>
      <w:r>
        <w:rPr>
          <w:rFonts w:hint="eastAsia"/>
          <w:b/>
          <w:bCs/>
          <w:color w:val="000000" w:themeColor="text1"/>
          <w14:textFill>
            <w14:solidFill>
              <w14:schemeClr w14:val="tx1"/>
            </w14:solidFill>
          </w14:textFill>
        </w:rPr>
        <w:t>11.2</w:t>
      </w:r>
      <w:r>
        <w:rPr>
          <w:rFonts w:hint="eastAsia"/>
          <w:color w:val="000000" w:themeColor="text1"/>
          <w14:textFill>
            <w14:solidFill>
              <w14:schemeClr w14:val="tx1"/>
            </w14:solidFill>
          </w14:textFill>
        </w:rPr>
        <w:t>节的有关规定。</w:t>
      </w:r>
      <w:bookmarkStart w:id="618" w:name="_GoBack"/>
      <w:bookmarkEnd w:id="618"/>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11.4.2 </w:t>
      </w:r>
      <w:r>
        <w:rPr>
          <w:rFonts w:hint="eastAsia" w:hAnsi="宋体"/>
          <w:color w:val="000000" w:themeColor="text1"/>
          <w:szCs w:val="21"/>
          <w14:textFill>
            <w14:solidFill>
              <w14:schemeClr w14:val="tx1"/>
            </w14:solidFill>
          </w14:textFill>
        </w:rPr>
        <w:t>平顶直墙通道开挖前宜对顶板、侧墙采用管棚支护、超前小导管支护等方法进行预支护和地层加固，加固范围和效果应符合设计要求。</w:t>
      </w:r>
    </w:p>
    <w:p>
      <w:pPr>
        <w:pStyle w:val="21"/>
        <w:snapToGrid w:val="0"/>
        <w:spacing w:line="360" w:lineRule="auto"/>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11.4.3 </w:t>
      </w:r>
      <w:r>
        <w:rPr>
          <w:rFonts w:hint="eastAsia" w:ascii="Times New Roman" w:hAnsi="宋体" w:cs="Times New Roman"/>
          <w:color w:val="000000" w:themeColor="text1"/>
          <w:kern w:val="2"/>
          <w:sz w:val="21"/>
          <w:szCs w:val="21"/>
          <w14:textFill>
            <w14:solidFill>
              <w14:schemeClr w14:val="tx1"/>
            </w14:solidFill>
          </w14:textFill>
        </w:rPr>
        <w:t>平顶直墙通道开挖应自上而下、分块、分层进行，宜跳洞对称开挖。各导洞开挖宽度、高度应符合设计要求；各导洞之间工作面错开距离宜为2倍的导洞开挖宽度，且不宜小于15m。</w:t>
      </w:r>
    </w:p>
    <w:p>
      <w:pPr>
        <w:pStyle w:val="21"/>
        <w:snapToGrid w:val="0"/>
        <w:spacing w:line="360" w:lineRule="auto"/>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11.4.4 </w:t>
      </w:r>
      <w:r>
        <w:rPr>
          <w:rFonts w:hint="eastAsia" w:ascii="Times New Roman" w:hAnsi="宋体" w:cs="Times New Roman"/>
          <w:color w:val="000000" w:themeColor="text1"/>
          <w:kern w:val="2"/>
          <w:sz w:val="21"/>
          <w:szCs w:val="21"/>
          <w14:textFill>
            <w14:solidFill>
              <w14:schemeClr w14:val="tx1"/>
            </w14:solidFill>
          </w14:textFill>
        </w:rPr>
        <w:t>各导洞应采用台阶法开挖，留核心土；台阶长度不宜大于1倍的导洞开挖宽度，每循环开挖进尺宜为0.5m。</w:t>
      </w:r>
    </w:p>
    <w:p>
      <w:pPr>
        <w:pStyle w:val="21"/>
        <w:snapToGrid w:val="0"/>
        <w:spacing w:line="360" w:lineRule="auto"/>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11.4.5 </w:t>
      </w:r>
      <w:r>
        <w:rPr>
          <w:rFonts w:hint="eastAsia" w:ascii="Times New Roman" w:hAnsi="宋体" w:cs="Times New Roman"/>
          <w:color w:val="000000" w:themeColor="text1"/>
          <w:kern w:val="2"/>
          <w:sz w:val="21"/>
          <w:szCs w:val="21"/>
          <w14:textFill>
            <w14:solidFill>
              <w14:schemeClr w14:val="tx1"/>
            </w14:solidFill>
          </w14:textFill>
        </w:rPr>
        <w:t>与现况预留口连接前，应对预留口土体采用超前小导管进行注浆加固，经检查符合要求后方可开挖。</w:t>
      </w:r>
    </w:p>
    <w:p>
      <w:pPr>
        <w:pStyle w:val="21"/>
        <w:tabs>
          <w:tab w:val="left" w:pos="1064"/>
        </w:tabs>
        <w:snapToGrid w:val="0"/>
        <w:spacing w:line="360" w:lineRule="auto"/>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11.4.6 </w:t>
      </w:r>
      <w:r>
        <w:rPr>
          <w:rFonts w:hint="eastAsia" w:ascii="Times New Roman" w:hAnsi="宋体" w:cs="Times New Roman"/>
          <w:color w:val="000000" w:themeColor="text1"/>
          <w:kern w:val="2"/>
          <w:sz w:val="21"/>
          <w:szCs w:val="21"/>
          <w14:textFill>
            <w14:solidFill>
              <w14:schemeClr w14:val="tx1"/>
            </w14:solidFill>
          </w14:textFill>
        </w:rPr>
        <w:t>预留洞口的支护结</w:t>
      </w:r>
      <w:r>
        <w:rPr>
          <w:rFonts w:hint="eastAsia" w:hAnsi="宋体" w:cstheme="minorEastAsia"/>
          <w:color w:val="000000" w:themeColor="text1"/>
          <w:sz w:val="21"/>
          <w:szCs w:val="21"/>
          <w14:textFill>
            <w14:solidFill>
              <w14:schemeClr w14:val="tx1"/>
            </w14:solidFill>
          </w14:textFill>
        </w:rPr>
        <w:t>构应按顺序分块拆除，分段支护。</w:t>
      </w:r>
    </w:p>
    <w:p>
      <w:pPr>
        <w:pStyle w:val="21"/>
        <w:tabs>
          <w:tab w:val="left" w:pos="1064"/>
        </w:tabs>
        <w:snapToGrid w:val="0"/>
        <w:spacing w:line="360" w:lineRule="auto"/>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11.4.7 </w:t>
      </w:r>
      <w:r>
        <w:rPr>
          <w:rFonts w:hint="eastAsia" w:ascii="Times New Roman" w:hAnsi="宋体" w:cs="Times New Roman"/>
          <w:color w:val="000000" w:themeColor="text1"/>
          <w:kern w:val="2"/>
          <w:sz w:val="21"/>
          <w:szCs w:val="21"/>
          <w14:textFill>
            <w14:solidFill>
              <w14:schemeClr w14:val="tx1"/>
            </w14:solidFill>
          </w14:textFill>
        </w:rPr>
        <w:t>区间隧道联络通道开挖应符合下列规定：</w:t>
      </w:r>
    </w:p>
    <w:p>
      <w:pPr>
        <w:pStyle w:val="21"/>
        <w:tabs>
          <w:tab w:val="left" w:pos="1064"/>
        </w:tabs>
        <w:snapToGrid w:val="0"/>
        <w:spacing w:line="360" w:lineRule="auto"/>
        <w:ind w:firstLine="422" w:firstLineChars="200"/>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 </w:t>
      </w:r>
      <w:r>
        <w:rPr>
          <w:rFonts w:hint="eastAsia" w:ascii="Times New Roman" w:hAnsi="宋体" w:cs="Times New Roman"/>
          <w:color w:val="000000" w:themeColor="text1"/>
          <w:kern w:val="2"/>
          <w:sz w:val="21"/>
          <w:szCs w:val="21"/>
          <w14:textFill>
            <w14:solidFill>
              <w14:schemeClr w14:val="tx1"/>
            </w14:solidFill>
          </w14:textFill>
        </w:rPr>
        <w:t>联络通道开挖前，应对通道土体进行加固，按设计要求进行超前预支护，加固效果符合设计要求后方可施工；</w:t>
      </w:r>
    </w:p>
    <w:p>
      <w:pPr>
        <w:pStyle w:val="21"/>
        <w:tabs>
          <w:tab w:val="left" w:pos="1064"/>
        </w:tabs>
        <w:snapToGrid w:val="0"/>
        <w:spacing w:line="360" w:lineRule="auto"/>
        <w:ind w:firstLine="422" w:firstLineChars="200"/>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2 </w:t>
      </w:r>
      <w:r>
        <w:rPr>
          <w:rFonts w:hint="eastAsia" w:ascii="Times New Roman" w:hAnsi="宋体" w:cs="Times New Roman"/>
          <w:color w:val="000000" w:themeColor="text1"/>
          <w:kern w:val="2"/>
          <w:sz w:val="21"/>
          <w:szCs w:val="21"/>
          <w14:textFill>
            <w14:solidFill>
              <w14:schemeClr w14:val="tx1"/>
            </w14:solidFill>
          </w14:textFill>
        </w:rPr>
        <w:t>暗挖联络通道应采用台阶法开挖，联络通道主筋应与区间隧道结构主筋连接牢固。</w:t>
      </w:r>
    </w:p>
    <w:p>
      <w:pPr>
        <w:pStyle w:val="21"/>
        <w:tabs>
          <w:tab w:val="left" w:pos="1064"/>
        </w:tabs>
        <w:snapToGrid w:val="0"/>
        <w:spacing w:line="360" w:lineRule="auto"/>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11.4.8 </w:t>
      </w:r>
      <w:r>
        <w:rPr>
          <w:rFonts w:hint="eastAsia" w:ascii="Times New Roman" w:hAnsi="宋体" w:cs="Times New Roman"/>
          <w:color w:val="000000" w:themeColor="text1"/>
          <w:kern w:val="2"/>
          <w:sz w:val="21"/>
          <w:szCs w:val="21"/>
          <w14:textFill>
            <w14:solidFill>
              <w14:schemeClr w14:val="tx1"/>
            </w14:solidFill>
          </w14:textFill>
        </w:rPr>
        <w:t xml:space="preserve">暗挖车站横通道应采用台阶法分层开挖。 </w:t>
      </w:r>
    </w:p>
    <w:p>
      <w:pPr>
        <w:pStyle w:val="21"/>
        <w:tabs>
          <w:tab w:val="left" w:pos="1064"/>
        </w:tabs>
        <w:snapToGrid w:val="0"/>
        <w:spacing w:line="360" w:lineRule="auto"/>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11.4.9 </w:t>
      </w:r>
      <w:r>
        <w:rPr>
          <w:rFonts w:hint="eastAsia" w:ascii="Times New Roman" w:hAnsi="宋体" w:cs="Times New Roman"/>
          <w:color w:val="000000" w:themeColor="text1"/>
          <w:kern w:val="2"/>
          <w:sz w:val="21"/>
          <w:szCs w:val="21"/>
          <w14:textFill>
            <w14:solidFill>
              <w14:schemeClr w14:val="tx1"/>
            </w14:solidFill>
          </w14:textFill>
        </w:rPr>
        <w:t>仰挖施工应符合下列规定：</w:t>
      </w:r>
    </w:p>
    <w:p>
      <w:pPr>
        <w:pStyle w:val="21"/>
        <w:tabs>
          <w:tab w:val="left" w:pos="1064"/>
        </w:tabs>
        <w:snapToGrid w:val="0"/>
        <w:spacing w:line="360" w:lineRule="auto"/>
        <w:ind w:firstLine="420"/>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 </w:t>
      </w:r>
      <w:r>
        <w:rPr>
          <w:rFonts w:hint="eastAsia" w:ascii="Times New Roman" w:hAnsi="宋体" w:cs="Times New Roman"/>
          <w:color w:val="000000" w:themeColor="text1"/>
          <w:kern w:val="2"/>
          <w:sz w:val="21"/>
          <w:szCs w:val="21"/>
          <w14:textFill>
            <w14:solidFill>
              <w14:schemeClr w14:val="tx1"/>
            </w14:solidFill>
          </w14:textFill>
        </w:rPr>
        <w:t>开挖前应对拱部、</w:t>
      </w:r>
      <w:r>
        <w:rPr>
          <w:rFonts w:ascii="Times New Roman" w:hAnsi="宋体" w:cs="Times New Roman"/>
          <w:color w:val="000000" w:themeColor="text1"/>
          <w:kern w:val="2"/>
          <w:sz w:val="21"/>
          <w:szCs w:val="21"/>
          <w14:textFill>
            <w14:solidFill>
              <w14:schemeClr w14:val="tx1"/>
            </w14:solidFill>
          </w14:textFill>
        </w:rPr>
        <w:t>侧</w:t>
      </w:r>
      <w:r>
        <w:rPr>
          <w:rFonts w:hint="eastAsia" w:ascii="Times New Roman" w:hAnsi="宋体" w:cs="Times New Roman"/>
          <w:color w:val="000000" w:themeColor="text1"/>
          <w:kern w:val="2"/>
          <w:sz w:val="21"/>
          <w:szCs w:val="21"/>
          <w14:textFill>
            <w14:solidFill>
              <w14:schemeClr w14:val="tx1"/>
            </w14:solidFill>
          </w14:textFill>
        </w:rPr>
        <w:t>墙范围进行</w:t>
      </w:r>
      <w:r>
        <w:rPr>
          <w:rFonts w:ascii="Times New Roman" w:hAnsi="宋体" w:cs="Times New Roman"/>
          <w:color w:val="000000" w:themeColor="text1"/>
          <w:kern w:val="2"/>
          <w:sz w:val="21"/>
          <w:szCs w:val="21"/>
          <w14:textFill>
            <w14:solidFill>
              <w14:schemeClr w14:val="tx1"/>
            </w14:solidFill>
          </w14:textFill>
        </w:rPr>
        <w:t>注浆</w:t>
      </w:r>
      <w:r>
        <w:rPr>
          <w:rFonts w:hint="eastAsia" w:ascii="Times New Roman" w:hAnsi="宋体" w:cs="Times New Roman"/>
          <w:color w:val="000000" w:themeColor="text1"/>
          <w:kern w:val="2"/>
          <w:sz w:val="21"/>
          <w:szCs w:val="21"/>
          <w14:textFill>
            <w14:solidFill>
              <w14:schemeClr w14:val="tx1"/>
            </w14:solidFill>
          </w14:textFill>
        </w:rPr>
        <w:t>加固，注浆范围应符合设计要求，无设计要求时，注浆范围宜</w:t>
      </w:r>
      <w:r>
        <w:rPr>
          <w:rFonts w:ascii="Times New Roman" w:hAnsi="宋体" w:cs="Times New Roman"/>
          <w:color w:val="000000" w:themeColor="text1"/>
          <w:kern w:val="2"/>
          <w:sz w:val="21"/>
          <w:szCs w:val="21"/>
          <w14:textFill>
            <w14:solidFill>
              <w14:schemeClr w14:val="tx1"/>
            </w14:solidFill>
          </w14:textFill>
        </w:rPr>
        <w:t>为拱部与墙开挖轮廓线外1</w:t>
      </w:r>
      <w:r>
        <w:rPr>
          <w:rFonts w:hint="eastAsia" w:ascii="Times New Roman" w:hAnsi="宋体" w:cs="Times New Roman"/>
          <w:color w:val="000000" w:themeColor="text1"/>
          <w:kern w:val="2"/>
          <w:sz w:val="21"/>
          <w:szCs w:val="21"/>
          <w14:textFill>
            <w14:solidFill>
              <w14:schemeClr w14:val="tx1"/>
            </w14:solidFill>
          </w14:textFill>
        </w:rPr>
        <w:t>.</w:t>
      </w:r>
      <w:r>
        <w:rPr>
          <w:rFonts w:ascii="Times New Roman" w:hAnsi="宋体" w:cs="Times New Roman"/>
          <w:color w:val="000000" w:themeColor="text1"/>
          <w:kern w:val="2"/>
          <w:sz w:val="21"/>
          <w:szCs w:val="21"/>
          <w14:textFill>
            <w14:solidFill>
              <w14:schemeClr w14:val="tx1"/>
            </w14:solidFill>
          </w14:textFill>
        </w:rPr>
        <w:t>5</w:t>
      </w:r>
      <w:r>
        <w:rPr>
          <w:rFonts w:hint="eastAsia" w:ascii="Times New Roman" w:hAnsi="宋体" w:cs="Times New Roman"/>
          <w:color w:val="000000" w:themeColor="text1"/>
          <w:kern w:val="2"/>
          <w:sz w:val="21"/>
          <w:szCs w:val="21"/>
          <w14:textFill>
            <w14:solidFill>
              <w14:schemeClr w14:val="tx1"/>
            </w14:solidFill>
          </w14:textFill>
        </w:rPr>
        <w:t>m</w:t>
      </w:r>
      <w:r>
        <w:rPr>
          <w:rFonts w:ascii="Times New Roman" w:hAnsi="宋体" w:cs="Times New Roman"/>
          <w:color w:val="000000" w:themeColor="text1"/>
          <w:kern w:val="2"/>
          <w:sz w:val="21"/>
          <w:szCs w:val="21"/>
          <w14:textFill>
            <w14:solidFill>
              <w14:schemeClr w14:val="tx1"/>
            </w14:solidFill>
          </w14:textFill>
        </w:rPr>
        <w:t>、拱部开挖轮廓线内0</w:t>
      </w:r>
      <w:r>
        <w:rPr>
          <w:rFonts w:hint="eastAsia" w:ascii="Times New Roman" w:hAnsi="宋体" w:cs="Times New Roman"/>
          <w:color w:val="000000" w:themeColor="text1"/>
          <w:kern w:val="2"/>
          <w:sz w:val="21"/>
          <w:szCs w:val="21"/>
          <w14:textFill>
            <w14:solidFill>
              <w14:schemeClr w14:val="tx1"/>
            </w14:solidFill>
          </w14:textFill>
        </w:rPr>
        <w:t>.</w:t>
      </w:r>
      <w:r>
        <w:rPr>
          <w:rFonts w:ascii="Times New Roman" w:hAnsi="宋体" w:cs="Times New Roman"/>
          <w:color w:val="000000" w:themeColor="text1"/>
          <w:kern w:val="2"/>
          <w:sz w:val="21"/>
          <w:szCs w:val="21"/>
          <w14:textFill>
            <w14:solidFill>
              <w14:schemeClr w14:val="tx1"/>
            </w14:solidFill>
          </w14:textFill>
        </w:rPr>
        <w:t>5 m</w:t>
      </w:r>
      <w:r>
        <w:rPr>
          <w:rFonts w:hint="eastAsia" w:ascii="Times New Roman" w:hAnsi="宋体" w:cs="Times New Roman"/>
          <w:color w:val="000000" w:themeColor="text1"/>
          <w:kern w:val="2"/>
          <w:sz w:val="21"/>
          <w:szCs w:val="21"/>
          <w14:textFill>
            <w14:solidFill>
              <w14:schemeClr w14:val="tx1"/>
            </w14:solidFill>
          </w14:textFill>
        </w:rPr>
        <w:t xml:space="preserve">；当土质较差、周边环境复杂时，宜对上层导洞进行全断面深孔注浆加固；注浆加固效果应符合设计要求； </w:t>
      </w:r>
    </w:p>
    <w:p>
      <w:pPr>
        <w:pStyle w:val="21"/>
        <w:tabs>
          <w:tab w:val="left" w:pos="1064"/>
        </w:tabs>
        <w:snapToGrid w:val="0"/>
        <w:spacing w:line="360" w:lineRule="auto"/>
        <w:ind w:firstLine="420"/>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2 </w:t>
      </w:r>
      <w:r>
        <w:rPr>
          <w:rFonts w:hint="eastAsia" w:ascii="Times New Roman" w:hAnsi="宋体" w:cs="Times New Roman"/>
          <w:color w:val="000000" w:themeColor="text1"/>
          <w:kern w:val="2"/>
          <w:sz w:val="21"/>
          <w:szCs w:val="21"/>
          <w14:textFill>
            <w14:solidFill>
              <w14:schemeClr w14:val="tx1"/>
            </w14:solidFill>
          </w14:textFill>
        </w:rPr>
        <w:t>仰挖应优化各导洞开挖顺序，各工序应连续，缩短开挖时间。直墙拱顶隧道仰挖宜采用CRD法施工，应分层开挖、分层支护封闭；</w:t>
      </w:r>
    </w:p>
    <w:p>
      <w:pPr>
        <w:pStyle w:val="21"/>
        <w:tabs>
          <w:tab w:val="left" w:pos="1064"/>
        </w:tabs>
        <w:snapToGrid w:val="0"/>
        <w:spacing w:line="360" w:lineRule="auto"/>
        <w:ind w:firstLine="420"/>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3 </w:t>
      </w:r>
      <w:r>
        <w:rPr>
          <w:rFonts w:hint="eastAsia" w:ascii="Times New Roman" w:hAnsi="宋体" w:cs="Times New Roman"/>
          <w:color w:val="000000" w:themeColor="text1"/>
          <w:kern w:val="2"/>
          <w:sz w:val="21"/>
          <w:szCs w:val="21"/>
          <w14:textFill>
            <w14:solidFill>
              <w14:schemeClr w14:val="tx1"/>
            </w14:solidFill>
          </w14:textFill>
        </w:rPr>
        <w:t>连接筋应加工成与格栅纵向排列相适应的“之”字形，连接筋与格栅主筋应焊接牢固；</w:t>
      </w:r>
    </w:p>
    <w:p>
      <w:pPr>
        <w:pStyle w:val="21"/>
        <w:tabs>
          <w:tab w:val="left" w:pos="1064"/>
        </w:tabs>
        <w:snapToGrid w:val="0"/>
        <w:spacing w:line="360" w:lineRule="auto"/>
        <w:ind w:firstLine="420"/>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4</w:t>
      </w:r>
      <w:r>
        <w:rPr>
          <w:rFonts w:hint="eastAsia" w:ascii="Times New Roman" w:hAnsi="宋体" w:cs="Times New Roman"/>
          <w:color w:val="000000" w:themeColor="text1"/>
          <w:kern w:val="2"/>
          <w:sz w:val="21"/>
          <w:szCs w:val="21"/>
          <w14:textFill>
            <w14:solidFill>
              <w14:schemeClr w14:val="tx1"/>
            </w14:solidFill>
          </w14:textFill>
        </w:rPr>
        <w:t xml:space="preserve"> </w:t>
      </w:r>
      <w:r>
        <w:rPr>
          <w:rFonts w:hint="eastAsia" w:hAnsi="宋体"/>
          <w:color w:val="000000" w:themeColor="text1"/>
          <w:kern w:val="2"/>
          <w:sz w:val="21"/>
          <w:szCs w:val="21"/>
          <w14:textFill>
            <w14:solidFill>
              <w14:schemeClr w14:val="tx1"/>
            </w14:solidFill>
          </w14:textFill>
        </w:rPr>
        <w:t>在已经施工完毕的地段应设置人行楼梯，以利于人员通行和材料运输；</w:t>
      </w:r>
    </w:p>
    <w:p>
      <w:pPr>
        <w:pStyle w:val="21"/>
        <w:tabs>
          <w:tab w:val="left" w:pos="1064"/>
        </w:tabs>
        <w:snapToGrid w:val="0"/>
        <w:spacing w:line="360" w:lineRule="auto"/>
        <w:ind w:firstLine="420"/>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5 </w:t>
      </w:r>
      <w:r>
        <w:rPr>
          <w:rFonts w:hint="eastAsia" w:hAnsi="宋体"/>
          <w:color w:val="000000" w:themeColor="text1"/>
          <w:kern w:val="2"/>
          <w:sz w:val="21"/>
          <w:szCs w:val="21"/>
          <w14:textFill>
            <w14:solidFill>
              <w14:schemeClr w14:val="tx1"/>
            </w14:solidFill>
          </w14:textFill>
        </w:rPr>
        <w:t>工作面附近宜安装小型</w:t>
      </w:r>
      <w:r>
        <w:rPr>
          <w:rFonts w:hint="eastAsia" w:ascii="Times New Roman" w:hAnsi="宋体" w:cs="Times New Roman"/>
          <w:color w:val="000000" w:themeColor="text1"/>
          <w:kern w:val="2"/>
          <w:sz w:val="21"/>
          <w:szCs w:val="21"/>
          <w14:textFill>
            <w14:solidFill>
              <w14:schemeClr w14:val="tx1"/>
            </w14:solidFill>
          </w14:textFill>
        </w:rPr>
        <w:t>可移动</w:t>
      </w:r>
      <w:r>
        <w:rPr>
          <w:rFonts w:hint="eastAsia" w:hAnsi="宋体"/>
          <w:color w:val="000000" w:themeColor="text1"/>
          <w:kern w:val="2"/>
          <w:sz w:val="21"/>
          <w:szCs w:val="21"/>
          <w14:textFill>
            <w14:solidFill>
              <w14:schemeClr w14:val="tx1"/>
            </w14:solidFill>
          </w14:textFill>
        </w:rPr>
        <w:t>作业平台，</w:t>
      </w:r>
      <w:r>
        <w:rPr>
          <w:rFonts w:hint="eastAsia" w:ascii="Times New Roman" w:hAnsi="宋体" w:cs="Times New Roman"/>
          <w:color w:val="000000" w:themeColor="text1"/>
          <w:kern w:val="2"/>
          <w:sz w:val="21"/>
          <w:szCs w:val="21"/>
          <w14:textFill>
            <w14:solidFill>
              <w14:schemeClr w14:val="tx1"/>
            </w14:solidFill>
          </w14:textFill>
        </w:rPr>
        <w:t>以便于作业人员施工作业；</w:t>
      </w:r>
    </w:p>
    <w:p>
      <w:pPr>
        <w:pStyle w:val="21"/>
        <w:tabs>
          <w:tab w:val="left" w:pos="1064"/>
        </w:tabs>
        <w:snapToGrid w:val="0"/>
        <w:spacing w:line="360" w:lineRule="auto"/>
        <w:ind w:firstLine="420"/>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6 </w:t>
      </w:r>
      <w:r>
        <w:rPr>
          <w:rFonts w:hint="eastAsia" w:hAnsi="宋体"/>
          <w:color w:val="000000" w:themeColor="text1"/>
          <w:kern w:val="2"/>
          <w:sz w:val="21"/>
          <w:szCs w:val="21"/>
          <w14:textFill>
            <w14:solidFill>
              <w14:schemeClr w14:val="tx1"/>
            </w14:solidFill>
          </w14:textFill>
        </w:rPr>
        <w:t>洞内</w:t>
      </w:r>
      <w:r>
        <w:rPr>
          <w:rFonts w:hint="eastAsia" w:ascii="Times New Roman" w:hAnsi="宋体" w:cs="Times New Roman"/>
          <w:color w:val="000000" w:themeColor="text1"/>
          <w:kern w:val="2"/>
          <w:sz w:val="21"/>
          <w:szCs w:val="21"/>
          <w14:textFill>
            <w14:solidFill>
              <w14:schemeClr w14:val="tx1"/>
            </w14:solidFill>
          </w14:textFill>
        </w:rPr>
        <w:t>仰挖工作面处应加大通风量，工作面空气质量应符合有关规定；</w:t>
      </w:r>
    </w:p>
    <w:p>
      <w:pPr>
        <w:pStyle w:val="21"/>
        <w:tabs>
          <w:tab w:val="left" w:pos="1064"/>
        </w:tabs>
        <w:snapToGrid w:val="0"/>
        <w:spacing w:line="360" w:lineRule="auto"/>
        <w:ind w:firstLine="420"/>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7 </w:t>
      </w:r>
      <w:r>
        <w:rPr>
          <w:rFonts w:hint="eastAsia" w:ascii="Times New Roman" w:hAnsi="宋体" w:cs="Times New Roman"/>
          <w:color w:val="000000" w:themeColor="text1"/>
          <w:kern w:val="2"/>
          <w:sz w:val="21"/>
          <w:szCs w:val="21"/>
          <w14:textFill>
            <w14:solidFill>
              <w14:schemeClr w14:val="tx1"/>
            </w14:solidFill>
          </w14:textFill>
        </w:rPr>
        <w:t>分层、分部开挖时，土方开挖顺序和支撑拆除应符合设计要求，宜在首层导洞完成后，在洞内对下层导洞进行深孔注浆加固。</w:t>
      </w:r>
    </w:p>
    <w:p>
      <w:pPr>
        <w:pStyle w:val="21"/>
        <w:tabs>
          <w:tab w:val="left" w:pos="1064"/>
        </w:tabs>
        <w:snapToGrid w:val="0"/>
        <w:spacing w:line="360" w:lineRule="auto"/>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11.4.10 </w:t>
      </w:r>
      <w:r>
        <w:rPr>
          <w:rFonts w:hint="eastAsia" w:ascii="Times New Roman" w:hAnsi="宋体" w:cs="Times New Roman"/>
          <w:color w:val="000000" w:themeColor="text1"/>
          <w:kern w:val="2"/>
          <w:sz w:val="21"/>
          <w:szCs w:val="21"/>
          <w14:textFill>
            <w14:solidFill>
              <w14:schemeClr w14:val="tx1"/>
            </w14:solidFill>
          </w14:textFill>
        </w:rPr>
        <w:t>俯挖施工应符合下列规定：</w:t>
      </w:r>
    </w:p>
    <w:p>
      <w:pPr>
        <w:pStyle w:val="21"/>
        <w:tabs>
          <w:tab w:val="left" w:pos="1064"/>
        </w:tabs>
        <w:snapToGrid w:val="0"/>
        <w:spacing w:line="360" w:lineRule="auto"/>
        <w:ind w:firstLine="422" w:firstLineChars="200"/>
        <w:jc w:val="both"/>
        <w:rPr>
          <w:rFonts w:ascii="Times New Roman" w:hAnsi="宋体" w:cs="Times New Roman"/>
          <w:b/>
          <w:bCs/>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 </w:t>
      </w:r>
      <w:r>
        <w:rPr>
          <w:rFonts w:hint="eastAsia" w:hAnsi="宋体"/>
          <w:color w:val="000000" w:themeColor="text1"/>
          <w:kern w:val="2"/>
          <w:sz w:val="21"/>
          <w:szCs w:val="21"/>
          <w14:textFill>
            <w14:solidFill>
              <w14:schemeClr w14:val="tx1"/>
            </w14:solidFill>
          </w14:textFill>
        </w:rPr>
        <w:t>俯挖隧道开挖前，应按设计要求沿拱顶打入超前小导管，并注浆加固地层；</w:t>
      </w:r>
    </w:p>
    <w:p>
      <w:pPr>
        <w:pStyle w:val="21"/>
        <w:tabs>
          <w:tab w:val="left" w:pos="1064"/>
        </w:tabs>
        <w:snapToGrid w:val="0"/>
        <w:spacing w:line="360" w:lineRule="auto"/>
        <w:ind w:firstLine="422" w:firstLineChars="200"/>
        <w:jc w:val="both"/>
        <w:rPr>
          <w:rFonts w:ascii="Times New Roman" w:hAnsi="宋体" w:cs="Times New Roman"/>
          <w:b/>
          <w:bCs/>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2 </w:t>
      </w:r>
      <w:r>
        <w:rPr>
          <w:rFonts w:hint="eastAsia" w:hAnsi="宋体"/>
          <w:color w:val="000000" w:themeColor="text1"/>
          <w:kern w:val="2"/>
          <w:sz w:val="21"/>
          <w:szCs w:val="21"/>
          <w14:textFill>
            <w14:solidFill>
              <w14:schemeClr w14:val="tx1"/>
            </w14:solidFill>
          </w14:textFill>
        </w:rPr>
        <w:t>土方开挖方法、</w:t>
      </w:r>
      <w:r>
        <w:rPr>
          <w:rFonts w:hint="eastAsia" w:ascii="Times New Roman" w:hAnsi="宋体" w:cs="Times New Roman"/>
          <w:color w:val="000000" w:themeColor="text1"/>
          <w:kern w:val="2"/>
          <w:sz w:val="21"/>
          <w:szCs w:val="21"/>
          <w14:textFill>
            <w14:solidFill>
              <w14:schemeClr w14:val="tx1"/>
            </w14:solidFill>
          </w14:textFill>
        </w:rPr>
        <w:t>顺序和支撑拆除</w:t>
      </w:r>
      <w:r>
        <w:rPr>
          <w:rFonts w:hint="eastAsia" w:hAnsi="宋体"/>
          <w:color w:val="000000" w:themeColor="text1"/>
          <w:kern w:val="2"/>
          <w:sz w:val="21"/>
          <w:szCs w:val="21"/>
          <w14:textFill>
            <w14:solidFill>
              <w14:schemeClr w14:val="tx1"/>
            </w14:solidFill>
          </w14:textFill>
        </w:rPr>
        <w:t>应按设计要求进行；</w:t>
      </w:r>
    </w:p>
    <w:p>
      <w:pPr>
        <w:pStyle w:val="21"/>
        <w:tabs>
          <w:tab w:val="left" w:pos="1064"/>
        </w:tabs>
        <w:snapToGrid w:val="0"/>
        <w:spacing w:line="360" w:lineRule="auto"/>
        <w:ind w:firstLine="422" w:firstLineChars="200"/>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3 </w:t>
      </w:r>
      <w:r>
        <w:rPr>
          <w:rFonts w:hint="eastAsia" w:ascii="Times New Roman" w:hAnsi="宋体" w:cs="Times New Roman"/>
          <w:color w:val="000000" w:themeColor="text1"/>
          <w:kern w:val="2"/>
          <w:sz w:val="21"/>
          <w:szCs w:val="21"/>
          <w14:textFill>
            <w14:solidFill>
              <w14:schemeClr w14:val="tx1"/>
            </w14:solidFill>
          </w14:textFill>
        </w:rPr>
        <w:t>渣土运输宜采用可调式传送带，传送带应根据隧道坡度、导洞尺寸和地质条件合理选择，传送带应随着隧道延伸逐步加长，每次延伸长度宜为3m；</w:t>
      </w:r>
    </w:p>
    <w:p>
      <w:pPr>
        <w:pStyle w:val="21"/>
        <w:tabs>
          <w:tab w:val="left" w:pos="1064"/>
        </w:tabs>
        <w:snapToGrid w:val="0"/>
        <w:spacing w:line="360" w:lineRule="auto"/>
        <w:ind w:firstLine="422" w:firstLineChars="200"/>
        <w:jc w:val="both"/>
        <w:rPr>
          <w:rFonts w:hAnsi="宋体"/>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4 </w:t>
      </w:r>
      <w:r>
        <w:rPr>
          <w:rFonts w:hint="eastAsia" w:ascii="Times New Roman" w:hAnsi="宋体" w:cs="Times New Roman"/>
          <w:color w:val="000000" w:themeColor="text1"/>
          <w:kern w:val="2"/>
          <w:sz w:val="21"/>
          <w:szCs w:val="21"/>
          <w14:textFill>
            <w14:solidFill>
              <w14:schemeClr w14:val="tx1"/>
            </w14:solidFill>
          </w14:textFill>
        </w:rPr>
        <w:t>传送带支架应与隧道初期支护钢筋、型钢焊接牢固，</w:t>
      </w:r>
      <w:r>
        <w:rPr>
          <w:rFonts w:hint="eastAsia" w:hAnsi="宋体"/>
          <w:color w:val="000000" w:themeColor="text1"/>
          <w:kern w:val="2"/>
          <w:sz w:val="21"/>
          <w:szCs w:val="21"/>
          <w14:textFill>
            <w14:solidFill>
              <w14:schemeClr w14:val="tx1"/>
            </w14:solidFill>
          </w14:textFill>
        </w:rPr>
        <w:t>坡底集土仓应有封闭的安全防护装置；</w:t>
      </w:r>
    </w:p>
    <w:p>
      <w:pPr>
        <w:pStyle w:val="21"/>
        <w:tabs>
          <w:tab w:val="left" w:pos="1064"/>
        </w:tabs>
        <w:snapToGrid w:val="0"/>
        <w:spacing w:line="360" w:lineRule="auto"/>
        <w:ind w:firstLine="422" w:firstLineChars="200"/>
        <w:jc w:val="both"/>
        <w:rPr>
          <w:rFonts w:hAnsi="宋体"/>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5 </w:t>
      </w:r>
      <w:r>
        <w:rPr>
          <w:rFonts w:hint="eastAsia" w:hAnsi="宋体"/>
          <w:color w:val="000000" w:themeColor="text1"/>
          <w:kern w:val="2"/>
          <w:sz w:val="21"/>
          <w:szCs w:val="21"/>
          <w14:textFill>
            <w14:solidFill>
              <w14:schemeClr w14:val="tx1"/>
            </w14:solidFill>
          </w14:textFill>
        </w:rPr>
        <w:t>传送带的磨损、工作面稳定情况应定期进行评估；传送速度不宜大于3.5m/s，接近井口、井底时，传送速度不宜大于2.0m/s；传送带初始段应经调试，验收合格后方可使用；</w:t>
      </w:r>
    </w:p>
    <w:p>
      <w:pPr>
        <w:pStyle w:val="21"/>
        <w:tabs>
          <w:tab w:val="left" w:pos="1064"/>
        </w:tabs>
        <w:snapToGrid w:val="0"/>
        <w:spacing w:line="360" w:lineRule="auto"/>
        <w:ind w:firstLine="422" w:firstLineChars="200"/>
        <w:jc w:val="both"/>
        <w:rPr>
          <w:rFonts w:hAnsi="宋体"/>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6 </w:t>
      </w:r>
      <w:r>
        <w:rPr>
          <w:rFonts w:hint="eastAsia" w:hAnsi="宋体"/>
          <w:color w:val="000000" w:themeColor="text1"/>
          <w:kern w:val="2"/>
          <w:sz w:val="21"/>
          <w:szCs w:val="21"/>
          <w14:textFill>
            <w14:solidFill>
              <w14:schemeClr w14:val="tx1"/>
            </w14:solidFill>
          </w14:textFill>
        </w:rPr>
        <w:t>传送带外侧应设通长防护网,防护网应高于皮带500mm，皮带下端应设置防护档板，挡板高度不应低于</w:t>
      </w:r>
      <w:r>
        <w:rPr>
          <w:rFonts w:hint="eastAsia" w:ascii="Times New Roman" w:hAnsi="宋体" w:cs="Times New Roman"/>
          <w:color w:val="000000" w:themeColor="text1"/>
          <w:kern w:val="2"/>
          <w:sz w:val="21"/>
          <w:szCs w:val="21"/>
          <w14:textFill>
            <w14:solidFill>
              <w14:schemeClr w14:val="tx1"/>
            </w14:solidFill>
          </w14:textFill>
        </w:rPr>
        <w:t>500mm</w:t>
      </w:r>
      <w:r>
        <w:rPr>
          <w:rFonts w:hint="eastAsia" w:hAnsi="宋体"/>
          <w:color w:val="000000" w:themeColor="text1"/>
          <w:kern w:val="2"/>
          <w:sz w:val="21"/>
          <w:szCs w:val="21"/>
          <w14:textFill>
            <w14:solidFill>
              <w14:schemeClr w14:val="tx1"/>
            </w14:solidFill>
          </w14:textFill>
        </w:rPr>
        <w:t>；运输粒径大于</w:t>
      </w:r>
      <w:r>
        <w:rPr>
          <w:rFonts w:hint="eastAsia" w:ascii="Times New Roman" w:hAnsi="宋体" w:cs="Times New Roman"/>
          <w:color w:val="000000" w:themeColor="text1"/>
          <w:kern w:val="2"/>
          <w:sz w:val="21"/>
          <w:szCs w:val="21"/>
          <w14:textFill>
            <w14:solidFill>
              <w14:schemeClr w14:val="tx1"/>
            </w14:solidFill>
          </w14:textFill>
        </w:rPr>
        <w:t>100mm</w:t>
      </w:r>
      <w:r>
        <w:rPr>
          <w:rFonts w:hint="eastAsia" w:hAnsi="宋体"/>
          <w:color w:val="000000" w:themeColor="text1"/>
          <w:kern w:val="2"/>
          <w:sz w:val="21"/>
          <w:szCs w:val="21"/>
          <w14:textFill>
            <w14:solidFill>
              <w14:schemeClr w14:val="tx1"/>
            </w14:solidFill>
          </w14:textFill>
        </w:rPr>
        <w:t>的渣土块或卵石应采取防滚落的措施；</w:t>
      </w:r>
    </w:p>
    <w:p>
      <w:pPr>
        <w:pStyle w:val="21"/>
        <w:tabs>
          <w:tab w:val="left" w:pos="1064"/>
        </w:tabs>
        <w:snapToGrid w:val="0"/>
        <w:spacing w:line="360" w:lineRule="auto"/>
        <w:ind w:firstLine="422" w:firstLineChars="200"/>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7 </w:t>
      </w:r>
      <w:r>
        <w:rPr>
          <w:rFonts w:hint="eastAsia" w:ascii="Times New Roman" w:hAnsi="宋体" w:cs="Times New Roman"/>
          <w:color w:val="000000" w:themeColor="text1"/>
          <w:kern w:val="2"/>
          <w:sz w:val="21"/>
          <w:szCs w:val="21"/>
          <w14:textFill>
            <w14:solidFill>
              <w14:schemeClr w14:val="tx1"/>
            </w14:solidFill>
          </w14:textFill>
        </w:rPr>
        <w:t>采用人工、车辆运输时，应有防溜车和牵引装置；</w:t>
      </w:r>
    </w:p>
    <w:p>
      <w:pPr>
        <w:pStyle w:val="21"/>
        <w:tabs>
          <w:tab w:val="left" w:pos="1064"/>
        </w:tabs>
        <w:snapToGrid w:val="0"/>
        <w:spacing w:line="360" w:lineRule="auto"/>
        <w:ind w:firstLine="422" w:firstLineChars="200"/>
        <w:jc w:val="both"/>
        <w:rPr>
          <w:rFonts w:hAnsi="宋体"/>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8 </w:t>
      </w:r>
      <w:r>
        <w:rPr>
          <w:rFonts w:hint="eastAsia" w:hAnsi="宋体"/>
          <w:color w:val="000000" w:themeColor="text1"/>
          <w:kern w:val="2"/>
          <w:sz w:val="21"/>
          <w:szCs w:val="21"/>
          <w14:textFill>
            <w14:solidFill>
              <w14:schemeClr w14:val="tx1"/>
            </w14:solidFill>
          </w14:textFill>
        </w:rPr>
        <w:t>已经施工完毕的地段应设置人行楼梯，以利于人员通行和材料运输，并应设置高度不低于</w:t>
      </w:r>
      <w:r>
        <w:rPr>
          <w:rFonts w:hint="eastAsia" w:ascii="Times New Roman" w:hAnsi="宋体" w:cs="Times New Roman"/>
          <w:color w:val="000000" w:themeColor="text1"/>
          <w:kern w:val="2"/>
          <w:sz w:val="21"/>
          <w:szCs w:val="21"/>
          <w14:textFill>
            <w14:solidFill>
              <w14:schemeClr w14:val="tx1"/>
            </w14:solidFill>
          </w14:textFill>
        </w:rPr>
        <w:t>1.2m</w:t>
      </w:r>
      <w:r>
        <w:rPr>
          <w:rFonts w:hint="eastAsia" w:hAnsi="宋体"/>
          <w:color w:val="000000" w:themeColor="text1"/>
          <w:kern w:val="2"/>
          <w:sz w:val="21"/>
          <w:szCs w:val="21"/>
          <w14:textFill>
            <w14:solidFill>
              <w14:schemeClr w14:val="tx1"/>
            </w14:solidFill>
          </w14:textFill>
        </w:rPr>
        <w:t>的防护栏杆，与渣土运输区域隔离。</w:t>
      </w:r>
    </w:p>
    <w:p>
      <w:pPr>
        <w:pStyle w:val="21"/>
        <w:tabs>
          <w:tab w:val="left" w:pos="1064"/>
        </w:tabs>
        <w:snapToGrid w:val="0"/>
        <w:spacing w:line="360" w:lineRule="auto"/>
        <w:ind w:firstLine="420" w:firstLineChars="200"/>
        <w:jc w:val="both"/>
        <w:rPr>
          <w:rFonts w:hAnsi="宋体"/>
          <w:color w:val="000000" w:themeColor="text1"/>
          <w:kern w:val="2"/>
          <w:sz w:val="21"/>
          <w:szCs w:val="21"/>
          <w14:textFill>
            <w14:solidFill>
              <w14:schemeClr w14:val="tx1"/>
            </w14:solidFill>
          </w14:textFill>
        </w:rPr>
      </w:pPr>
    </w:p>
    <w:p>
      <w:pPr>
        <w:pageBreakBefore/>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286" w:name="_Toc32190"/>
      <w:bookmarkStart w:id="287" w:name="_Toc19973"/>
      <w:bookmarkStart w:id="288" w:name="_Toc30080"/>
      <w:bookmarkStart w:id="289" w:name="_Toc18493"/>
      <w:bookmarkStart w:id="290" w:name="_Toc6940"/>
      <w:bookmarkStart w:id="291" w:name="_Toc3654"/>
      <w:r>
        <w:rPr>
          <w:rFonts w:hint="eastAsia"/>
          <w:b/>
          <w:color w:val="000000" w:themeColor="text1"/>
          <w:sz w:val="28"/>
          <w:szCs w:val="28"/>
          <w14:textFill>
            <w14:solidFill>
              <w14:schemeClr w14:val="tx1"/>
            </w14:solidFill>
          </w14:textFill>
        </w:rPr>
        <w:t>12  隧道初期支护</w:t>
      </w:r>
      <w:bookmarkEnd w:id="286"/>
      <w:bookmarkEnd w:id="287"/>
      <w:bookmarkEnd w:id="288"/>
      <w:bookmarkEnd w:id="289"/>
      <w:bookmarkEnd w:id="290"/>
      <w:bookmarkEnd w:id="291"/>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292" w:name="_Toc14855"/>
      <w:bookmarkStart w:id="293" w:name="_Toc11845"/>
      <w:bookmarkStart w:id="294" w:name="_Toc8800"/>
      <w:bookmarkStart w:id="295" w:name="_Toc21878"/>
      <w:bookmarkStart w:id="296" w:name="_Toc8461"/>
      <w:bookmarkStart w:id="297" w:name="_Toc8591"/>
      <w:r>
        <w:rPr>
          <w:rFonts w:hint="eastAsia" w:hAnsi="宋体"/>
          <w:b/>
          <w:color w:val="000000" w:themeColor="text1"/>
          <w:sz w:val="24"/>
          <w14:textFill>
            <w14:solidFill>
              <w14:schemeClr w14:val="tx1"/>
            </w14:solidFill>
          </w14:textFill>
        </w:rPr>
        <w:t>12.1  一般规定</w:t>
      </w:r>
      <w:bookmarkEnd w:id="292"/>
      <w:bookmarkEnd w:id="293"/>
      <w:bookmarkEnd w:id="294"/>
      <w:bookmarkEnd w:id="295"/>
      <w:bookmarkEnd w:id="296"/>
      <w:bookmarkEnd w:id="297"/>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12.1.1</w:t>
      </w:r>
      <w:r>
        <w:rPr>
          <w:rFonts w:hint="eastAsia" w:hAnsi="宋体"/>
          <w:color w:val="000000" w:themeColor="text1"/>
          <w:szCs w:val="21"/>
          <w14:textFill>
            <w14:solidFill>
              <w14:schemeClr w14:val="tx1"/>
            </w14:solidFill>
          </w14:textFill>
        </w:rPr>
        <w:t xml:space="preserve"> </w:t>
      </w:r>
      <w:r>
        <w:rPr>
          <w:rFonts w:hint="eastAsia"/>
          <w:color w:val="000000" w:themeColor="text1"/>
          <w:szCs w:val="21"/>
          <w14:textFill>
            <w14:solidFill>
              <w14:schemeClr w14:val="tx1"/>
            </w14:solidFill>
          </w14:textFill>
        </w:rPr>
        <w:t>隧道的开挖与初期支护施工应遵守“管超前、严注浆、短开挖、强支护、快封闭、勤量测”十八字方针。</w:t>
      </w:r>
      <w:r>
        <w:rPr>
          <w:rFonts w:hint="eastAsia" w:hAnsi="宋体"/>
          <w:color w:val="000000" w:themeColor="text1"/>
          <w:szCs w:val="21"/>
          <w14:textFill>
            <w14:solidFill>
              <w14:schemeClr w14:val="tx1"/>
            </w14:solidFill>
          </w14:textFill>
        </w:rPr>
        <w:t>隧道应随开挖、随支护，初期支护应及时封闭成环。</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12.1.2 </w:t>
      </w:r>
      <w:r>
        <w:rPr>
          <w:rFonts w:hint="eastAsia" w:hAnsi="宋体"/>
          <w:color w:val="000000" w:themeColor="text1"/>
          <w:szCs w:val="21"/>
          <w14:textFill>
            <w14:solidFill>
              <w14:schemeClr w14:val="tx1"/>
            </w14:solidFill>
          </w14:textFill>
        </w:rPr>
        <w:t>隧道预留洞口的封端施工应符合设计要求，初期支护应符合下列规定：</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hAnsi="宋体"/>
          <w:color w:val="000000" w:themeColor="text1"/>
          <w:szCs w:val="21"/>
          <w14:textFill>
            <w14:solidFill>
              <w14:schemeClr w14:val="tx1"/>
            </w14:solidFill>
          </w14:textFill>
        </w:rPr>
        <w:t>应在封端面架设纵向或横向格栅钢架，并用“L”形钢筋与隧道格栅钢架焊接牢固；</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hAnsi="宋体"/>
          <w:color w:val="000000" w:themeColor="text1"/>
          <w:szCs w:val="21"/>
          <w14:textFill>
            <w14:solidFill>
              <w14:schemeClr w14:val="tx1"/>
            </w14:solidFill>
          </w14:textFill>
        </w:rPr>
        <w:t xml:space="preserve"> 双层满铺钢筋网，并应按设计要求喷射混凝土。</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12.1.3 </w:t>
      </w:r>
      <w:r>
        <w:rPr>
          <w:rFonts w:hint="eastAsia" w:hAnsi="宋体"/>
          <w:color w:val="000000" w:themeColor="text1"/>
          <w:szCs w:val="21"/>
          <w14:textFill>
            <w14:solidFill>
              <w14:schemeClr w14:val="tx1"/>
            </w14:solidFill>
          </w14:textFill>
        </w:rPr>
        <w:t>隧道轴线、净空尺寸应符合设计文件要求，隧道贯通前，应对隧道中线、高程进行校核，暗挖隧道横向贯通中误差为</w:t>
      </w:r>
      <w:r>
        <w:rPr>
          <w:rFonts w:hint="eastAsia" w:ascii="宋体" w:hAnsi="宋体" w:cs="宋体"/>
          <w:color w:val="000000" w:themeColor="text1"/>
          <w:szCs w:val="21"/>
          <w14:textFill>
            <w14:solidFill>
              <w14:schemeClr w14:val="tx1"/>
            </w14:solidFill>
          </w14:textFill>
        </w:rPr>
        <w:t>±</w:t>
      </w:r>
      <w:r>
        <w:rPr>
          <w:rFonts w:hint="eastAsia" w:hAnsi="宋体"/>
          <w:color w:val="000000" w:themeColor="text1"/>
          <w:szCs w:val="21"/>
          <w14:textFill>
            <w14:solidFill>
              <w14:schemeClr w14:val="tx1"/>
            </w14:solidFill>
          </w14:textFill>
        </w:rPr>
        <w:t>50mm，高程贯通测量中误差为</w:t>
      </w:r>
      <w:r>
        <w:rPr>
          <w:rFonts w:hint="eastAsia" w:ascii="宋体" w:hAnsi="宋体" w:cs="宋体"/>
          <w:color w:val="000000" w:themeColor="text1"/>
          <w:szCs w:val="21"/>
          <w14:textFill>
            <w14:solidFill>
              <w14:schemeClr w14:val="tx1"/>
            </w14:solidFill>
          </w14:textFill>
        </w:rPr>
        <w:t>±</w:t>
      </w:r>
      <w:r>
        <w:rPr>
          <w:rFonts w:hint="eastAsia" w:hAnsi="宋体"/>
          <w:color w:val="000000" w:themeColor="text1"/>
          <w:szCs w:val="21"/>
          <w14:textFill>
            <w14:solidFill>
              <w14:schemeClr w14:val="tx1"/>
            </w14:solidFill>
          </w14:textFill>
        </w:rPr>
        <w:t>25mm。</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12.1.4 </w:t>
      </w:r>
      <w:r>
        <w:rPr>
          <w:rFonts w:hint="eastAsia" w:hAnsi="宋体"/>
          <w:color w:val="000000" w:themeColor="text1"/>
          <w:szCs w:val="21"/>
          <w14:textFill>
            <w14:solidFill>
              <w14:schemeClr w14:val="tx1"/>
            </w14:solidFill>
          </w14:textFill>
        </w:rPr>
        <w:t>隧道内应配备通风设施和有害气体检测装置，作业环境应符合地方标准的规定，满足有限空间作业的要求。</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12.1.5 </w:t>
      </w:r>
      <w:r>
        <w:rPr>
          <w:rFonts w:hint="eastAsia" w:hAnsi="宋体"/>
          <w:color w:val="000000" w:themeColor="text1"/>
          <w:szCs w:val="21"/>
          <w14:textFill>
            <w14:solidFill>
              <w14:schemeClr w14:val="tx1"/>
            </w14:solidFill>
          </w14:textFill>
        </w:rPr>
        <w:t>施工过程中，发现渗水较严重、变形较大或开裂等现象时，应及时调整施工方案，采取相应的排水、加固处理措施。对影响范围内的重要建（构）筑物，应委托第三方进行变形监测。</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12.1.6 </w:t>
      </w:r>
      <w:r>
        <w:rPr>
          <w:rFonts w:hint="eastAsia" w:hAnsi="宋体"/>
          <w:color w:val="000000" w:themeColor="text1"/>
          <w:szCs w:val="21"/>
          <w14:textFill>
            <w14:solidFill>
              <w14:schemeClr w14:val="tx1"/>
            </w14:solidFill>
          </w14:textFill>
        </w:rPr>
        <w:t>隧道内的照明线路、动力线路、通风管、供风管、供水管及混凝土输送管等应合理布置。</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12.1.7 </w:t>
      </w:r>
      <w:r>
        <w:rPr>
          <w:rFonts w:hint="eastAsia" w:hAnsi="宋体"/>
          <w:color w:val="000000" w:themeColor="text1"/>
          <w:szCs w:val="21"/>
          <w14:textFill>
            <w14:solidFill>
              <w14:schemeClr w14:val="tx1"/>
            </w14:solidFill>
          </w14:textFill>
        </w:rPr>
        <w:t>转弯、折点处的格栅钢架应按线路曲线排列、安装，初期支护表面应平整、圆顺。</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12.1.8 </w:t>
      </w:r>
      <w:r>
        <w:rPr>
          <w:rFonts w:hint="eastAsia" w:hAnsi="宋体"/>
          <w:color w:val="000000" w:themeColor="text1"/>
          <w:szCs w:val="21"/>
          <w14:textFill>
            <w14:solidFill>
              <w14:schemeClr w14:val="tx1"/>
            </w14:solidFill>
          </w14:textFill>
        </w:rPr>
        <w:t>中隔板、临时支撑安装应与格栅钢架相协调，受力体系转换应安全可靠。</w:t>
      </w:r>
    </w:p>
    <w:p>
      <w:pPr>
        <w:adjustRightInd w:val="0"/>
        <w:snapToGrid w:val="0"/>
        <w:spacing w:before="312" w:beforeLines="100" w:after="312" w:afterLines="100" w:line="360" w:lineRule="auto"/>
        <w:jc w:val="center"/>
        <w:outlineLvl w:val="1"/>
        <w:rPr>
          <w:rFonts w:hAnsi="宋体"/>
          <w:b/>
          <w:color w:val="000000" w:themeColor="text1"/>
          <w:sz w:val="24"/>
          <w14:textFill>
            <w14:solidFill>
              <w14:schemeClr w14:val="tx1"/>
            </w14:solidFill>
          </w14:textFill>
        </w:rPr>
      </w:pPr>
      <w:bookmarkStart w:id="298" w:name="_Toc3875"/>
      <w:bookmarkStart w:id="299" w:name="_Toc712"/>
      <w:bookmarkStart w:id="300" w:name="_Toc16084"/>
      <w:bookmarkStart w:id="301" w:name="_Toc20596"/>
      <w:bookmarkStart w:id="302" w:name="_Toc31232"/>
      <w:r>
        <w:rPr>
          <w:rFonts w:hint="eastAsia" w:hAnsi="宋体"/>
          <w:b/>
          <w:color w:val="000000" w:themeColor="text1"/>
          <w:sz w:val="24"/>
          <w14:textFill>
            <w14:solidFill>
              <w14:schemeClr w14:val="tx1"/>
            </w14:solidFill>
          </w14:textFill>
        </w:rPr>
        <w:t>12.2  格栅钢架、连接筋和钢筋网安装</w:t>
      </w:r>
      <w:bookmarkEnd w:id="298"/>
      <w:bookmarkEnd w:id="299"/>
      <w:bookmarkEnd w:id="300"/>
      <w:bookmarkEnd w:id="301"/>
      <w:bookmarkEnd w:id="302"/>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12.2.1 </w:t>
      </w:r>
      <w:r>
        <w:rPr>
          <w:rFonts w:hint="eastAsia" w:hAnsi="宋体"/>
          <w:color w:val="000000" w:themeColor="text1"/>
          <w:szCs w:val="21"/>
          <w14:textFill>
            <w14:solidFill>
              <w14:schemeClr w14:val="tx1"/>
            </w14:solidFill>
          </w14:textFill>
        </w:rPr>
        <w:t>钢架安装应符合下列规定：</w:t>
      </w:r>
    </w:p>
    <w:p>
      <w:pPr>
        <w:pStyle w:val="21"/>
        <w:snapToGrid w:val="0"/>
        <w:spacing w:line="360" w:lineRule="auto"/>
        <w:ind w:firstLine="361" w:firstLineChars="171"/>
        <w:jc w:val="both"/>
        <w:rPr>
          <w:rFonts w:hAnsi="宋体"/>
          <w:color w:val="000000" w:themeColor="text1"/>
          <w:sz w:val="21"/>
          <w:szCs w:val="21"/>
          <w:lang w:bidi="ar"/>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 </w:t>
      </w:r>
      <w:r>
        <w:rPr>
          <w:rFonts w:hint="eastAsia" w:hAnsi="宋体"/>
          <w:color w:val="000000" w:themeColor="text1"/>
          <w:sz w:val="21"/>
          <w:szCs w:val="21"/>
          <w:lang w:bidi="ar"/>
          <w14:textFill>
            <w14:solidFill>
              <w14:schemeClr w14:val="tx1"/>
            </w14:solidFill>
          </w14:textFill>
        </w:rPr>
        <w:t>钢架应在每循环开挖完成后及时架设；</w:t>
      </w:r>
    </w:p>
    <w:p>
      <w:pPr>
        <w:pStyle w:val="21"/>
        <w:snapToGrid w:val="0"/>
        <w:spacing w:line="360" w:lineRule="auto"/>
        <w:ind w:firstLine="361" w:firstLineChars="171"/>
        <w:jc w:val="both"/>
        <w:rPr>
          <w:rFonts w:hAnsi="宋体"/>
          <w:color w:val="000000" w:themeColor="text1"/>
          <w:sz w:val="21"/>
          <w:szCs w:val="21"/>
          <w:lang w:bidi="ar"/>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2 </w:t>
      </w:r>
      <w:r>
        <w:rPr>
          <w:rFonts w:hint="eastAsia" w:hAnsi="宋体"/>
          <w:color w:val="000000" w:themeColor="text1"/>
          <w:sz w:val="21"/>
          <w:szCs w:val="21"/>
          <w:lang w:bidi="ar"/>
          <w14:textFill>
            <w14:solidFill>
              <w14:schemeClr w14:val="tx1"/>
            </w14:solidFill>
          </w14:textFill>
        </w:rPr>
        <w:t>钢架安装前应检查隧道开挖断面轮廓及中线、高程；</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3 </w:t>
      </w:r>
      <w:r>
        <w:rPr>
          <w:rFonts w:hint="eastAsia" w:hAnsi="宋体" w:cstheme="minorEastAsia"/>
          <w:color w:val="000000" w:themeColor="text1"/>
          <w:sz w:val="21"/>
          <w:szCs w:val="21"/>
          <w14:textFill>
            <w14:solidFill>
              <w14:schemeClr w14:val="tx1"/>
            </w14:solidFill>
          </w14:textFill>
        </w:rPr>
        <w:t>宜采用激光指向仪定向，钢架安装</w:t>
      </w:r>
      <w:r>
        <w:rPr>
          <w:rFonts w:hint="eastAsia" w:hAnsi="宋体"/>
          <w:color w:val="000000" w:themeColor="text1"/>
          <w:sz w:val="21"/>
          <w:szCs w:val="21"/>
          <w:lang w:bidi="ar"/>
          <w14:textFill>
            <w14:solidFill>
              <w14:schemeClr w14:val="tx1"/>
            </w14:solidFill>
          </w14:textFill>
        </w:rPr>
        <w:t>应垂直于隧道中线，竖向不倾斜，平面</w:t>
      </w:r>
      <w:r>
        <w:rPr>
          <w:rFonts w:hint="eastAsia" w:hAnsi="宋体" w:cstheme="minorEastAsia"/>
          <w:color w:val="000000" w:themeColor="text1"/>
          <w:sz w:val="21"/>
          <w:szCs w:val="21"/>
          <w14:textFill>
            <w14:solidFill>
              <w14:schemeClr w14:val="tx1"/>
            </w14:solidFill>
          </w14:textFill>
        </w:rPr>
        <w:t>应与隧道线路垂直，</w:t>
      </w:r>
      <w:r>
        <w:rPr>
          <w:rFonts w:hint="eastAsia" w:hAnsi="宋体"/>
          <w:color w:val="000000" w:themeColor="text1"/>
          <w:sz w:val="21"/>
          <w:szCs w:val="21"/>
          <w:lang w:bidi="ar"/>
          <w14:textFill>
            <w14:solidFill>
              <w14:schemeClr w14:val="tx1"/>
            </w14:solidFill>
          </w14:textFill>
        </w:rPr>
        <w:t>不应错位、扭曲，</w:t>
      </w:r>
      <w:r>
        <w:rPr>
          <w:rFonts w:hint="eastAsia" w:hAnsi="宋体" w:cstheme="minorEastAsia"/>
          <w:color w:val="000000" w:themeColor="text1"/>
          <w:sz w:val="21"/>
          <w:szCs w:val="21"/>
          <w14:textFill>
            <w14:solidFill>
              <w14:schemeClr w14:val="tx1"/>
            </w14:solidFill>
          </w14:textFill>
        </w:rPr>
        <w:t>倾角不应大于2</w:t>
      </w:r>
      <w:r>
        <w:rPr>
          <w:rFonts w:hint="eastAsia" w:hAnsi="宋体"/>
          <w:color w:val="000000" w:themeColor="text1"/>
          <w:sz w:val="21"/>
          <w:szCs w:val="21"/>
          <w14:textFill>
            <w14:solidFill>
              <w14:schemeClr w14:val="tx1"/>
            </w14:solidFill>
          </w14:textFill>
        </w:rPr>
        <w:t>°</w:t>
      </w:r>
      <w:r>
        <w:rPr>
          <w:rFonts w:hint="eastAsia" w:hAnsi="宋体" w:cstheme="minorEastAsia"/>
          <w:color w:val="000000" w:themeColor="text1"/>
          <w:sz w:val="21"/>
          <w:szCs w:val="21"/>
          <w14:textFill>
            <w14:solidFill>
              <w14:schemeClr w14:val="tx1"/>
            </w14:solidFill>
          </w14:textFill>
        </w:rPr>
        <w:t>，偏差应符合表</w:t>
      </w:r>
      <w:r>
        <w:rPr>
          <w:rFonts w:hint="eastAsia" w:ascii="Times New Roman" w:hAnsi="宋体" w:cs="Times New Roman"/>
          <w:b/>
          <w:bCs/>
          <w:color w:val="000000" w:themeColor="text1"/>
          <w:kern w:val="2"/>
          <w:sz w:val="21"/>
          <w:szCs w:val="21"/>
          <w14:textFill>
            <w14:solidFill>
              <w14:schemeClr w14:val="tx1"/>
            </w14:solidFill>
          </w14:textFill>
        </w:rPr>
        <w:t>12.2.1</w:t>
      </w:r>
      <w:r>
        <w:rPr>
          <w:rFonts w:hint="eastAsia" w:hAnsi="宋体" w:cstheme="minorEastAsia"/>
          <w:color w:val="000000" w:themeColor="text1"/>
          <w:sz w:val="21"/>
          <w:szCs w:val="21"/>
          <w14:textFill>
            <w14:solidFill>
              <w14:schemeClr w14:val="tx1"/>
            </w14:solidFill>
          </w14:textFill>
        </w:rPr>
        <w:t>的规定；</w:t>
      </w:r>
    </w:p>
    <w:p>
      <w:pPr>
        <w:tabs>
          <w:tab w:val="left" w:pos="851"/>
        </w:tabs>
        <w:spacing w:line="360" w:lineRule="auto"/>
        <w:jc w:val="center"/>
        <w:rPr>
          <w:bCs/>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表</w:t>
      </w:r>
      <w:r>
        <w:rPr>
          <w:rFonts w:hint="eastAsia" w:hAnsi="宋体"/>
          <w:b/>
          <w:bCs/>
          <w:color w:val="000000" w:themeColor="text1"/>
          <w:szCs w:val="21"/>
          <w14:textFill>
            <w14:solidFill>
              <w14:schemeClr w14:val="tx1"/>
            </w14:solidFill>
          </w14:textFill>
        </w:rPr>
        <w:t>12.2.1</w:t>
      </w:r>
      <w:r>
        <w:rPr>
          <w:rFonts w:ascii="宋体" w:hAnsi="宋体"/>
          <w:color w:val="000000" w:themeColor="text1"/>
          <w14:textFill>
            <w14:solidFill>
              <w14:schemeClr w14:val="tx1"/>
            </w14:solidFill>
          </w14:textFill>
        </w:rPr>
        <w:t xml:space="preserve">  </w:t>
      </w:r>
      <w:r>
        <w:rPr>
          <w:rFonts w:hint="eastAsia" w:ascii="宋体" w:hAnsi="宋体"/>
          <w:color w:val="000000" w:themeColor="text1"/>
          <w:lang w:bidi="en-US"/>
          <w14:textFill>
            <w14:solidFill>
              <w14:schemeClr w14:val="tx1"/>
            </w14:solidFill>
          </w14:textFill>
        </w:rPr>
        <w:t>格栅钢架安装允许偏差</w:t>
      </w:r>
    </w:p>
    <w:tbl>
      <w:tblPr>
        <w:tblStyle w:val="12"/>
        <w:tblW w:w="6520" w:type="dxa"/>
        <w:tblInd w:w="7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18"/>
        <w:gridCol w:w="34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8" w:type="dxa"/>
            <w:shd w:val="clear" w:color="auto" w:fill="auto"/>
          </w:tcPr>
          <w:p>
            <w:pPr>
              <w:tabs>
                <w:tab w:val="left" w:pos="851"/>
              </w:tabs>
              <w:ind w:firstLine="420" w:firstLineChars="200"/>
              <w:jc w:val="center"/>
              <w:rPr>
                <w:rFonts w:ascii="宋体" w:hAnsi="宋体"/>
                <w:color w:val="000000" w:themeColor="text1"/>
                <w:lang w:bidi="en-US"/>
                <w14:textFill>
                  <w14:solidFill>
                    <w14:schemeClr w14:val="tx1"/>
                  </w14:solidFill>
                </w14:textFill>
              </w:rPr>
            </w:pPr>
            <w:r>
              <w:rPr>
                <w:rFonts w:hint="eastAsia" w:ascii="宋体" w:hAnsi="宋体"/>
                <w:color w:val="000000" w:themeColor="text1"/>
                <w:lang w:bidi="en-US"/>
                <w14:textFill>
                  <w14:solidFill>
                    <w14:schemeClr w14:val="tx1"/>
                  </w14:solidFill>
                </w14:textFill>
              </w:rPr>
              <w:t>项     目</w:t>
            </w:r>
          </w:p>
        </w:tc>
        <w:tc>
          <w:tcPr>
            <w:tcW w:w="3402" w:type="dxa"/>
            <w:shd w:val="clear" w:color="auto" w:fill="auto"/>
          </w:tcPr>
          <w:p>
            <w:pPr>
              <w:tabs>
                <w:tab w:val="left" w:pos="851"/>
              </w:tabs>
              <w:ind w:firstLine="420" w:firstLineChars="200"/>
              <w:jc w:val="center"/>
              <w:rPr>
                <w:rFonts w:ascii="宋体" w:hAnsi="宋体"/>
                <w:color w:val="000000" w:themeColor="text1"/>
                <w:lang w:bidi="en-US"/>
                <w14:textFill>
                  <w14:solidFill>
                    <w14:schemeClr w14:val="tx1"/>
                  </w14:solidFill>
                </w14:textFill>
              </w:rPr>
            </w:pPr>
            <w:r>
              <w:rPr>
                <w:rFonts w:hint="eastAsia" w:ascii="宋体" w:hAnsi="宋体"/>
                <w:color w:val="000000" w:themeColor="text1"/>
                <w:lang w:bidi="en-US"/>
                <w14:textFill>
                  <w14:solidFill>
                    <w14:schemeClr w14:val="tx1"/>
                  </w14:solidFill>
                </w14:textFill>
              </w:rPr>
              <w:t>允许偏差（mm）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8" w:type="dxa"/>
            <w:shd w:val="clear" w:color="auto" w:fill="auto"/>
          </w:tcPr>
          <w:p>
            <w:pPr>
              <w:tabs>
                <w:tab w:val="left" w:pos="851"/>
              </w:tabs>
              <w:ind w:firstLine="420" w:firstLineChars="200"/>
              <w:jc w:val="center"/>
              <w:rPr>
                <w:rFonts w:ascii="宋体" w:hAnsi="宋体"/>
                <w:color w:val="000000" w:themeColor="text1"/>
                <w:lang w:bidi="en-US"/>
                <w14:textFill>
                  <w14:solidFill>
                    <w14:schemeClr w14:val="tx1"/>
                  </w14:solidFill>
                </w14:textFill>
              </w:rPr>
            </w:pPr>
            <w:r>
              <w:rPr>
                <w:rFonts w:hint="eastAsia" w:ascii="宋体" w:hAnsi="宋体"/>
                <w:color w:val="000000" w:themeColor="text1"/>
                <w:lang w:bidi="en-US"/>
                <w14:textFill>
                  <w14:solidFill>
                    <w14:schemeClr w14:val="tx1"/>
                  </w14:solidFill>
                </w14:textFill>
              </w:rPr>
              <w:t>间距</w:t>
            </w:r>
          </w:p>
        </w:tc>
        <w:tc>
          <w:tcPr>
            <w:tcW w:w="3402" w:type="dxa"/>
            <w:shd w:val="clear" w:color="auto" w:fill="auto"/>
          </w:tcPr>
          <w:p>
            <w:pPr>
              <w:tabs>
                <w:tab w:val="left" w:pos="851"/>
              </w:tabs>
              <w:ind w:firstLine="420" w:firstLineChars="200"/>
              <w:jc w:val="center"/>
              <w:rPr>
                <w:rFonts w:ascii="宋体" w:hAnsi="宋体"/>
                <w:color w:val="000000" w:themeColor="text1"/>
                <w:lang w:bidi="en-US"/>
                <w14:textFill>
                  <w14:solidFill>
                    <w14:schemeClr w14:val="tx1"/>
                  </w14:solidFill>
                </w14:textFill>
              </w:rPr>
            </w:pPr>
            <w:r>
              <w:rPr>
                <w:rFonts w:hint="eastAsia" w:ascii="宋体" w:hAnsi="宋体"/>
                <w:color w:val="000000" w:themeColor="text1"/>
                <w:lang w:bidi="en-US"/>
                <w14:textFill>
                  <w14:solidFill>
                    <w14:schemeClr w14:val="tx1"/>
                  </w14:solidFill>
                </w14:textFill>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8" w:type="dxa"/>
            <w:shd w:val="clear" w:color="auto" w:fill="auto"/>
          </w:tcPr>
          <w:p>
            <w:pPr>
              <w:tabs>
                <w:tab w:val="left" w:pos="851"/>
              </w:tabs>
              <w:ind w:firstLine="420" w:firstLineChars="200"/>
              <w:jc w:val="center"/>
              <w:rPr>
                <w:rFonts w:ascii="宋体" w:hAnsi="宋体"/>
                <w:color w:val="000000" w:themeColor="text1"/>
                <w:lang w:bidi="en-US"/>
                <w14:textFill>
                  <w14:solidFill>
                    <w14:schemeClr w14:val="tx1"/>
                  </w14:solidFill>
                </w14:textFill>
              </w:rPr>
            </w:pPr>
            <w:r>
              <w:rPr>
                <w:rFonts w:hint="eastAsia" w:ascii="宋体" w:hAnsi="宋体"/>
                <w:color w:val="000000" w:themeColor="text1"/>
                <w:lang w:bidi="en-US"/>
                <w14:textFill>
                  <w14:solidFill>
                    <w14:schemeClr w14:val="tx1"/>
                  </w14:solidFill>
                </w14:textFill>
              </w:rPr>
              <w:t>横向</w:t>
            </w:r>
          </w:p>
        </w:tc>
        <w:tc>
          <w:tcPr>
            <w:tcW w:w="3402" w:type="dxa"/>
            <w:shd w:val="clear" w:color="auto" w:fill="auto"/>
          </w:tcPr>
          <w:p>
            <w:pPr>
              <w:tabs>
                <w:tab w:val="left" w:pos="851"/>
              </w:tabs>
              <w:ind w:firstLine="420" w:firstLineChars="200"/>
              <w:jc w:val="center"/>
              <w:rPr>
                <w:rFonts w:ascii="宋体" w:hAnsi="宋体"/>
                <w:color w:val="000000" w:themeColor="text1"/>
                <w:lang w:bidi="en-US"/>
                <w14:textFill>
                  <w14:solidFill>
                    <w14:schemeClr w14:val="tx1"/>
                  </w14:solidFill>
                </w14:textFill>
              </w:rPr>
            </w:pPr>
            <w:r>
              <w:rPr>
                <w:rFonts w:hint="eastAsia" w:ascii="宋体" w:hAnsi="宋体"/>
                <w:color w:val="000000" w:themeColor="text1"/>
                <w:lang w:bidi="en-US"/>
                <w14:textFill>
                  <w14:solidFill>
                    <w14:schemeClr w14:val="tx1"/>
                  </w14:solidFill>
                </w14:textFill>
              </w:rPr>
              <w:t>±</w:t>
            </w:r>
            <w:r>
              <w:rPr>
                <w:rFonts w:ascii="宋体" w:hAnsi="宋体"/>
                <w:color w:val="000000" w:themeColor="text1"/>
                <w:lang w:bidi="en-US"/>
                <w14:textFill>
                  <w14:solidFill>
                    <w14:schemeClr w14:val="tx1"/>
                  </w14:solidFill>
                </w14:textFill>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8" w:type="dxa"/>
            <w:shd w:val="clear" w:color="auto" w:fill="auto"/>
          </w:tcPr>
          <w:p>
            <w:pPr>
              <w:tabs>
                <w:tab w:val="left" w:pos="851"/>
              </w:tabs>
              <w:ind w:firstLine="420" w:firstLineChars="200"/>
              <w:jc w:val="center"/>
              <w:rPr>
                <w:rFonts w:ascii="宋体" w:hAnsi="宋体"/>
                <w:color w:val="000000" w:themeColor="text1"/>
                <w:lang w:bidi="en-US"/>
                <w14:textFill>
                  <w14:solidFill>
                    <w14:schemeClr w14:val="tx1"/>
                  </w14:solidFill>
                </w14:textFill>
              </w:rPr>
            </w:pPr>
            <w:r>
              <w:rPr>
                <w:rFonts w:hint="eastAsia" w:ascii="宋体" w:hAnsi="宋体"/>
                <w:color w:val="000000" w:themeColor="text1"/>
                <w:lang w:bidi="en-US"/>
                <w14:textFill>
                  <w14:solidFill>
                    <w14:schemeClr w14:val="tx1"/>
                  </w14:solidFill>
                </w14:textFill>
              </w:rPr>
              <w:t>高程</w:t>
            </w:r>
          </w:p>
        </w:tc>
        <w:tc>
          <w:tcPr>
            <w:tcW w:w="3402" w:type="dxa"/>
            <w:shd w:val="clear" w:color="auto" w:fill="auto"/>
          </w:tcPr>
          <w:p>
            <w:pPr>
              <w:tabs>
                <w:tab w:val="left" w:pos="851"/>
              </w:tabs>
              <w:ind w:firstLine="420" w:firstLineChars="200"/>
              <w:jc w:val="center"/>
              <w:rPr>
                <w:rFonts w:ascii="宋体" w:hAnsi="宋体"/>
                <w:color w:val="000000" w:themeColor="text1"/>
                <w:lang w:bidi="en-US"/>
                <w14:textFill>
                  <w14:solidFill>
                    <w14:schemeClr w14:val="tx1"/>
                  </w14:solidFill>
                </w14:textFill>
              </w:rPr>
            </w:pPr>
            <w:r>
              <w:rPr>
                <w:rFonts w:hint="eastAsia" w:ascii="宋体" w:hAnsi="宋体"/>
                <w:color w:val="000000" w:themeColor="text1"/>
                <w:lang w:bidi="en-US"/>
                <w14:textFill>
                  <w14:solidFill>
                    <w14:schemeClr w14:val="tx1"/>
                  </w14:solidFill>
                </w14:textFill>
              </w:rPr>
              <w:t>±</w:t>
            </w:r>
            <w:r>
              <w:rPr>
                <w:rFonts w:ascii="宋体" w:hAnsi="宋体"/>
                <w:color w:val="000000" w:themeColor="text1"/>
                <w:lang w:bidi="en-US"/>
                <w14:textFill>
                  <w14:solidFill>
                    <w14:schemeClr w14:val="tx1"/>
                  </w14:solidFill>
                </w14:textFill>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8" w:type="dxa"/>
            <w:shd w:val="clear" w:color="auto" w:fill="auto"/>
          </w:tcPr>
          <w:p>
            <w:pPr>
              <w:tabs>
                <w:tab w:val="left" w:pos="851"/>
              </w:tabs>
              <w:ind w:firstLine="420" w:firstLineChars="200"/>
              <w:jc w:val="center"/>
              <w:rPr>
                <w:rFonts w:ascii="宋体" w:hAnsi="宋体"/>
                <w:color w:val="000000" w:themeColor="text1"/>
                <w:lang w:bidi="en-US"/>
                <w14:textFill>
                  <w14:solidFill>
                    <w14:schemeClr w14:val="tx1"/>
                  </w14:solidFill>
                </w14:textFill>
              </w:rPr>
            </w:pPr>
            <w:r>
              <w:rPr>
                <w:rFonts w:hint="eastAsia" w:ascii="宋体" w:hAnsi="宋体"/>
                <w:color w:val="000000" w:themeColor="text1"/>
                <w:lang w:bidi="en-US"/>
                <w14:textFill>
                  <w14:solidFill>
                    <w14:schemeClr w14:val="tx1"/>
                  </w14:solidFill>
                </w14:textFill>
              </w:rPr>
              <w:t>垂直度</w:t>
            </w:r>
          </w:p>
        </w:tc>
        <w:tc>
          <w:tcPr>
            <w:tcW w:w="3402" w:type="dxa"/>
            <w:shd w:val="clear" w:color="auto" w:fill="auto"/>
          </w:tcPr>
          <w:p>
            <w:pPr>
              <w:tabs>
                <w:tab w:val="left" w:pos="851"/>
              </w:tabs>
              <w:ind w:firstLine="420" w:firstLineChars="200"/>
              <w:jc w:val="center"/>
              <w:rPr>
                <w:rFonts w:ascii="宋体" w:hAnsi="宋体"/>
                <w:color w:val="000000" w:themeColor="text1"/>
                <w:lang w:bidi="en-US"/>
                <w14:textFill>
                  <w14:solidFill>
                    <w14:schemeClr w14:val="tx1"/>
                  </w14:solidFill>
                </w14:textFill>
              </w:rPr>
            </w:pPr>
            <w:r>
              <w:rPr>
                <w:rFonts w:ascii="宋体" w:hAnsi="宋体"/>
                <w:color w:val="000000" w:themeColor="text1"/>
                <w:lang w:bidi="en-US"/>
                <w14:textFill>
                  <w14:solidFill>
                    <w14:schemeClr w14:val="tx1"/>
                  </w14:solidFill>
                </w14:textFill>
              </w:rPr>
              <w:t>5‰</w:t>
            </w:r>
          </w:p>
        </w:tc>
      </w:tr>
    </w:tbl>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61" w:firstLineChars="171"/>
        <w:jc w:val="both"/>
        <w:rPr>
          <w:rFonts w:hAnsi="宋体"/>
          <w:color w:val="000000" w:themeColor="text1"/>
          <w:sz w:val="21"/>
          <w:szCs w:val="21"/>
          <w:lang w:bidi="ar"/>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4 </w:t>
      </w:r>
      <w:r>
        <w:rPr>
          <w:rFonts w:hint="eastAsia" w:hAnsi="宋体"/>
          <w:color w:val="000000" w:themeColor="text1"/>
          <w:sz w:val="21"/>
          <w:szCs w:val="21"/>
          <w:lang w:bidi="ar"/>
          <w14:textFill>
            <w14:solidFill>
              <w14:schemeClr w14:val="tx1"/>
            </w14:solidFill>
          </w14:textFill>
        </w:rPr>
        <w:t>分部开挖时，钢架应及时接长落底，封闭成环；</w:t>
      </w:r>
    </w:p>
    <w:p>
      <w:pPr>
        <w:pStyle w:val="21"/>
        <w:widowControl/>
        <w:snapToGrid w:val="0"/>
        <w:spacing w:line="360" w:lineRule="auto"/>
        <w:ind w:firstLine="361" w:firstLineChars="171"/>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5</w:t>
      </w:r>
      <w:r>
        <w:rPr>
          <w:rFonts w:hint="eastAsia" w:ascii="Times New Roman" w:hAnsi="宋体" w:cs="Times New Roman"/>
          <w:color w:val="000000" w:themeColor="text1"/>
          <w:kern w:val="2"/>
          <w:sz w:val="21"/>
          <w:szCs w:val="21"/>
          <w14:textFill>
            <w14:solidFill>
              <w14:schemeClr w14:val="tx1"/>
            </w14:solidFill>
          </w14:textFill>
        </w:rPr>
        <w:t xml:space="preserve"> 钢架与土层间隙应满足设计保护层的要求，相邻钢架的纵向连接应牢固；</w:t>
      </w:r>
    </w:p>
    <w:p>
      <w:pPr>
        <w:pStyle w:val="21"/>
        <w:snapToGrid w:val="0"/>
        <w:spacing w:line="360" w:lineRule="auto"/>
        <w:ind w:firstLine="361" w:firstLineChars="171"/>
        <w:jc w:val="both"/>
        <w:rPr>
          <w:rFonts w:hAnsi="宋体"/>
          <w:color w:val="000000" w:themeColor="text1"/>
          <w:sz w:val="21"/>
          <w:szCs w:val="21"/>
          <w:lang w:bidi="ar"/>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6 </w:t>
      </w:r>
      <w:r>
        <w:rPr>
          <w:rFonts w:hint="eastAsia" w:hAnsi="宋体"/>
          <w:color w:val="000000" w:themeColor="text1"/>
          <w:sz w:val="21"/>
          <w:szCs w:val="21"/>
          <w:lang w:bidi="ar"/>
          <w14:textFill>
            <w14:solidFill>
              <w14:schemeClr w14:val="tx1"/>
            </w14:solidFill>
          </w14:textFill>
        </w:rPr>
        <w:t>钢架</w:t>
      </w:r>
      <w:r>
        <w:rPr>
          <w:rFonts w:hint="eastAsia" w:ascii="Times New Roman" w:hAnsi="宋体" w:cs="Times New Roman"/>
          <w:color w:val="000000" w:themeColor="text1"/>
          <w:kern w:val="2"/>
          <w:sz w:val="21"/>
          <w:szCs w:val="21"/>
          <w14:textFill>
            <w14:solidFill>
              <w14:schemeClr w14:val="tx1"/>
            </w14:solidFill>
          </w14:textFill>
        </w:rPr>
        <w:t>底脚应支垫稳固，</w:t>
      </w:r>
      <w:r>
        <w:rPr>
          <w:rFonts w:hint="eastAsia" w:hAnsi="宋体"/>
          <w:color w:val="000000" w:themeColor="text1"/>
          <w:sz w:val="21"/>
          <w:szCs w:val="21"/>
          <w:lang w:bidi="ar"/>
          <w14:textFill>
            <w14:solidFill>
              <w14:schemeClr w14:val="tx1"/>
            </w14:solidFill>
          </w14:textFill>
        </w:rPr>
        <w:t>宜采用钢板垫实，垫板底部应牢固、坚实，不应有虚渣，安装前，应将底脚处的虚渣、杂物清除干净；</w:t>
      </w:r>
    </w:p>
    <w:p>
      <w:pPr>
        <w:pStyle w:val="21"/>
        <w:widowControl/>
        <w:snapToGrid w:val="0"/>
        <w:spacing w:line="360" w:lineRule="auto"/>
        <w:ind w:firstLine="361" w:firstLineChars="171"/>
        <w:jc w:val="both"/>
        <w:rPr>
          <w:rFonts w:hAnsi="宋体"/>
          <w:color w:val="000000" w:themeColor="text1"/>
          <w:sz w:val="21"/>
          <w:szCs w:val="21"/>
          <w:lang w:bidi="ar"/>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7 </w:t>
      </w:r>
      <w:r>
        <w:rPr>
          <w:rFonts w:hint="eastAsia" w:hAnsi="宋体"/>
          <w:color w:val="000000" w:themeColor="text1"/>
          <w:sz w:val="21"/>
          <w:szCs w:val="21"/>
          <w:lang w:bidi="ar"/>
          <w14:textFill>
            <w14:solidFill>
              <w14:schemeClr w14:val="tx1"/>
            </w14:solidFill>
          </w14:textFill>
        </w:rPr>
        <w:t>设置锁脚锚杆时，拱脚应通过L形钢筋与格栅钢架焊接牢固；</w:t>
      </w:r>
    </w:p>
    <w:p>
      <w:pPr>
        <w:pStyle w:val="21"/>
        <w:widowControl/>
        <w:snapToGrid w:val="0"/>
        <w:spacing w:line="360" w:lineRule="auto"/>
        <w:ind w:firstLine="361" w:firstLineChars="171"/>
        <w:jc w:val="both"/>
        <w:rPr>
          <w:rFonts w:hAnsi="宋体"/>
          <w:color w:val="000000" w:themeColor="text1"/>
          <w:sz w:val="21"/>
          <w:szCs w:val="21"/>
          <w:lang w:bidi="ar"/>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8 </w:t>
      </w:r>
      <w:r>
        <w:rPr>
          <w:rFonts w:hint="eastAsia" w:hAnsi="宋体"/>
          <w:color w:val="000000" w:themeColor="text1"/>
          <w:sz w:val="21"/>
          <w:szCs w:val="21"/>
          <w:lang w:bidi="ar"/>
          <w14:textFill>
            <w14:solidFill>
              <w14:schemeClr w14:val="tx1"/>
            </w14:solidFill>
          </w14:textFill>
        </w:rPr>
        <w:t>预留洞口、封端应按设计要求进行支护。</w:t>
      </w:r>
    </w:p>
    <w:p>
      <w:pPr>
        <w:widowControl/>
        <w:spacing w:line="360" w:lineRule="auto"/>
        <w:jc w:val="left"/>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12.2.2</w:t>
      </w:r>
      <w:r>
        <w:rPr>
          <w:rFonts w:hint="eastAsia" w:hAnsi="宋体"/>
          <w:color w:val="000000" w:themeColor="text1"/>
          <w:szCs w:val="21"/>
          <w14:textFill>
            <w14:solidFill>
              <w14:schemeClr w14:val="tx1"/>
            </w14:solidFill>
          </w14:textFill>
        </w:rPr>
        <w:t xml:space="preserve"> </w:t>
      </w:r>
      <w:r>
        <w:rPr>
          <w:rFonts w:hint="eastAsia" w:ascii="宋体" w:hAnsi="宋体" w:cs="宋体"/>
          <w:color w:val="000000" w:themeColor="text1"/>
          <w:kern w:val="0"/>
          <w:szCs w:val="21"/>
          <w:lang w:bidi="ar"/>
          <w14:textFill>
            <w14:solidFill>
              <w14:schemeClr w14:val="tx1"/>
            </w14:solidFill>
          </w14:textFill>
        </w:rPr>
        <w:t>钢架应分节安装，连接钢板应与钢架轴线垂直，平面不错位、扭曲，节点连接螺栓应紧固；格栅钢架主筋应采用同直径、同材质的钢筋帮焊连接，</w:t>
      </w:r>
      <w:r>
        <w:rPr>
          <w:rFonts w:hint="eastAsia" w:hAnsi="宋体" w:cstheme="minorEastAsia"/>
          <w:color w:val="000000" w:themeColor="text1"/>
          <w:szCs w:val="21"/>
          <w14:textFill>
            <w14:solidFill>
              <w14:schemeClr w14:val="tx1"/>
            </w14:solidFill>
          </w14:textFill>
        </w:rPr>
        <w:t>单面焊接时焊缝长度应不小于10d，双面焊接时焊缝长度应不小于5d，焊缝应饱满。</w:t>
      </w:r>
    </w:p>
    <w:p>
      <w:pPr>
        <w:pStyle w:val="22"/>
        <w:widowControl/>
        <w:tabs>
          <w:tab w:val="left" w:pos="851"/>
          <w:tab w:val="left" w:pos="5835"/>
        </w:tabs>
        <w:snapToGrid w:val="0"/>
        <w:spacing w:line="360" w:lineRule="auto"/>
        <w:ind w:firstLine="0" w:firstLineChars="0"/>
        <w:jc w:val="left"/>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12.2.3</w:t>
      </w:r>
      <w:r>
        <w:rPr>
          <w:rFonts w:hint="eastAsia" w:hAnsi="宋体"/>
          <w:color w:val="000000" w:themeColor="text1"/>
          <w:szCs w:val="21"/>
          <w14:textFill>
            <w14:solidFill>
              <w14:schemeClr w14:val="tx1"/>
            </w14:solidFill>
          </w14:textFill>
        </w:rPr>
        <w:t xml:space="preserve"> </w:t>
      </w:r>
      <w:r>
        <w:rPr>
          <w:rFonts w:hint="eastAsia" w:ascii="宋体" w:hAnsi="宋体" w:cs="宋体"/>
          <w:color w:val="000000" w:themeColor="text1"/>
          <w:kern w:val="0"/>
          <w:szCs w:val="21"/>
          <w:lang w:bidi="ar"/>
          <w14:textFill>
            <w14:solidFill>
              <w14:schemeClr w14:val="tx1"/>
            </w14:solidFill>
          </w14:textFill>
        </w:rPr>
        <w:t>钢筋网应沿钢架内、外侧主筋铺设，</w:t>
      </w:r>
      <w:r>
        <w:rPr>
          <w:rFonts w:hint="eastAsia"/>
          <w:color w:val="000000" w:themeColor="text1"/>
          <w:szCs w:val="21"/>
          <w14:textFill>
            <w14:solidFill>
              <w14:schemeClr w14:val="tx1"/>
            </w14:solidFill>
          </w14:textFill>
        </w:rPr>
        <w:t>钢筋网应与隧道断面形状向适应，</w:t>
      </w:r>
      <w:r>
        <w:rPr>
          <w:rFonts w:hint="eastAsia" w:ascii="宋体" w:hAnsi="宋体" w:cs="宋体"/>
          <w:color w:val="000000" w:themeColor="text1"/>
          <w:kern w:val="0"/>
          <w:szCs w:val="21"/>
          <w:lang w:bidi="ar"/>
          <w14:textFill>
            <w14:solidFill>
              <w14:schemeClr w14:val="tx1"/>
            </w14:solidFill>
          </w14:textFill>
        </w:rPr>
        <w:t>钢筋网纵向和环向搭接长度不宜小于1个网孔，</w:t>
      </w:r>
      <w:r>
        <w:rPr>
          <w:rFonts w:hint="eastAsia"/>
          <w:color w:val="000000" w:themeColor="text1"/>
          <w:szCs w:val="21"/>
          <w14:textFill>
            <w14:solidFill>
              <w14:schemeClr w14:val="tx1"/>
            </w14:solidFill>
          </w14:textFill>
        </w:rPr>
        <w:t>且搭接长度不应小于200mm。</w:t>
      </w:r>
      <w:r>
        <w:rPr>
          <w:rFonts w:hint="eastAsia" w:ascii="宋体" w:hAnsi="宋体" w:cs="宋体"/>
          <w:color w:val="000000" w:themeColor="text1"/>
          <w:kern w:val="0"/>
          <w:szCs w:val="21"/>
          <w:lang w:bidi="ar"/>
          <w14:textFill>
            <w14:solidFill>
              <w14:schemeClr w14:val="tx1"/>
            </w14:solidFill>
          </w14:textFill>
        </w:rPr>
        <w:t>钢筋网之间、钢筋网与钢架、纵向连接筋应绑扎牢固。</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12.2.4 </w:t>
      </w:r>
      <w:r>
        <w:rPr>
          <w:rFonts w:hint="eastAsia"/>
          <w:color w:val="000000" w:themeColor="text1"/>
          <w:szCs w:val="21"/>
          <w14:textFill>
            <w14:solidFill>
              <w14:schemeClr w14:val="tx1"/>
            </w14:solidFill>
          </w14:textFill>
        </w:rPr>
        <w:t>钢筋网宜在喷射一层混凝土后铺挂，</w:t>
      </w:r>
      <w:r>
        <w:rPr>
          <w:rFonts w:hint="eastAsia" w:hAnsi="宋体"/>
          <w:color w:val="000000" w:themeColor="text1"/>
          <w:szCs w:val="21"/>
          <w14:textFill>
            <w14:solidFill>
              <w14:schemeClr w14:val="tx1"/>
            </w14:solidFill>
          </w14:textFill>
        </w:rPr>
        <w:t>每层钢筋网之间应搭接牢固，且搭接长度不应小于200mm。采用双层钢筋网时，应在第一层钢筋网被混凝土覆盖及混凝土终凝后再铺第二层。</w:t>
      </w:r>
    </w:p>
    <w:p>
      <w:pPr>
        <w:pStyle w:val="22"/>
        <w:widowControl/>
        <w:tabs>
          <w:tab w:val="left" w:pos="851"/>
          <w:tab w:val="left" w:pos="5835"/>
        </w:tabs>
        <w:snapToGrid w:val="0"/>
        <w:spacing w:line="360" w:lineRule="auto"/>
        <w:ind w:firstLine="0" w:firstLineChars="0"/>
        <w:jc w:val="left"/>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12.2.5 </w:t>
      </w:r>
      <w:r>
        <w:rPr>
          <w:rFonts w:hint="eastAsia" w:ascii="宋体" w:hAnsi="宋体" w:cs="宋体"/>
          <w:color w:val="000000" w:themeColor="text1"/>
          <w:kern w:val="0"/>
          <w:szCs w:val="21"/>
          <w:lang w:bidi="ar"/>
          <w14:textFill>
            <w14:solidFill>
              <w14:schemeClr w14:val="tx1"/>
            </w14:solidFill>
          </w14:textFill>
        </w:rPr>
        <w:t xml:space="preserve">纵向连接筋直径、间距以及连接方式应符合设计要求。连接筋应与格栅主筋点焊牢固；沿环向连接筋应在格栅钢架主筋内、外侧交错布置。 </w:t>
      </w:r>
    </w:p>
    <w:p>
      <w:pPr>
        <w:widowControl/>
        <w:spacing w:line="360" w:lineRule="auto"/>
        <w:jc w:val="left"/>
        <w:rPr>
          <w:rFonts w:ascii="宋体" w:hAnsi="宋体" w:cs="宋体"/>
          <w:color w:val="000000" w:themeColor="text1"/>
          <w:kern w:val="0"/>
          <w:szCs w:val="21"/>
          <w:lang w:bidi="ar"/>
          <w14:textFill>
            <w14:solidFill>
              <w14:schemeClr w14:val="tx1"/>
            </w14:solidFill>
          </w14:textFill>
        </w:rPr>
      </w:pPr>
      <w:r>
        <w:rPr>
          <w:rFonts w:hint="eastAsia" w:hAnsi="宋体"/>
          <w:b/>
          <w:bCs/>
          <w:color w:val="000000" w:themeColor="text1"/>
          <w:szCs w:val="21"/>
          <w14:textFill>
            <w14:solidFill>
              <w14:schemeClr w14:val="tx1"/>
            </w14:solidFill>
          </w14:textFill>
        </w:rPr>
        <w:t>12.2.6</w:t>
      </w:r>
      <w:r>
        <w:rPr>
          <w:rFonts w:hint="eastAsia" w:hAnsi="宋体"/>
          <w:color w:val="000000" w:themeColor="text1"/>
          <w:szCs w:val="21"/>
          <w14:textFill>
            <w14:solidFill>
              <w14:schemeClr w14:val="tx1"/>
            </w14:solidFill>
          </w14:textFill>
        </w:rPr>
        <w:t xml:space="preserve"> </w:t>
      </w:r>
      <w:r>
        <w:rPr>
          <w:rFonts w:hint="eastAsia" w:ascii="宋体" w:hAnsi="宋体" w:cs="宋体"/>
          <w:color w:val="000000" w:themeColor="text1"/>
          <w:kern w:val="0"/>
          <w:szCs w:val="21"/>
          <w:lang w:bidi="ar"/>
          <w14:textFill>
            <w14:solidFill>
              <w14:schemeClr w14:val="tx1"/>
            </w14:solidFill>
          </w14:textFill>
        </w:rPr>
        <w:t>连接筋宜采用焊接或机械连接，套筒连接应符合现行行业标准《</w:t>
      </w:r>
      <w:r>
        <w:rPr>
          <w:rFonts w:hint="eastAsia" w:ascii="宋体" w:hAnsi="宋体"/>
          <w:color w:val="000000" w:themeColor="text1"/>
          <w:szCs w:val="21"/>
          <w14:textFill>
            <w14:solidFill>
              <w14:schemeClr w14:val="tx1"/>
            </w14:solidFill>
          </w14:textFill>
        </w:rPr>
        <w:t>钢筋机械连接技术规程》JGJ107</w:t>
      </w:r>
      <w:r>
        <w:rPr>
          <w:rFonts w:hint="eastAsia" w:ascii="宋体" w:hAnsi="宋体" w:cs="宋体"/>
          <w:color w:val="000000" w:themeColor="text1"/>
          <w:kern w:val="0"/>
          <w:szCs w:val="21"/>
          <w:lang w:bidi="ar"/>
          <w14:textFill>
            <w14:solidFill>
              <w14:schemeClr w14:val="tx1"/>
            </w14:solidFill>
          </w14:textFill>
        </w:rPr>
        <w:t>的有关规定。焊接时，双面焊搭接长度应不小于5d，单面焊搭接长度应不小于10d，焊接质量应符合现行行业标准《钢筋焊接及验收规范》JGJ18的有关规定。</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303" w:name="_Toc11565"/>
      <w:bookmarkStart w:id="304" w:name="_Toc6017"/>
      <w:bookmarkStart w:id="305" w:name="_Toc20270"/>
      <w:bookmarkStart w:id="306" w:name="_Toc21555"/>
      <w:bookmarkStart w:id="307" w:name="_Toc24809"/>
      <w:bookmarkStart w:id="308" w:name="_Toc5639"/>
      <w:r>
        <w:rPr>
          <w:rFonts w:hint="eastAsia" w:hAnsi="宋体"/>
          <w:b/>
          <w:color w:val="000000" w:themeColor="text1"/>
          <w:sz w:val="24"/>
          <w14:textFill>
            <w14:solidFill>
              <w14:schemeClr w14:val="tx1"/>
            </w14:solidFill>
          </w14:textFill>
        </w:rPr>
        <w:t>12.3  锁脚锚管（杆）</w:t>
      </w:r>
      <w:bookmarkEnd w:id="303"/>
      <w:bookmarkEnd w:id="304"/>
      <w:bookmarkEnd w:id="305"/>
      <w:bookmarkEnd w:id="306"/>
      <w:bookmarkEnd w:id="307"/>
      <w:bookmarkEnd w:id="308"/>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12.3.1 </w:t>
      </w:r>
      <w:r>
        <w:rPr>
          <w:rFonts w:hint="eastAsia" w:hAnsi="宋体"/>
          <w:color w:val="000000" w:themeColor="text1"/>
          <w:szCs w:val="21"/>
          <w14:textFill>
            <w14:solidFill>
              <w14:schemeClr w14:val="tx1"/>
            </w14:solidFill>
          </w14:textFill>
        </w:rPr>
        <w:t>锚管的角度、方向、数量、连接方式和安装方法应符合设计要求。</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12.3.2 </w:t>
      </w:r>
      <w:r>
        <w:rPr>
          <w:rFonts w:hint="eastAsia" w:hAnsi="宋体"/>
          <w:color w:val="000000" w:themeColor="text1"/>
          <w:szCs w:val="21"/>
          <w14:textFill>
            <w14:solidFill>
              <w14:schemeClr w14:val="tx1"/>
            </w14:solidFill>
          </w14:textFill>
        </w:rPr>
        <w:t>锚管所用的钢管应平直、无损伤，表面无裂纹、油污、颗粒状或片状老锈。</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12.3.3 </w:t>
      </w:r>
      <w:r>
        <w:rPr>
          <w:rFonts w:hint="eastAsia" w:hAnsi="宋体"/>
          <w:color w:val="000000" w:themeColor="text1"/>
          <w:szCs w:val="21"/>
          <w14:textFill>
            <w14:solidFill>
              <w14:schemeClr w14:val="tx1"/>
            </w14:solidFill>
          </w14:textFill>
        </w:rPr>
        <w:t>锚管应从拱部格栅钢架的脚部打入，长度宜为3m</w:t>
      </w:r>
      <w:r>
        <w:rPr>
          <w:rFonts w:hint="eastAsia" w:ascii="宋体" w:hAnsi="宋体" w:cs="宋体"/>
          <w:color w:val="000000" w:themeColor="text1"/>
          <w:szCs w:val="21"/>
          <w14:textFill>
            <w14:solidFill>
              <w14:schemeClr w14:val="tx1"/>
            </w14:solidFill>
          </w14:textFill>
        </w:rPr>
        <w:t>～</w:t>
      </w:r>
      <w:r>
        <w:rPr>
          <w:rFonts w:hint="eastAsia" w:hAnsi="宋体"/>
          <w:color w:val="000000" w:themeColor="text1"/>
          <w:szCs w:val="21"/>
          <w14:textFill>
            <w14:solidFill>
              <w14:schemeClr w14:val="tx1"/>
            </w14:solidFill>
          </w14:textFill>
        </w:rPr>
        <w:t xml:space="preserve">5m，与水平面夹角30°~45°，并应与拱部格栅钢架主筋焊接牢固。  </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12.3.4</w:t>
      </w:r>
      <w:r>
        <w:rPr>
          <w:rFonts w:hint="eastAsia" w:hAnsi="宋体"/>
          <w:color w:val="000000" w:themeColor="text1"/>
          <w:szCs w:val="21"/>
          <w14:textFill>
            <w14:solidFill>
              <w14:schemeClr w14:val="tx1"/>
            </w14:solidFill>
          </w14:textFill>
        </w:rPr>
        <w:t xml:space="preserve"> 锚杆（管）应按设计要求注浆，孔内灌注浆液应饱满密实。                                                                                                     </w:t>
      </w:r>
    </w:p>
    <w:p>
      <w:pPr>
        <w:pStyle w:val="22"/>
        <w:tabs>
          <w:tab w:val="left" w:pos="851"/>
        </w:tabs>
        <w:snapToGrid w:val="0"/>
        <w:spacing w:line="360" w:lineRule="auto"/>
        <w:ind w:firstLine="0" w:firstLineChars="0"/>
        <w:jc w:val="left"/>
        <w:rPr>
          <w:rFonts w:hAnsi="宋体"/>
          <w:b/>
          <w:color w:val="000000" w:themeColor="text1"/>
          <w:sz w:val="24"/>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12.3.5 </w:t>
      </w:r>
      <w:r>
        <w:rPr>
          <w:rFonts w:hint="eastAsia" w:hAnsi="宋体"/>
          <w:color w:val="000000" w:themeColor="text1"/>
          <w:szCs w:val="21"/>
          <w14:textFill>
            <w14:solidFill>
              <w14:schemeClr w14:val="tx1"/>
            </w14:solidFill>
          </w14:textFill>
        </w:rPr>
        <w:t>锚管安装允许偏差值：孔位为±15mm，孔深为±25mm。</w:t>
      </w:r>
      <w:r>
        <w:rPr>
          <w:rFonts w:hint="eastAsia" w:hAnsi="宋体"/>
          <w:b/>
          <w:bCs/>
          <w:color w:val="000000" w:themeColor="text1"/>
          <w:szCs w:val="21"/>
          <w14:textFill>
            <w14:solidFill>
              <w14:schemeClr w14:val="tx1"/>
            </w14:solidFill>
          </w14:textFill>
        </w:rPr>
        <w:t xml:space="preserve"> </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309" w:name="_Toc9716"/>
      <w:bookmarkStart w:id="310" w:name="_Toc30095"/>
      <w:bookmarkStart w:id="311" w:name="_Toc12477"/>
      <w:bookmarkStart w:id="312" w:name="_Toc1058"/>
      <w:bookmarkStart w:id="313" w:name="_Toc17226"/>
      <w:bookmarkStart w:id="314" w:name="_Toc3598"/>
      <w:r>
        <w:rPr>
          <w:rFonts w:hint="eastAsia" w:hAnsi="宋体"/>
          <w:b/>
          <w:color w:val="000000" w:themeColor="text1"/>
          <w:sz w:val="24"/>
          <w14:textFill>
            <w14:solidFill>
              <w14:schemeClr w14:val="tx1"/>
            </w14:solidFill>
          </w14:textFill>
        </w:rPr>
        <w:t>12.4  喷射混凝土施工</w:t>
      </w:r>
      <w:bookmarkEnd w:id="309"/>
      <w:bookmarkEnd w:id="310"/>
      <w:bookmarkEnd w:id="311"/>
      <w:bookmarkEnd w:id="312"/>
      <w:bookmarkEnd w:id="313"/>
    </w:p>
    <w:p>
      <w:pPr>
        <w:pStyle w:val="22"/>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12.4.1 </w:t>
      </w:r>
      <w:r>
        <w:rPr>
          <w:rFonts w:hint="eastAsia" w:hAnsi="宋体"/>
          <w:color w:val="000000" w:themeColor="text1"/>
          <w:szCs w:val="21"/>
          <w14:textFill>
            <w14:solidFill>
              <w14:schemeClr w14:val="tx1"/>
            </w14:solidFill>
          </w14:textFill>
        </w:rPr>
        <w:t>混凝土喷射机应密封良好，输料应连续均匀，输料能力应满足施工需要。喷射混凝土前应</w:t>
      </w:r>
      <w:r>
        <w:rPr>
          <w:rFonts w:hint="eastAsia"/>
          <w:color w:val="000000" w:themeColor="text1"/>
          <w:szCs w:val="21"/>
          <w14:textFill>
            <w14:solidFill>
              <w14:schemeClr w14:val="tx1"/>
            </w14:solidFill>
          </w14:textFill>
        </w:rPr>
        <w:t>检查喷射机的状况，</w:t>
      </w:r>
      <w:r>
        <w:rPr>
          <w:rFonts w:hint="eastAsia" w:hAnsi="宋体"/>
          <w:color w:val="000000" w:themeColor="text1"/>
          <w:szCs w:val="21"/>
          <w14:textFill>
            <w14:solidFill>
              <w14:schemeClr w14:val="tx1"/>
            </w14:solidFill>
          </w14:textFill>
        </w:rPr>
        <w:t>并经试运转合格。</w:t>
      </w:r>
    </w:p>
    <w:p>
      <w:pPr>
        <w:adjustRightInd w:val="0"/>
        <w:snapToGrid w:val="0"/>
        <w:spacing w:line="360" w:lineRule="auto"/>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12.4.2 </w:t>
      </w:r>
      <w:r>
        <w:rPr>
          <w:rFonts w:hint="eastAsia" w:hAnsi="宋体"/>
          <w:color w:val="000000" w:themeColor="text1"/>
          <w:szCs w:val="21"/>
          <w14:textFill>
            <w14:solidFill>
              <w14:schemeClr w14:val="tx1"/>
            </w14:solidFill>
          </w14:textFill>
        </w:rPr>
        <w:t>喷射作业前，应埋设控制喷射混凝土厚度标志，</w:t>
      </w:r>
      <w:r>
        <w:rPr>
          <w:rFonts w:hint="eastAsia"/>
          <w:color w:val="000000" w:themeColor="text1"/>
          <w:szCs w:val="21"/>
          <w14:textFill>
            <w14:solidFill>
              <w14:schemeClr w14:val="tx1"/>
            </w14:solidFill>
          </w14:textFill>
        </w:rPr>
        <w:t xml:space="preserve">格栅钢架、钢筋网的保护层厚度应符合设计要求。 </w:t>
      </w:r>
    </w:p>
    <w:p>
      <w:pPr>
        <w:pStyle w:val="22"/>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12.4.3 </w:t>
      </w:r>
      <w:r>
        <w:rPr>
          <w:rFonts w:hint="eastAsia" w:hAnsi="宋体"/>
          <w:color w:val="000000" w:themeColor="text1"/>
          <w:szCs w:val="21"/>
          <w14:textFill>
            <w14:solidFill>
              <w14:schemeClr w14:val="tx1"/>
            </w14:solidFill>
          </w14:textFill>
        </w:rPr>
        <w:t>喷射混凝土应紧跟开挖工作面进行，并应符合下列规定：</w:t>
      </w:r>
    </w:p>
    <w:p>
      <w:pPr>
        <w:adjustRightInd w:val="0"/>
        <w:snapToGrid w:val="0"/>
        <w:spacing w:line="360" w:lineRule="auto"/>
        <w:ind w:firstLine="361" w:firstLineChars="171"/>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 xml:space="preserve"> 应先用高压风清理受喷面、施工缝，剔除疏松部分；喷头与受喷面应垂直，距离宜为0.6m～1.0m，</w:t>
      </w:r>
      <w:r>
        <w:rPr>
          <w:rFonts w:hint="eastAsia" w:hAnsi="宋体"/>
          <w:color w:val="000000" w:themeColor="text1"/>
          <w:szCs w:val="21"/>
          <w14:textFill>
            <w14:solidFill>
              <w14:schemeClr w14:val="tx1"/>
            </w14:solidFill>
          </w14:textFill>
        </w:rPr>
        <w:t>喷头处的风压不宜小于0.1MPa；</w:t>
      </w:r>
    </w:p>
    <w:p>
      <w:pPr>
        <w:adjustRightInd w:val="0"/>
        <w:snapToGrid w:val="0"/>
        <w:spacing w:line="360" w:lineRule="auto"/>
        <w:ind w:firstLine="361" w:firstLineChars="171"/>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color w:val="000000" w:themeColor="text1"/>
          <w:szCs w:val="21"/>
          <w14:textFill>
            <w14:solidFill>
              <w14:schemeClr w14:val="tx1"/>
            </w14:solidFill>
          </w14:textFill>
        </w:rPr>
        <w:t>喷射混凝土宜分段、分片、分层、自下而上依次进行；应先喷射格栅钢架与地层间的混凝土，后喷射格栅钢架间的混凝土；格栅钢架连接板、墙角等钢筋密集处应适当调整喷射角度，保证混凝土密实；</w:t>
      </w:r>
    </w:p>
    <w:p>
      <w:pPr>
        <w:spacing w:line="360" w:lineRule="auto"/>
        <w:ind w:firstLine="422" w:firstLineChars="200"/>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color w:val="000000" w:themeColor="text1"/>
          <w:szCs w:val="21"/>
          <w14:textFill>
            <w14:solidFill>
              <w14:schemeClr w14:val="tx1"/>
            </w14:solidFill>
          </w14:textFill>
        </w:rPr>
        <w:t>混凝土厚度较大时，应分层喷射，后一层喷射应在前一层混凝土终凝前进行；潮喷厚度宜为：井壁、边墙70～100mm，拱顶50～60mm；湿喷厚度宜为：井壁、边墙80～150mm，拱顶60～100mm；</w:t>
      </w:r>
      <w:r>
        <w:rPr>
          <w:rFonts w:hint="eastAsia" w:hAnsi="宋体"/>
          <w:color w:val="000000" w:themeColor="text1"/>
          <w:szCs w:val="21"/>
          <w14:textFill>
            <w14:solidFill>
              <w14:schemeClr w14:val="tx1"/>
            </w14:solidFill>
          </w14:textFill>
        </w:rPr>
        <w:t>间隔时间超过1h时，混凝土喷层表面应用高压水或压缩空气清理干净；</w:t>
      </w:r>
    </w:p>
    <w:p>
      <w:pPr>
        <w:adjustRightInd w:val="0"/>
        <w:snapToGrid w:val="0"/>
        <w:spacing w:line="360" w:lineRule="auto"/>
        <w:ind w:firstLine="361" w:firstLineChars="171"/>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4</w:t>
      </w:r>
      <w:r>
        <w:rPr>
          <w:rFonts w:hint="eastAsia"/>
          <w:color w:val="000000" w:themeColor="text1"/>
          <w:szCs w:val="21"/>
          <w14:textFill>
            <w14:solidFill>
              <w14:schemeClr w14:val="tx1"/>
            </w14:solidFill>
          </w14:textFill>
        </w:rPr>
        <w:t xml:space="preserve"> 应采取措施减少喷射混凝土回弹量，井壁、边墙喷射混凝土回弹量不宜大于15%，拱部喷射混凝土回弹量不宜大于25%，并不得使用回弹料；</w:t>
      </w:r>
    </w:p>
    <w:p>
      <w:pPr>
        <w:adjustRightInd w:val="0"/>
        <w:snapToGrid w:val="0"/>
        <w:spacing w:line="360" w:lineRule="auto"/>
        <w:ind w:firstLine="361" w:firstLineChars="171"/>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5 </w:t>
      </w:r>
      <w:r>
        <w:rPr>
          <w:rFonts w:hint="eastAsia"/>
          <w:color w:val="000000" w:themeColor="text1"/>
          <w:szCs w:val="21"/>
          <w14:textFill>
            <w14:solidFill>
              <w14:schemeClr w14:val="tx1"/>
            </w14:solidFill>
          </w14:textFill>
        </w:rPr>
        <w:t>喷射混凝土应控制水灰比，喷射过程中应无流淌、滑坠现象。</w:t>
      </w:r>
    </w:p>
    <w:p>
      <w:pPr>
        <w:adjustRightInd w:val="0"/>
        <w:snapToGrid w:val="0"/>
        <w:spacing w:line="360" w:lineRule="auto"/>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12.4.4 </w:t>
      </w:r>
      <w:r>
        <w:rPr>
          <w:rFonts w:hint="eastAsia"/>
          <w:color w:val="000000" w:themeColor="text1"/>
          <w:szCs w:val="21"/>
          <w14:textFill>
            <w14:solidFill>
              <w14:schemeClr w14:val="tx1"/>
            </w14:solidFill>
          </w14:textFill>
        </w:rPr>
        <w:t xml:space="preserve">存在地下水的地段，应先对渗漏水进行引流处理；喷射混凝土应从远离漏渗水处开始，在渗漏处结束。 </w:t>
      </w:r>
    </w:p>
    <w:p>
      <w:pPr>
        <w:adjustRightInd w:val="0"/>
        <w:snapToGrid w:val="0"/>
        <w:spacing w:line="360" w:lineRule="auto"/>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12.4.5 </w:t>
      </w:r>
      <w:r>
        <w:rPr>
          <w:rFonts w:hint="eastAsia"/>
          <w:color w:val="000000" w:themeColor="text1"/>
          <w:szCs w:val="21"/>
          <w14:textFill>
            <w14:solidFill>
              <w14:schemeClr w14:val="tx1"/>
            </w14:solidFill>
          </w14:textFill>
        </w:rPr>
        <w:t xml:space="preserve">在砂层地段进行喷射作业时，应先紧贴砂层表面铺挂钢筋网，并用钢筋沿环向压紧后再喷射。喷射时，宜先喷一层加大速凝剂掺量的水泥砂浆，并适当减小喷射机的工作风压，水泥砂浆形成薄壳后方可正式喷射。 </w:t>
      </w:r>
    </w:p>
    <w:p>
      <w:pPr>
        <w:pStyle w:val="22"/>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12.4.6 </w:t>
      </w:r>
      <w:r>
        <w:rPr>
          <w:rFonts w:hint="eastAsia" w:hAnsi="宋体"/>
          <w:color w:val="000000" w:themeColor="text1"/>
          <w:szCs w:val="21"/>
          <w14:textFill>
            <w14:solidFill>
              <w14:schemeClr w14:val="tx1"/>
            </w14:solidFill>
          </w14:textFill>
        </w:rPr>
        <w:t>喷射混凝土2h后应养护，养护时间不应少于14d，当气温低于+5℃，不得喷水养护。</w:t>
      </w:r>
    </w:p>
    <w:p>
      <w:pPr>
        <w:pStyle w:val="22"/>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12.4.7 </w:t>
      </w:r>
      <w:r>
        <w:rPr>
          <w:rFonts w:hint="eastAsia" w:hAnsi="宋体"/>
          <w:color w:val="000000" w:themeColor="text1"/>
          <w:szCs w:val="21"/>
          <w14:textFill>
            <w14:solidFill>
              <w14:schemeClr w14:val="tx1"/>
            </w14:solidFill>
          </w14:textFill>
        </w:rPr>
        <w:t>喷射混凝土施工地区温度和混合料进入喷射机温度不应低于+5℃。喷射混凝土低于设计强度的40%时不得受冻。</w:t>
      </w:r>
    </w:p>
    <w:p>
      <w:pPr>
        <w:pStyle w:val="22"/>
        <w:tabs>
          <w:tab w:val="left" w:pos="851"/>
        </w:tabs>
        <w:snapToGrid w:val="0"/>
        <w:spacing w:line="360" w:lineRule="auto"/>
        <w:ind w:firstLine="0" w:firstLineChars="0"/>
        <w:jc w:val="left"/>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12.4.8 </w:t>
      </w:r>
      <w:r>
        <w:rPr>
          <w:rFonts w:hint="eastAsia"/>
          <w:color w:val="000000" w:themeColor="text1"/>
          <w:szCs w:val="21"/>
          <w14:textFill>
            <w14:solidFill>
              <w14:schemeClr w14:val="tx1"/>
            </w14:solidFill>
          </w14:textFill>
        </w:rPr>
        <w:t>喷射混凝土应密实、平整，无裂缝、脱落、漏喷、漏筋、空鼓、渗漏水等现象，混凝土抗压强度、抗渗性能和厚度应符合设计要求，平整度允许偏差为30mm/3m。</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315" w:name="_Toc12232"/>
      <w:bookmarkStart w:id="316" w:name="_Toc494"/>
      <w:bookmarkStart w:id="317" w:name="_Toc5531"/>
      <w:bookmarkStart w:id="318" w:name="_Toc20991"/>
      <w:bookmarkStart w:id="319" w:name="_Toc3164"/>
      <w:r>
        <w:rPr>
          <w:rFonts w:hint="eastAsia" w:hAnsi="宋体"/>
          <w:b/>
          <w:color w:val="000000" w:themeColor="text1"/>
          <w:sz w:val="24"/>
          <w14:textFill>
            <w14:solidFill>
              <w14:schemeClr w14:val="tx1"/>
            </w14:solidFill>
          </w14:textFill>
        </w:rPr>
        <w:t>12.5  区间隧道初期支护</w:t>
      </w:r>
      <w:bookmarkEnd w:id="314"/>
      <w:bookmarkEnd w:id="315"/>
      <w:bookmarkEnd w:id="316"/>
      <w:bookmarkEnd w:id="317"/>
      <w:bookmarkEnd w:id="318"/>
      <w:bookmarkEnd w:id="319"/>
    </w:p>
    <w:p>
      <w:pPr>
        <w:pStyle w:val="22"/>
        <w:tabs>
          <w:tab w:val="left" w:pos="851"/>
        </w:tabs>
        <w:snapToGrid w:val="0"/>
        <w:spacing w:line="360" w:lineRule="auto"/>
        <w:ind w:firstLine="0" w:firstLineChars="0"/>
        <w:jc w:val="left"/>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12.5.1 </w:t>
      </w:r>
      <w:r>
        <w:rPr>
          <w:rFonts w:hint="eastAsia" w:hAnsi="宋体" w:cstheme="minorEastAsia"/>
          <w:color w:val="000000" w:themeColor="text1"/>
          <w:szCs w:val="21"/>
          <w14:textFill>
            <w14:solidFill>
              <w14:schemeClr w14:val="tx1"/>
            </w14:solidFill>
          </w14:textFill>
        </w:rPr>
        <w:t>初期支护应按设计要求分层、分段施工。每循环初期支护应及时封闭成环，隧道、导洞开挖后应及时安装格栅钢架、喷射混凝土，及时施作中隔板、中隔墙及临时仰拱，做到步步成环；中隔壁墙（板）应依次分步联结而成。</w:t>
      </w: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12.5.2 </w:t>
      </w:r>
      <w:r>
        <w:rPr>
          <w:rFonts w:hint="eastAsia" w:ascii="Times New Roman" w:hAnsi="宋体" w:cstheme="minorEastAsia"/>
          <w:color w:val="000000" w:themeColor="text1"/>
          <w:kern w:val="2"/>
          <w:sz w:val="21"/>
          <w:szCs w:val="21"/>
          <w14:textFill>
            <w14:solidFill>
              <w14:schemeClr w14:val="tx1"/>
            </w14:solidFill>
          </w14:textFill>
        </w:rPr>
        <w:t>中隔壁（CD）法初期支护应自上而下、分层施工，每层导洞开挖后均应及时施作锚喷支护、安装格栅钢架和打设锁脚锚管，施作中隔壁和临时仰拱，中隔壁、临时</w:t>
      </w:r>
      <w:r>
        <w:rPr>
          <w:rFonts w:hint="eastAsia" w:hAnsi="宋体" w:cstheme="minorEastAsia"/>
          <w:color w:val="000000" w:themeColor="text1"/>
          <w:sz w:val="21"/>
          <w:szCs w:val="21"/>
          <w14:textFill>
            <w14:solidFill>
              <w14:schemeClr w14:val="tx1"/>
            </w14:solidFill>
          </w14:textFill>
        </w:rPr>
        <w:t>仰拱依次分步联结成整体。</w:t>
      </w:r>
    </w:p>
    <w:p>
      <w:pPr>
        <w:pStyle w:val="21"/>
        <w:snapToGrid w:val="0"/>
        <w:spacing w:line="360" w:lineRule="auto"/>
        <w:jc w:val="both"/>
        <w:rPr>
          <w:rFonts w:ascii="Times New Roman" w:hAnsi="宋体" w:cstheme="minorEastAsia"/>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12.5.3 </w:t>
      </w:r>
      <w:r>
        <w:rPr>
          <w:rFonts w:hint="eastAsia" w:ascii="Times New Roman" w:hAnsi="宋体" w:cstheme="minorEastAsia"/>
          <w:color w:val="000000" w:themeColor="text1"/>
          <w:kern w:val="2"/>
          <w:sz w:val="21"/>
          <w:szCs w:val="21"/>
          <w14:textFill>
            <w14:solidFill>
              <w14:schemeClr w14:val="tx1"/>
            </w14:solidFill>
          </w14:textFill>
        </w:rPr>
        <w:t>交叉中隔壁（CRD）法的</w:t>
      </w:r>
      <w:r>
        <w:rPr>
          <w:rFonts w:hint="eastAsia" w:hAnsi="宋体" w:cstheme="minorEastAsia"/>
          <w:color w:val="000000" w:themeColor="text1"/>
          <w:sz w:val="21"/>
          <w:szCs w:val="21"/>
          <w14:textFill>
            <w14:solidFill>
              <w14:schemeClr w14:val="tx1"/>
            </w14:solidFill>
          </w14:textFill>
        </w:rPr>
        <w:t>导洞应按设计的分层、</w:t>
      </w:r>
      <w:r>
        <w:rPr>
          <w:rFonts w:hint="eastAsia" w:ascii="Times New Roman" w:hAnsi="宋体" w:cstheme="minorEastAsia"/>
          <w:color w:val="000000" w:themeColor="text1"/>
          <w:kern w:val="2"/>
          <w:sz w:val="21"/>
          <w:szCs w:val="21"/>
          <w14:textFill>
            <w14:solidFill>
              <w14:schemeClr w14:val="tx1"/>
            </w14:solidFill>
          </w14:textFill>
        </w:rPr>
        <w:t>交叉顺序</w:t>
      </w:r>
      <w:r>
        <w:rPr>
          <w:rFonts w:hint="eastAsia" w:hAnsi="宋体" w:cstheme="minorEastAsia"/>
          <w:color w:val="000000" w:themeColor="text1"/>
          <w:sz w:val="21"/>
          <w:szCs w:val="21"/>
          <w14:textFill>
            <w14:solidFill>
              <w14:schemeClr w14:val="tx1"/>
            </w14:solidFill>
          </w14:textFill>
        </w:rPr>
        <w:t>及时支护，各导洞拱脚应打设锁脚锚杆，设置临时仰拱，做到步步成环。</w:t>
      </w: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12.5.4 </w:t>
      </w:r>
      <w:r>
        <w:rPr>
          <w:rFonts w:hint="eastAsia" w:hAnsi="宋体" w:cstheme="minorEastAsia"/>
          <w:color w:val="000000" w:themeColor="text1"/>
          <w:sz w:val="21"/>
          <w:szCs w:val="21"/>
          <w14:textFill>
            <w14:solidFill>
              <w14:schemeClr w14:val="tx1"/>
            </w14:solidFill>
          </w14:textFill>
        </w:rPr>
        <w:t>双侧壁导坑法初期支护应先两侧导洞，后中间部位。侧壁导洞开挖后应及时进行初期支护，并尽早封闭成环；侧壁导洞完成后，剩余中间部位初期支护宜分上、下两步施工，上部开挖后，及时进行初期支护，安装格栅钢架、临时支撑，将侧壁导洞格栅钢架连成整体，连接质量应符合设计要求。</w:t>
      </w:r>
    </w:p>
    <w:p>
      <w:pPr>
        <w:pStyle w:val="22"/>
        <w:tabs>
          <w:tab w:val="left" w:pos="851"/>
        </w:tabs>
        <w:snapToGrid w:val="0"/>
        <w:spacing w:line="360" w:lineRule="auto"/>
        <w:ind w:firstLine="0" w:firstLineChars="0"/>
        <w:jc w:val="left"/>
        <w:rPr>
          <w:rFonts w:hAnsi="宋体" w:cstheme="minorEastAsia"/>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12.5.5 </w:t>
      </w:r>
      <w:r>
        <w:rPr>
          <w:rFonts w:hint="eastAsia" w:ascii="宋体" w:hAnsi="宋体" w:cstheme="minorEastAsia"/>
          <w:color w:val="000000" w:themeColor="text1"/>
          <w:kern w:val="0"/>
          <w:szCs w:val="21"/>
          <w14:textFill>
            <w14:solidFill>
              <w14:schemeClr w14:val="tx1"/>
            </w14:solidFill>
          </w14:textFill>
        </w:rPr>
        <w:t>双连拱隧道</w:t>
      </w:r>
      <w:r>
        <w:rPr>
          <w:rFonts w:hint="eastAsia" w:hAnsi="宋体" w:cstheme="minorEastAsia"/>
          <w:color w:val="000000" w:themeColor="text1"/>
          <w:kern w:val="0"/>
          <w:szCs w:val="21"/>
          <w14:textFill>
            <w14:solidFill>
              <w14:schemeClr w14:val="tx1"/>
            </w14:solidFill>
          </w14:textFill>
        </w:rPr>
        <w:t>宜</w:t>
      </w:r>
      <w:r>
        <w:rPr>
          <w:rFonts w:hint="eastAsia" w:ascii="宋体" w:hAnsi="宋体" w:cstheme="minorEastAsia"/>
          <w:color w:val="000000" w:themeColor="text1"/>
          <w:kern w:val="0"/>
          <w:szCs w:val="21"/>
          <w14:textFill>
            <w14:solidFill>
              <w14:schemeClr w14:val="tx1"/>
            </w14:solidFill>
          </w14:textFill>
        </w:rPr>
        <w:t>中洞先行</w:t>
      </w:r>
      <w:r>
        <w:rPr>
          <w:rFonts w:hint="eastAsia" w:hAnsi="宋体" w:cstheme="minorEastAsia"/>
          <w:color w:val="000000" w:themeColor="text1"/>
          <w:kern w:val="0"/>
          <w:szCs w:val="21"/>
          <w14:textFill>
            <w14:solidFill>
              <w14:schemeClr w14:val="tx1"/>
            </w14:solidFill>
          </w14:textFill>
        </w:rPr>
        <w:t>施工，中洞初期支护应分层施工，在洞内完成二衬</w:t>
      </w:r>
      <w:r>
        <w:rPr>
          <w:rFonts w:hint="eastAsia" w:ascii="宋体" w:hAnsi="宋体" w:cstheme="minorEastAsia"/>
          <w:color w:val="000000" w:themeColor="text1"/>
          <w:kern w:val="0"/>
          <w:szCs w:val="21"/>
          <w14:textFill>
            <w14:solidFill>
              <w14:schemeClr w14:val="tx1"/>
            </w14:solidFill>
          </w14:textFill>
        </w:rPr>
        <w:t>中墙混凝土</w:t>
      </w:r>
      <w:r>
        <w:rPr>
          <w:rFonts w:hint="eastAsia" w:hAnsi="宋体" w:cstheme="minorEastAsia"/>
          <w:color w:val="000000" w:themeColor="text1"/>
          <w:kern w:val="0"/>
          <w:szCs w:val="21"/>
          <w14:textFill>
            <w14:solidFill>
              <w14:schemeClr w14:val="tx1"/>
            </w14:solidFill>
          </w14:textFill>
        </w:rPr>
        <w:t>、恢复中隔板支撑</w:t>
      </w:r>
      <w:r>
        <w:rPr>
          <w:rFonts w:hint="eastAsia" w:ascii="宋体" w:hAnsi="宋体" w:cstheme="minorEastAsia"/>
          <w:color w:val="000000" w:themeColor="text1"/>
          <w:kern w:val="0"/>
          <w:szCs w:val="21"/>
          <w14:textFill>
            <w14:solidFill>
              <w14:schemeClr w14:val="tx1"/>
            </w14:solidFill>
          </w14:textFill>
        </w:rPr>
        <w:t>后</w:t>
      </w:r>
      <w:r>
        <w:rPr>
          <w:rFonts w:hint="eastAsia" w:hAnsi="宋体" w:cstheme="minorEastAsia"/>
          <w:color w:val="000000" w:themeColor="text1"/>
          <w:kern w:val="0"/>
          <w:szCs w:val="21"/>
          <w14:textFill>
            <w14:solidFill>
              <w14:schemeClr w14:val="tx1"/>
            </w14:solidFill>
          </w14:textFill>
        </w:rPr>
        <w:t>，方可进行</w:t>
      </w:r>
      <w:r>
        <w:rPr>
          <w:rFonts w:hint="eastAsia" w:ascii="宋体" w:hAnsi="宋体" w:cstheme="minorEastAsia"/>
          <w:color w:val="000000" w:themeColor="text1"/>
          <w:kern w:val="0"/>
          <w:szCs w:val="21"/>
          <w14:textFill>
            <w14:solidFill>
              <w14:schemeClr w14:val="tx1"/>
            </w14:solidFill>
          </w14:textFill>
        </w:rPr>
        <w:t>两侧</w:t>
      </w:r>
      <w:r>
        <w:rPr>
          <w:rFonts w:hint="eastAsia" w:hAnsi="宋体" w:cstheme="minorEastAsia"/>
          <w:color w:val="000000" w:themeColor="text1"/>
          <w:kern w:val="0"/>
          <w:szCs w:val="21"/>
          <w14:textFill>
            <w14:solidFill>
              <w14:schemeClr w14:val="tx1"/>
            </w14:solidFill>
          </w14:textFill>
        </w:rPr>
        <w:t>导洞初期支护施工</w:t>
      </w:r>
      <w:r>
        <w:rPr>
          <w:rFonts w:hint="eastAsia" w:ascii="宋体" w:hAnsi="宋体" w:cstheme="minorEastAsia"/>
          <w:color w:val="000000" w:themeColor="text1"/>
          <w:kern w:val="0"/>
          <w:szCs w:val="21"/>
          <w14:textFill>
            <w14:solidFill>
              <w14:schemeClr w14:val="tx1"/>
            </w14:solidFill>
          </w14:textFill>
        </w:rPr>
        <w:t>。</w:t>
      </w:r>
      <w:r>
        <w:rPr>
          <w:rFonts w:hint="eastAsia" w:hAnsi="宋体" w:cstheme="minorEastAsia"/>
          <w:color w:val="000000" w:themeColor="text1"/>
          <w:szCs w:val="21"/>
          <w14:textFill>
            <w14:solidFill>
              <w14:schemeClr w14:val="tx1"/>
            </w14:solidFill>
          </w14:textFill>
        </w:rPr>
        <w:t>中墙结构浇筑应密实，顶部应注浆填充，填充密实后方可进行两侧相邻洞室开挖支护。</w:t>
      </w: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12.5.6 </w:t>
      </w:r>
      <w:r>
        <w:rPr>
          <w:rFonts w:hint="eastAsia" w:hAnsi="宋体" w:cstheme="minorEastAsia"/>
          <w:color w:val="000000" w:themeColor="text1"/>
          <w:sz w:val="21"/>
          <w:szCs w:val="21"/>
          <w14:textFill>
            <w14:solidFill>
              <w14:schemeClr w14:val="tx1"/>
            </w14:solidFill>
          </w14:textFill>
        </w:rPr>
        <w:t>格栅钢架安装的位置应准确，导洞间格栅钢架连接符合本规程第</w:t>
      </w:r>
      <w:r>
        <w:rPr>
          <w:rFonts w:hint="eastAsia" w:ascii="Times New Roman" w:hAnsi="宋体" w:cs="Times New Roman"/>
          <w:b/>
          <w:bCs/>
          <w:color w:val="000000" w:themeColor="text1"/>
          <w:kern w:val="2"/>
          <w:sz w:val="21"/>
          <w:szCs w:val="21"/>
          <w14:textFill>
            <w14:solidFill>
              <w14:schemeClr w14:val="tx1"/>
            </w14:solidFill>
          </w14:textFill>
        </w:rPr>
        <w:t>11.2.3条</w:t>
      </w:r>
      <w:r>
        <w:rPr>
          <w:rFonts w:hint="eastAsia" w:hAnsi="宋体" w:cstheme="minorEastAsia"/>
          <w:color w:val="000000" w:themeColor="text1"/>
          <w:sz w:val="21"/>
          <w:szCs w:val="21"/>
          <w14:textFill>
            <w14:solidFill>
              <w14:schemeClr w14:val="tx1"/>
            </w14:solidFill>
          </w14:textFill>
        </w:rPr>
        <w:t>的规定。</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320" w:name="_Toc20611"/>
      <w:bookmarkStart w:id="321" w:name="_Toc3341"/>
      <w:bookmarkStart w:id="322" w:name="_Toc16141"/>
      <w:bookmarkStart w:id="323" w:name="_Toc30797"/>
      <w:bookmarkStart w:id="324" w:name="_Toc30488"/>
      <w:bookmarkStart w:id="325" w:name="_Toc4119"/>
      <w:r>
        <w:rPr>
          <w:rFonts w:hint="eastAsia" w:hAnsi="宋体"/>
          <w:b/>
          <w:color w:val="000000" w:themeColor="text1"/>
          <w:sz w:val="24"/>
          <w14:textFill>
            <w14:solidFill>
              <w14:schemeClr w14:val="tx1"/>
            </w14:solidFill>
          </w14:textFill>
        </w:rPr>
        <w:t>12.6  暗挖车站初期支护</w:t>
      </w:r>
      <w:bookmarkEnd w:id="320"/>
      <w:bookmarkEnd w:id="321"/>
      <w:bookmarkEnd w:id="322"/>
      <w:bookmarkEnd w:id="323"/>
      <w:bookmarkEnd w:id="324"/>
      <w:bookmarkEnd w:id="325"/>
    </w:p>
    <w:p>
      <w:pPr>
        <w:pStyle w:val="22"/>
        <w:tabs>
          <w:tab w:val="left" w:pos="851"/>
          <w:tab w:val="left" w:pos="5835"/>
        </w:tabs>
        <w:snapToGrid w:val="0"/>
        <w:spacing w:line="360" w:lineRule="auto"/>
        <w:ind w:firstLine="0" w:firstLineChars="0"/>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12.6.1 </w:t>
      </w:r>
      <w:r>
        <w:rPr>
          <w:rFonts w:hint="eastAsia"/>
          <w:color w:val="000000" w:themeColor="text1"/>
          <w14:textFill>
            <w14:solidFill>
              <w14:schemeClr w14:val="tx1"/>
            </w14:solidFill>
          </w14:textFill>
        </w:rPr>
        <w:t>中洞法初期支护施工应符合下列规定：</w:t>
      </w:r>
    </w:p>
    <w:p>
      <w:pPr>
        <w:pStyle w:val="22"/>
        <w:tabs>
          <w:tab w:val="left" w:pos="851"/>
          <w:tab w:val="left" w:pos="5835"/>
        </w:tabs>
        <w:snapToGrid w:val="0"/>
        <w:spacing w:line="360" w:lineRule="auto"/>
        <w:ind w:firstLine="422"/>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1</w:t>
      </w:r>
      <w:r>
        <w:rPr>
          <w:rFonts w:hint="eastAsia"/>
          <w:color w:val="000000" w:themeColor="text1"/>
          <w14:textFill>
            <w14:solidFill>
              <w14:schemeClr w14:val="tx1"/>
            </w14:solidFill>
          </w14:textFill>
        </w:rPr>
        <w:t xml:space="preserve"> 中洞初期支护应先进行施工，宜采用中隔壁（CD）法、交叉中隔壁（CRD）法施工；</w:t>
      </w:r>
    </w:p>
    <w:p>
      <w:pPr>
        <w:pStyle w:val="22"/>
        <w:tabs>
          <w:tab w:val="left" w:pos="851"/>
          <w:tab w:val="left" w:pos="5835"/>
        </w:tabs>
        <w:snapToGrid w:val="0"/>
        <w:spacing w:line="360" w:lineRule="auto"/>
        <w:ind w:firstLine="422"/>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2 </w:t>
      </w:r>
      <w:r>
        <w:rPr>
          <w:rFonts w:hint="eastAsia"/>
          <w:color w:val="000000" w:themeColor="text1"/>
          <w14:textFill>
            <w14:solidFill>
              <w14:schemeClr w14:val="tx1"/>
            </w14:solidFill>
          </w14:textFill>
        </w:rPr>
        <w:t>中洞初期支护完成后，应及时施工洞内梁柱结构，恢复中洞中隔板支撑体系；</w:t>
      </w:r>
    </w:p>
    <w:p>
      <w:pPr>
        <w:pStyle w:val="22"/>
        <w:tabs>
          <w:tab w:val="left" w:pos="851"/>
          <w:tab w:val="left" w:pos="5835"/>
        </w:tabs>
        <w:snapToGrid w:val="0"/>
        <w:spacing w:line="360" w:lineRule="auto"/>
        <w:ind w:firstLine="422"/>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3 </w:t>
      </w:r>
      <w:r>
        <w:rPr>
          <w:rFonts w:hint="eastAsia"/>
          <w:color w:val="000000" w:themeColor="text1"/>
          <w14:textFill>
            <w14:solidFill>
              <w14:schemeClr w14:val="tx1"/>
            </w14:solidFill>
          </w14:textFill>
        </w:rPr>
        <w:t>侧洞初期支护和中隔板应对称施工，并应与中洞初期支护、梁柱结构连接牢固；</w:t>
      </w:r>
    </w:p>
    <w:p>
      <w:pPr>
        <w:pStyle w:val="22"/>
        <w:tabs>
          <w:tab w:val="left" w:pos="851"/>
          <w:tab w:val="left" w:pos="5835"/>
        </w:tabs>
        <w:snapToGrid w:val="0"/>
        <w:spacing w:line="360" w:lineRule="auto"/>
        <w:ind w:firstLine="422"/>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4 </w:t>
      </w:r>
      <w:r>
        <w:rPr>
          <w:rFonts w:hint="eastAsia"/>
          <w:color w:val="000000" w:themeColor="text1"/>
          <w14:textFill>
            <w14:solidFill>
              <w14:schemeClr w14:val="tx1"/>
            </w14:solidFill>
          </w14:textFill>
        </w:rPr>
        <w:t>导洞初期支护应配合土方开挖及时封闭成环。</w:t>
      </w:r>
    </w:p>
    <w:p>
      <w:pPr>
        <w:pStyle w:val="22"/>
        <w:tabs>
          <w:tab w:val="left" w:pos="851"/>
          <w:tab w:val="left" w:pos="5835"/>
        </w:tabs>
        <w:snapToGrid w:val="0"/>
        <w:spacing w:line="360" w:lineRule="auto"/>
        <w:ind w:firstLine="0" w:firstLineChars="0"/>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12.6.2 </w:t>
      </w:r>
      <w:r>
        <w:rPr>
          <w:rFonts w:hint="eastAsia"/>
          <w:color w:val="000000" w:themeColor="text1"/>
          <w14:textFill>
            <w14:solidFill>
              <w14:schemeClr w14:val="tx1"/>
            </w14:solidFill>
          </w14:textFill>
        </w:rPr>
        <w:t>侧洞法初期支护施工应符合下列规定：</w:t>
      </w:r>
    </w:p>
    <w:p>
      <w:pPr>
        <w:pStyle w:val="22"/>
        <w:tabs>
          <w:tab w:val="left" w:pos="851"/>
          <w:tab w:val="left" w:pos="5835"/>
        </w:tabs>
        <w:snapToGrid w:val="0"/>
        <w:spacing w:line="360" w:lineRule="auto"/>
        <w:ind w:firstLine="422"/>
        <w:jc w:val="left"/>
        <w:rPr>
          <w:rFonts w:hAnsi="宋体" w:cstheme="minorEastAsia"/>
          <w:color w:val="000000" w:themeColor="text1"/>
          <w:szCs w:val="21"/>
          <w14:textFill>
            <w14:solidFill>
              <w14:schemeClr w14:val="tx1"/>
            </w14:solidFill>
          </w14:textFill>
        </w:rPr>
      </w:pPr>
      <w:r>
        <w:rPr>
          <w:rFonts w:hint="eastAsia"/>
          <w:b/>
          <w:bCs/>
          <w:color w:val="000000" w:themeColor="text1"/>
          <w14:textFill>
            <w14:solidFill>
              <w14:schemeClr w14:val="tx1"/>
            </w14:solidFill>
          </w14:textFill>
        </w:rPr>
        <w:t xml:space="preserve">1 </w:t>
      </w:r>
      <w:r>
        <w:rPr>
          <w:rFonts w:hint="eastAsia" w:hAnsi="宋体" w:cstheme="minorEastAsia"/>
          <w:color w:val="000000" w:themeColor="text1"/>
          <w:szCs w:val="21"/>
          <w14:textFill>
            <w14:solidFill>
              <w14:schemeClr w14:val="tx1"/>
            </w14:solidFill>
          </w14:textFill>
        </w:rPr>
        <w:t>侧洞、中洞初期支护宜分上、中、下3层导洞逐步形成，侧洞与中洞间格栅钢架位置应对应准确，应采取措施保证导洞间格栅钢架的连接满足设计要求；</w:t>
      </w:r>
    </w:p>
    <w:p>
      <w:pPr>
        <w:pStyle w:val="22"/>
        <w:tabs>
          <w:tab w:val="left" w:pos="851"/>
          <w:tab w:val="left" w:pos="5835"/>
        </w:tabs>
        <w:snapToGrid w:val="0"/>
        <w:spacing w:line="360" w:lineRule="auto"/>
        <w:ind w:firstLine="422"/>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2 </w:t>
      </w:r>
      <w:r>
        <w:rPr>
          <w:rFonts w:hint="eastAsia"/>
          <w:color w:val="000000" w:themeColor="text1"/>
          <w14:textFill>
            <w14:solidFill>
              <w14:schemeClr w14:val="tx1"/>
            </w14:solidFill>
          </w14:textFill>
        </w:rPr>
        <w:t>侧洞初期支护完成后经验收合格后应及时进行二次衬砌和梁、柱结构施工；</w:t>
      </w:r>
    </w:p>
    <w:p>
      <w:pPr>
        <w:pStyle w:val="22"/>
        <w:tabs>
          <w:tab w:val="left" w:pos="851"/>
          <w:tab w:val="left" w:pos="5835"/>
        </w:tabs>
        <w:snapToGrid w:val="0"/>
        <w:spacing w:line="360" w:lineRule="auto"/>
        <w:ind w:firstLine="422"/>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3 </w:t>
      </w:r>
      <w:r>
        <w:rPr>
          <w:rFonts w:hint="eastAsia"/>
          <w:color w:val="000000" w:themeColor="text1"/>
          <w14:textFill>
            <w14:solidFill>
              <w14:schemeClr w14:val="tx1"/>
            </w14:solidFill>
          </w14:textFill>
        </w:rPr>
        <w:t>中洞应在侧洞二次衬砌施工完成、抗压强度达到设计要求后方可施工，上台阶开挖后，应及时进行初期支护施工，安装临时钢支撑，确保结构稳定。</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b/>
          <w:bCs/>
          <w:color w:val="000000" w:themeColor="text1"/>
          <w14:textFill>
            <w14:solidFill>
              <w14:schemeClr w14:val="tx1"/>
            </w14:solidFill>
          </w14:textFill>
        </w:rPr>
        <w:t xml:space="preserve">12.6.3 </w:t>
      </w:r>
      <w:r>
        <w:rPr>
          <w:rFonts w:hint="eastAsia" w:hAnsi="宋体"/>
          <w:color w:val="000000" w:themeColor="text1"/>
          <w:szCs w:val="21"/>
          <w14:textFill>
            <w14:solidFill>
              <w14:schemeClr w14:val="tx1"/>
            </w14:solidFill>
          </w14:textFill>
        </w:rPr>
        <w:t>柱洞法初期支护施工应符合下列规定：</w:t>
      </w:r>
    </w:p>
    <w:p>
      <w:pPr>
        <w:pStyle w:val="22"/>
        <w:tabs>
          <w:tab w:val="left" w:pos="851"/>
          <w:tab w:val="left" w:pos="5835"/>
        </w:tabs>
        <w:snapToGrid w:val="0"/>
        <w:spacing w:line="360" w:lineRule="auto"/>
        <w:ind w:firstLine="422"/>
        <w:jc w:val="left"/>
        <w:rPr>
          <w:rFonts w:hAnsi="宋体" w:cstheme="minorEastAsia"/>
          <w:color w:val="000000" w:themeColor="text1"/>
          <w:szCs w:val="21"/>
          <w14:textFill>
            <w14:solidFill>
              <w14:schemeClr w14:val="tx1"/>
            </w14:solidFill>
          </w14:textFill>
        </w:rPr>
      </w:pPr>
      <w:r>
        <w:rPr>
          <w:rFonts w:hint="eastAsia"/>
          <w:b/>
          <w:bCs/>
          <w:color w:val="000000" w:themeColor="text1"/>
          <w14:textFill>
            <w14:solidFill>
              <w14:schemeClr w14:val="tx1"/>
            </w14:solidFill>
          </w14:textFill>
        </w:rPr>
        <w:t xml:space="preserve">1 </w:t>
      </w:r>
      <w:r>
        <w:rPr>
          <w:rFonts w:hint="eastAsia" w:hAnsi="宋体" w:cstheme="minorEastAsia"/>
          <w:color w:val="000000" w:themeColor="text1"/>
          <w:szCs w:val="21"/>
          <w14:textFill>
            <w14:solidFill>
              <w14:schemeClr w14:val="tx1"/>
            </w14:solidFill>
          </w14:textFill>
        </w:rPr>
        <w:t>侧洞、柱洞和中洞初期支护宜分上、中、下3层导洞逐步形成，侧洞、柱洞与中洞位置应准确、相互对应，应采取措施保证导洞格栅钢架横向连接应牢固，满足设计要求；</w:t>
      </w:r>
    </w:p>
    <w:p>
      <w:pPr>
        <w:pStyle w:val="21"/>
        <w:snapToGrid w:val="0"/>
        <w:spacing w:line="360" w:lineRule="auto"/>
        <w:ind w:firstLine="361" w:firstLineChars="171"/>
        <w:jc w:val="both"/>
        <w:rPr>
          <w:rFonts w:ascii="Times New Roman" w:cs="Times New Roman"/>
          <w:b/>
          <w:bCs/>
          <w:color w:val="000000" w:themeColor="text1"/>
          <w:kern w:val="2"/>
          <w:sz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2</w:t>
      </w:r>
      <w:r>
        <w:rPr>
          <w:rFonts w:hint="eastAsia" w:cs="Times New Roman"/>
          <w:b/>
          <w:bCs/>
          <w:color w:val="000000" w:themeColor="text1"/>
          <w:kern w:val="2"/>
          <w:sz w:val="21"/>
          <w14:textFill>
            <w14:solidFill>
              <w14:schemeClr w14:val="tx1"/>
            </w14:solidFill>
          </w14:textFill>
        </w:rPr>
        <w:t xml:space="preserve"> </w:t>
      </w:r>
      <w:r>
        <w:rPr>
          <w:rFonts w:hint="eastAsia" w:hAnsi="宋体" w:cstheme="minorEastAsia"/>
          <w:color w:val="000000" w:themeColor="text1"/>
          <w:sz w:val="21"/>
          <w:szCs w:val="21"/>
          <w14:textFill>
            <w14:solidFill>
              <w14:schemeClr w14:val="tx1"/>
            </w14:solidFill>
          </w14:textFill>
        </w:rPr>
        <w:t>侧洞、柱洞和中洞初期支护和二衬结构应配合开挖及时施作，封闭成环，形成支撑体系；</w:t>
      </w:r>
    </w:p>
    <w:p>
      <w:pPr>
        <w:pStyle w:val="22"/>
        <w:tabs>
          <w:tab w:val="left" w:pos="851"/>
          <w:tab w:val="left" w:pos="5835"/>
        </w:tabs>
        <w:snapToGrid w:val="0"/>
        <w:spacing w:line="360" w:lineRule="auto"/>
        <w:ind w:firstLine="422"/>
        <w:jc w:val="left"/>
        <w:rPr>
          <w:rFonts w:hAnsi="宋体" w:cstheme="minorEastAsia"/>
          <w:color w:val="000000" w:themeColor="text1"/>
          <w:szCs w:val="21"/>
          <w14:textFill>
            <w14:solidFill>
              <w14:schemeClr w14:val="tx1"/>
            </w14:solidFill>
          </w14:textFill>
        </w:rPr>
      </w:pPr>
      <w:r>
        <w:rPr>
          <w:rFonts w:hint="eastAsia"/>
          <w:b/>
          <w:bCs/>
          <w:color w:val="000000" w:themeColor="text1"/>
          <w14:textFill>
            <w14:solidFill>
              <w14:schemeClr w14:val="tx1"/>
            </w14:solidFill>
          </w14:textFill>
        </w:rPr>
        <w:t xml:space="preserve">3 </w:t>
      </w:r>
      <w:r>
        <w:rPr>
          <w:rFonts w:hint="eastAsia" w:hAnsi="宋体" w:cstheme="minorEastAsia"/>
          <w:color w:val="000000" w:themeColor="text1"/>
          <w:szCs w:val="21"/>
          <w14:textFill>
            <w14:solidFill>
              <w14:schemeClr w14:val="tx1"/>
            </w14:solidFill>
          </w14:textFill>
        </w:rPr>
        <w:t>导洞断面尺寸应满足中柱、边桩和纵横梁施工的空间要求。设置底梁时，上、下导洞的中心线应在同一垂直面；</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 xml:space="preserve">4 </w:t>
      </w:r>
      <w:r>
        <w:rPr>
          <w:rFonts w:hint="eastAsia" w:hAnsi="宋体" w:cstheme="minorEastAsia"/>
          <w:color w:val="000000" w:themeColor="text1"/>
          <w:sz w:val="21"/>
          <w:szCs w:val="21"/>
          <w14:textFill>
            <w14:solidFill>
              <w14:schemeClr w14:val="tx1"/>
            </w14:solidFill>
          </w14:textFill>
        </w:rPr>
        <w:t>柱洞初期支护完成后，应及时施作柱洞二次衬砌和车站钢筋混凝土梁、柱结构，形成后期开挖的支撑体系；</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 xml:space="preserve">5 </w:t>
      </w:r>
      <w:r>
        <w:rPr>
          <w:rFonts w:hint="eastAsia" w:hAnsi="宋体" w:cstheme="minorEastAsia"/>
          <w:color w:val="000000" w:themeColor="text1"/>
          <w:sz w:val="21"/>
          <w:szCs w:val="21"/>
          <w14:textFill>
            <w14:solidFill>
              <w14:schemeClr w14:val="tx1"/>
            </w14:solidFill>
          </w14:textFill>
        </w:rPr>
        <w:t>中洞初期支护应在柱洞二次衬砌和梁、柱支撑体系完成后进行，中洞二次衬砌应与柱洞梁、柱结构连接形成车站后续开挖的支撑体系；</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 xml:space="preserve">6 </w:t>
      </w:r>
      <w:r>
        <w:rPr>
          <w:rFonts w:hint="eastAsia" w:hAnsi="宋体" w:cstheme="minorEastAsia"/>
          <w:color w:val="000000" w:themeColor="text1"/>
          <w:sz w:val="21"/>
          <w:szCs w:val="21"/>
          <w14:textFill>
            <w14:solidFill>
              <w14:schemeClr w14:val="tx1"/>
            </w14:solidFill>
          </w14:textFill>
        </w:rPr>
        <w:t>侧洞初期支护应在中洞、柱洞二衬结构完成后自上而下、分层、对称进行。</w:t>
      </w:r>
    </w:p>
    <w:p>
      <w:pPr>
        <w:pStyle w:val="22"/>
        <w:numPr>
          <w:ilvl w:val="255"/>
          <w:numId w:val="0"/>
        </w:num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int="eastAsia"/>
          <w:b/>
          <w:bCs/>
          <w:color w:val="000000" w:themeColor="text1"/>
          <w14:textFill>
            <w14:solidFill>
              <w14:schemeClr w14:val="tx1"/>
            </w14:solidFill>
          </w14:textFill>
        </w:rPr>
        <w:t xml:space="preserve">12.6.4 </w:t>
      </w:r>
      <w:r>
        <w:rPr>
          <w:rFonts w:hint="eastAsia" w:hAnsi="宋体"/>
          <w:color w:val="000000" w:themeColor="text1"/>
          <w:szCs w:val="21"/>
          <w14:textFill>
            <w14:solidFill>
              <w14:schemeClr w14:val="tx1"/>
            </w14:solidFill>
          </w14:textFill>
        </w:rPr>
        <w:t>洞桩法（</w:t>
      </w:r>
      <w:r>
        <w:rPr>
          <w:rFonts w:hint="eastAsia"/>
          <w:color w:val="000000" w:themeColor="text1"/>
          <w14:textFill>
            <w14:solidFill>
              <w14:schemeClr w14:val="tx1"/>
            </w14:solidFill>
          </w14:textFill>
        </w:rPr>
        <w:t>PBA法）</w:t>
      </w:r>
      <w:r>
        <w:rPr>
          <w:rFonts w:hint="eastAsia" w:hAnsi="宋体"/>
          <w:color w:val="000000" w:themeColor="text1"/>
          <w:szCs w:val="21"/>
          <w14:textFill>
            <w14:solidFill>
              <w14:schemeClr w14:val="tx1"/>
            </w14:solidFill>
          </w14:textFill>
        </w:rPr>
        <w:t>初期支护和支撑体系施工应符合下列规定：</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 xml:space="preserve">1 </w:t>
      </w:r>
      <w:r>
        <w:rPr>
          <w:rFonts w:hint="eastAsia" w:hAnsi="宋体" w:cstheme="minorEastAsia"/>
          <w:color w:val="000000" w:themeColor="text1"/>
          <w:sz w:val="21"/>
          <w:szCs w:val="21"/>
          <w14:textFill>
            <w14:solidFill>
              <w14:schemeClr w14:val="tx1"/>
            </w14:solidFill>
          </w14:textFill>
        </w:rPr>
        <w:t>导洞贯通后，应在下部导洞内施工底纵梁或条形基础，并按设计文件要求施工横向支撑梁；在上部导洞内施工边孔桩及桩顶冠梁、中桩(柱)、边拱初支，形成桩、柱、梁框架受力体系；</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 xml:space="preserve">2 </w:t>
      </w:r>
      <w:r>
        <w:rPr>
          <w:rFonts w:hint="eastAsia" w:hAnsi="宋体" w:cstheme="minorEastAsia"/>
          <w:color w:val="000000" w:themeColor="text1"/>
          <w:sz w:val="21"/>
          <w:szCs w:val="21"/>
          <w14:textFill>
            <w14:solidFill>
              <w14:schemeClr w14:val="tx1"/>
            </w14:solidFill>
          </w14:textFill>
        </w:rPr>
        <w:t>主拱应配合开挖分段施作初期支护和二次衬砌，将初期支护和二次衬砌连成一体，形成全断面二次衬砌扣拱。主拱施工时应按设计要求在初期支护与二次衬砌形成过程进行体系转换和平衡，防止结构变形、失稳和破坏，避免出现地面及拱部的过量沉降和坍塌；</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3</w:t>
      </w:r>
      <w:r>
        <w:rPr>
          <w:rFonts w:hint="eastAsia" w:hAnsi="宋体" w:cstheme="minorEastAsia"/>
          <w:color w:val="000000" w:themeColor="text1"/>
          <w:sz w:val="21"/>
          <w:szCs w:val="21"/>
          <w14:textFill>
            <w14:solidFill>
              <w14:schemeClr w14:val="tx1"/>
            </w14:solidFill>
          </w14:textFill>
        </w:rPr>
        <w:t xml:space="preserve"> 在初期支护和二次衬砌扣拱，应左右对称施工；</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 xml:space="preserve">4 </w:t>
      </w:r>
      <w:r>
        <w:rPr>
          <w:rFonts w:hint="eastAsia" w:hAnsi="宋体" w:cstheme="minorEastAsia"/>
          <w:color w:val="000000" w:themeColor="text1"/>
          <w:sz w:val="21"/>
          <w:szCs w:val="21"/>
          <w14:textFill>
            <w14:solidFill>
              <w14:schemeClr w14:val="tx1"/>
            </w14:solidFill>
          </w14:textFill>
        </w:rPr>
        <w:t>拆除上部小导洞初期支护时，初期支护、二衬结构应按设计要求进行连接；</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 xml:space="preserve">5 </w:t>
      </w:r>
      <w:r>
        <w:rPr>
          <w:rFonts w:hint="eastAsia" w:hAnsi="宋体" w:cstheme="minorEastAsia"/>
          <w:color w:val="000000" w:themeColor="text1"/>
          <w:sz w:val="21"/>
          <w:szCs w:val="21"/>
          <w14:textFill>
            <w14:solidFill>
              <w14:schemeClr w14:val="tx1"/>
            </w14:solidFill>
          </w14:textFill>
        </w:rPr>
        <w:t>孔桩施工时导洞空间狭小、成孔困难，应采取有效措施确保成孔质量；</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 xml:space="preserve">6 </w:t>
      </w:r>
      <w:r>
        <w:rPr>
          <w:rFonts w:hint="eastAsia" w:hAnsi="宋体" w:cstheme="minorEastAsia"/>
          <w:color w:val="000000" w:themeColor="text1"/>
          <w:sz w:val="21"/>
          <w:szCs w:val="21"/>
          <w14:textFill>
            <w14:solidFill>
              <w14:schemeClr w14:val="tx1"/>
            </w14:solidFill>
          </w14:textFill>
        </w:rPr>
        <w:t>边桩定位应准确，垂直度应满足设计要求，桩体不得侵占主体结构净空。</w:t>
      </w:r>
    </w:p>
    <w:p>
      <w:pPr>
        <w:pStyle w:val="21"/>
        <w:snapToGrid w:val="0"/>
        <w:spacing w:line="360" w:lineRule="auto"/>
        <w:ind w:firstLine="361" w:firstLineChars="171"/>
        <w:jc w:val="both"/>
        <w:rPr>
          <w:rFonts w:ascii="Times New Roman" w:cs="Times New Roman"/>
          <w:color w:val="000000" w:themeColor="text1"/>
          <w:kern w:val="2"/>
          <w:sz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7</w:t>
      </w:r>
      <w:r>
        <w:rPr>
          <w:rFonts w:hAnsi="宋体" w:cstheme="minorEastAsia"/>
          <w:color w:val="000000" w:themeColor="text1"/>
          <w:sz w:val="21"/>
          <w:szCs w:val="21"/>
          <w14:textFill>
            <w14:solidFill>
              <w14:schemeClr w14:val="tx1"/>
            </w14:solidFill>
          </w14:textFill>
        </w:rPr>
        <w:t xml:space="preserve"> </w:t>
      </w:r>
      <w:r>
        <w:rPr>
          <w:rFonts w:hint="eastAsia" w:ascii="Times New Roman" w:cs="Times New Roman"/>
          <w:color w:val="000000" w:themeColor="text1"/>
          <w:kern w:val="2"/>
          <w:sz w:val="21"/>
          <w14:textFill>
            <w14:solidFill>
              <w14:schemeClr w14:val="tx1"/>
            </w14:solidFill>
          </w14:textFill>
        </w:rPr>
        <w:t>车站主体结构应在二衬扣拱保护下分段开挖、分段施工。</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b/>
          <w:bCs/>
          <w:color w:val="000000" w:themeColor="text1"/>
          <w14:textFill>
            <w14:solidFill>
              <w14:schemeClr w14:val="tx1"/>
            </w14:solidFill>
          </w14:textFill>
        </w:rPr>
        <w:t xml:space="preserve">12.6.5 </w:t>
      </w:r>
      <w:r>
        <w:rPr>
          <w:rFonts w:hint="eastAsia" w:hAnsi="宋体"/>
          <w:color w:val="000000" w:themeColor="text1"/>
          <w:szCs w:val="21"/>
          <w14:textFill>
            <w14:solidFill>
              <w14:schemeClr w14:val="tx1"/>
            </w14:solidFill>
          </w14:textFill>
        </w:rPr>
        <w:t>暗挖车站钢筋混凝土桩宜采用钻孔灌注桩，宜采用洞内机械成孔，施工应符合现行国家标准《建筑桩基施工技术规范》JGJ94的有关规定，并应符合下列规定：</w:t>
      </w:r>
    </w:p>
    <w:p>
      <w:pPr>
        <w:pStyle w:val="22"/>
        <w:tabs>
          <w:tab w:val="left" w:pos="851"/>
        </w:tabs>
        <w:snapToGrid w:val="0"/>
        <w:spacing w:line="360" w:lineRule="auto"/>
        <w:ind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w:t>
      </w:r>
      <w:r>
        <w:rPr>
          <w:rFonts w:hint="eastAsia" w:hAnsi="宋体"/>
          <w:color w:val="000000" w:themeColor="text1"/>
          <w:szCs w:val="21"/>
          <w14:textFill>
            <w14:solidFill>
              <w14:schemeClr w14:val="tx1"/>
            </w14:solidFill>
          </w14:textFill>
        </w:rPr>
        <w:t xml:space="preserve"> 测量放样应采用全站仪逐桩放样定位，围护结构首桩、角桩应经复测无误后方可施工；</w:t>
      </w:r>
    </w:p>
    <w:p>
      <w:pPr>
        <w:pStyle w:val="22"/>
        <w:tabs>
          <w:tab w:val="left" w:pos="851"/>
        </w:tabs>
        <w:snapToGrid w:val="0"/>
        <w:spacing w:line="360" w:lineRule="auto"/>
        <w:ind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hAnsi="宋体"/>
          <w:color w:val="000000" w:themeColor="text1"/>
          <w:szCs w:val="21"/>
          <w14:textFill>
            <w14:solidFill>
              <w14:schemeClr w14:val="tx1"/>
            </w14:solidFill>
          </w14:textFill>
        </w:rPr>
        <w:t xml:space="preserve"> 钻机的尺寸应根据导洞的空间大小和地质条件进行定制和改造，以适应作业需要；</w:t>
      </w:r>
    </w:p>
    <w:p>
      <w:pPr>
        <w:pStyle w:val="22"/>
        <w:tabs>
          <w:tab w:val="left" w:pos="851"/>
        </w:tabs>
        <w:snapToGrid w:val="0"/>
        <w:spacing w:line="360" w:lineRule="auto"/>
        <w:ind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hAnsi="宋体"/>
          <w:color w:val="000000" w:themeColor="text1"/>
          <w:szCs w:val="21"/>
          <w14:textFill>
            <w14:solidFill>
              <w14:schemeClr w14:val="tx1"/>
            </w14:solidFill>
          </w14:textFill>
        </w:rPr>
        <w:t xml:space="preserve"> 边桩外放距离宜按桩长的3%考虑；</w:t>
      </w:r>
    </w:p>
    <w:p>
      <w:pPr>
        <w:pStyle w:val="22"/>
        <w:tabs>
          <w:tab w:val="left" w:pos="851"/>
        </w:tabs>
        <w:snapToGrid w:val="0"/>
        <w:spacing w:line="360" w:lineRule="auto"/>
        <w:ind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hAnsi="宋体"/>
          <w:color w:val="000000" w:themeColor="text1"/>
          <w:szCs w:val="21"/>
          <w14:textFill>
            <w14:solidFill>
              <w14:schemeClr w14:val="tx1"/>
            </w14:solidFill>
          </w14:textFill>
        </w:rPr>
        <w:t>钻孔灌注桩应由内向外、按隔3钻1的顺序跳孔施工、循环进行；</w:t>
      </w:r>
    </w:p>
    <w:p>
      <w:pPr>
        <w:pStyle w:val="22"/>
        <w:tabs>
          <w:tab w:val="left" w:pos="851"/>
        </w:tabs>
        <w:snapToGrid w:val="0"/>
        <w:spacing w:line="360" w:lineRule="auto"/>
        <w:ind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5 </w:t>
      </w:r>
      <w:r>
        <w:rPr>
          <w:rFonts w:hint="eastAsia" w:hAnsi="宋体"/>
          <w:color w:val="000000" w:themeColor="text1"/>
          <w:szCs w:val="21"/>
          <w14:textFill>
            <w14:solidFill>
              <w14:schemeClr w14:val="tx1"/>
            </w14:solidFill>
          </w14:textFill>
        </w:rPr>
        <w:t>钢筋笼应分节吊装，宜用丝扣套筒现场连接，套筒连接应符合现行行业标准《钢筋机械连接技术规程》JGJ107的有关规定；</w:t>
      </w:r>
    </w:p>
    <w:p>
      <w:pPr>
        <w:pStyle w:val="22"/>
        <w:tabs>
          <w:tab w:val="left" w:pos="851"/>
        </w:tabs>
        <w:snapToGrid w:val="0"/>
        <w:spacing w:line="360" w:lineRule="auto"/>
        <w:ind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6 </w:t>
      </w:r>
      <w:r>
        <w:rPr>
          <w:rFonts w:hint="eastAsia" w:hAnsi="宋体"/>
          <w:color w:val="000000" w:themeColor="text1"/>
          <w:szCs w:val="21"/>
          <w14:textFill>
            <w14:solidFill>
              <w14:schemeClr w14:val="tx1"/>
            </w14:solidFill>
          </w14:textFill>
        </w:rPr>
        <w:t>护壁泥浆应根据地层条件合理配置，孔内清渣宜采用泵吸清孔、压举翻起沉渣的方法，以保证沉渣符合设计要求；</w:t>
      </w:r>
    </w:p>
    <w:p>
      <w:pPr>
        <w:pStyle w:val="22"/>
        <w:tabs>
          <w:tab w:val="left" w:pos="851"/>
        </w:tabs>
        <w:snapToGrid w:val="0"/>
        <w:spacing w:line="360" w:lineRule="auto"/>
        <w:ind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 </w:t>
      </w:r>
      <w:r>
        <w:rPr>
          <w:rFonts w:hint="eastAsia" w:hAnsi="宋体"/>
          <w:color w:val="000000" w:themeColor="text1"/>
          <w:szCs w:val="21"/>
          <w14:textFill>
            <w14:solidFill>
              <w14:schemeClr w14:val="tx1"/>
            </w14:solidFill>
          </w14:textFill>
        </w:rPr>
        <w:t>导洞内宜按照钻机设备、泥浆池、管路和运输通道分区域、的、分段合理布置，钻机作业区与运输道路应分开，场内积水、浮浆和剩余混凝土应及时清除；</w:t>
      </w:r>
    </w:p>
    <w:p>
      <w:pPr>
        <w:pStyle w:val="22"/>
        <w:tabs>
          <w:tab w:val="left" w:pos="851"/>
        </w:tabs>
        <w:snapToGrid w:val="0"/>
        <w:spacing w:line="360" w:lineRule="auto"/>
        <w:ind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8 </w:t>
      </w:r>
      <w:r>
        <w:rPr>
          <w:rFonts w:hint="eastAsia" w:hAnsi="宋体" w:cstheme="minorEastAsia"/>
          <w:color w:val="000000" w:themeColor="text1"/>
          <w:szCs w:val="21"/>
          <w14:textFill>
            <w14:solidFill>
              <w14:schemeClr w14:val="tx1"/>
            </w14:solidFill>
          </w14:textFill>
        </w:rPr>
        <w:t>浇注完成后宜根据设计要求进行桩端注浆，以提高桩端承载力</w:t>
      </w:r>
      <w:r>
        <w:rPr>
          <w:rFonts w:hint="eastAsia" w:hAnsi="宋体"/>
          <w:color w:val="000000" w:themeColor="text1"/>
          <w:szCs w:val="21"/>
          <w14:textFill>
            <w14:solidFill>
              <w14:schemeClr w14:val="tx1"/>
            </w14:solidFill>
          </w14:textFill>
        </w:rPr>
        <w:t>。</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12.6.6</w:t>
      </w:r>
      <w:r>
        <w:rPr>
          <w:rFonts w:hint="eastAsia" w:hAnsi="宋体"/>
          <w:color w:val="000000" w:themeColor="text1"/>
          <w:szCs w:val="21"/>
          <w14:textFill>
            <w14:solidFill>
              <w14:schemeClr w14:val="tx1"/>
            </w14:solidFill>
          </w14:textFill>
        </w:rPr>
        <w:t xml:space="preserve"> 人工挖孔桩施工应符合现行国家标准《建筑桩基施工技术规范》JGJ94的有关规定，并应符合下列规定：</w:t>
      </w:r>
    </w:p>
    <w:p>
      <w:pPr>
        <w:pStyle w:val="22"/>
        <w:tabs>
          <w:tab w:val="left" w:pos="851"/>
        </w:tabs>
        <w:snapToGrid w:val="0"/>
        <w:spacing w:line="360" w:lineRule="auto"/>
        <w:ind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w:t>
      </w:r>
      <w:r>
        <w:rPr>
          <w:rFonts w:hint="eastAsia" w:hAnsi="宋体"/>
          <w:color w:val="000000" w:themeColor="text1"/>
          <w:szCs w:val="21"/>
          <w14:textFill>
            <w14:solidFill>
              <w14:schemeClr w14:val="tx1"/>
            </w14:solidFill>
          </w14:textFill>
        </w:rPr>
        <w:t xml:space="preserve"> 人工挖孔桩适用于无水条件，当地下水较少、水量不大时，应采取地下水控制措施；</w:t>
      </w:r>
    </w:p>
    <w:p>
      <w:pPr>
        <w:pStyle w:val="22"/>
        <w:tabs>
          <w:tab w:val="left" w:pos="851"/>
        </w:tabs>
        <w:snapToGrid w:val="0"/>
        <w:spacing w:line="360" w:lineRule="auto"/>
        <w:ind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hAnsi="宋体"/>
          <w:color w:val="000000" w:themeColor="text1"/>
          <w:szCs w:val="21"/>
          <w14:textFill>
            <w14:solidFill>
              <w14:schemeClr w14:val="tx1"/>
            </w14:solidFill>
          </w14:textFill>
        </w:rPr>
        <w:t xml:space="preserve"> 在导洞内进行人工挖孔前，应对下导洞需要开孔的部位打设小导管注浆加固土体，注浆加固范围应符合设计要求；</w:t>
      </w:r>
    </w:p>
    <w:p>
      <w:pPr>
        <w:pStyle w:val="22"/>
        <w:tabs>
          <w:tab w:val="left" w:pos="851"/>
        </w:tabs>
        <w:snapToGrid w:val="0"/>
        <w:spacing w:line="360" w:lineRule="auto"/>
        <w:ind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hAnsi="宋体"/>
          <w:color w:val="000000" w:themeColor="text1"/>
          <w:szCs w:val="21"/>
          <w14:textFill>
            <w14:solidFill>
              <w14:schemeClr w14:val="tx1"/>
            </w14:solidFill>
          </w14:textFill>
        </w:rPr>
        <w:t xml:space="preserve"> 导洞开孔时应凿除初期支护混凝土，应在人工挖孔桩护壁完成后、钢筋笼吊装前方可切断格栅钢架钢筋；</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4</w:t>
      </w:r>
      <w:r>
        <w:rPr>
          <w:rFonts w:hint="eastAsia" w:hAnsi="宋体"/>
          <w:color w:val="000000" w:themeColor="text1"/>
          <w:szCs w:val="21"/>
          <w14:textFill>
            <w14:solidFill>
              <w14:schemeClr w14:val="tx1"/>
            </w14:solidFill>
          </w14:textFill>
        </w:rPr>
        <w:t xml:space="preserve"> 人工挖孔每循环进尺应符合设计要求，桩身的垂直度允许偏差不应大于5‰，原材料和混凝土强度应符合设计要求；</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5 </w:t>
      </w:r>
      <w:r>
        <w:rPr>
          <w:rFonts w:hint="eastAsia" w:hAnsi="宋体"/>
          <w:color w:val="000000" w:themeColor="text1"/>
          <w:szCs w:val="21"/>
          <w14:textFill>
            <w14:solidFill>
              <w14:schemeClr w14:val="tx1"/>
            </w14:solidFill>
          </w14:textFill>
        </w:rPr>
        <w:t>人工挖孔桩宜按隔3挖1的顺序跳孔施工，上部、下部与导洞钢筋应连接牢固；</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6 </w:t>
      </w:r>
      <w:r>
        <w:rPr>
          <w:rFonts w:hint="eastAsia" w:hAnsi="宋体"/>
          <w:color w:val="000000" w:themeColor="text1"/>
          <w:szCs w:val="21"/>
          <w14:textFill>
            <w14:solidFill>
              <w14:schemeClr w14:val="tx1"/>
            </w14:solidFill>
          </w14:textFill>
        </w:rPr>
        <w:t>人工挖孔桩应符合设计要求，其桩位允许偏差：顺轴线方向±50mm，垂直轴线方向0～+30mm，成桩深度允许偏差：0～+300mm；</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 </w:t>
      </w:r>
      <w:r>
        <w:rPr>
          <w:rFonts w:hint="eastAsia" w:hAnsi="宋体"/>
          <w:color w:val="000000" w:themeColor="text1"/>
          <w:szCs w:val="21"/>
          <w14:textFill>
            <w14:solidFill>
              <w14:schemeClr w14:val="tx1"/>
            </w14:solidFill>
          </w14:textFill>
        </w:rPr>
        <w:t>施工安全防护和孔内通风等应现行国家标准及地方标准的相关规定。</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12.6.7 </w:t>
      </w:r>
      <w:r>
        <w:rPr>
          <w:rFonts w:hint="eastAsia" w:hAnsi="宋体"/>
          <w:color w:val="000000" w:themeColor="text1"/>
          <w:szCs w:val="21"/>
          <w14:textFill>
            <w14:solidFill>
              <w14:schemeClr w14:val="tx1"/>
            </w14:solidFill>
          </w14:textFill>
        </w:rPr>
        <w:t>钢管柱钢管加工应符合下列规定：</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 </w:t>
      </w:r>
      <w:r>
        <w:rPr>
          <w:rFonts w:hint="eastAsia" w:hAnsi="宋体" w:cstheme="minorEastAsia"/>
          <w:color w:val="000000" w:themeColor="text1"/>
          <w:sz w:val="21"/>
          <w:szCs w:val="21"/>
          <w14:textFill>
            <w14:solidFill>
              <w14:schemeClr w14:val="tx1"/>
            </w14:solidFill>
          </w14:textFill>
        </w:rPr>
        <w:t>钢管的材质、型号、规格及质量应符合设计要求和现行国家产品标准的规定，钢管柱表面应干净光洁，无焊疤、油污和泥砂，肋板、螺栓无锈迹；</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2 </w:t>
      </w:r>
      <w:r>
        <w:rPr>
          <w:rFonts w:hint="eastAsia" w:hAnsi="宋体" w:cstheme="minorEastAsia"/>
          <w:color w:val="000000" w:themeColor="text1"/>
          <w:sz w:val="21"/>
          <w:szCs w:val="21"/>
          <w14:textFill>
            <w14:solidFill>
              <w14:schemeClr w14:val="tx1"/>
            </w14:solidFill>
          </w14:textFill>
        </w:rPr>
        <w:t>钢管柱外表面应涂防锈漆，应用塑料膜进行包裹保护；</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3 </w:t>
      </w:r>
      <w:r>
        <w:rPr>
          <w:rFonts w:hint="eastAsia" w:hAnsi="宋体" w:cstheme="minorEastAsia"/>
          <w:color w:val="000000" w:themeColor="text1"/>
          <w:sz w:val="21"/>
          <w:szCs w:val="21"/>
          <w14:textFill>
            <w14:solidFill>
              <w14:schemeClr w14:val="tx1"/>
            </w14:solidFill>
          </w14:textFill>
        </w:rPr>
        <w:t>钢管焊接方法、外观质量和无损检测应符合设计要求和现行国家标准的规定；焊接材料的品种、规格、性能等应符合现行国家产品标准和设计要求；</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4 </w:t>
      </w:r>
      <w:r>
        <w:rPr>
          <w:rFonts w:hint="eastAsia" w:hAnsi="宋体" w:cstheme="minorEastAsia"/>
          <w:color w:val="000000" w:themeColor="text1"/>
          <w:sz w:val="21"/>
          <w:szCs w:val="21"/>
          <w14:textFill>
            <w14:solidFill>
              <w14:schemeClr w14:val="tx1"/>
            </w14:solidFill>
          </w14:textFill>
        </w:rPr>
        <w:t>钢管应经进场验收合格后方可安装，进场验收主要包括：构件核查、配件数量，检查钢构件上的钢板翅片、加劲肋板、栓钉及管壁开孔的规格数量，钢管表面是否有变形、脱漆等现象。</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12.6.8  </w:t>
      </w:r>
      <w:r>
        <w:rPr>
          <w:rFonts w:hint="eastAsia" w:hAnsi="宋体"/>
          <w:color w:val="000000" w:themeColor="text1"/>
          <w:szCs w:val="21"/>
          <w14:textFill>
            <w14:solidFill>
              <w14:schemeClr w14:val="tx1"/>
            </w14:solidFill>
          </w14:textFill>
        </w:rPr>
        <w:t>钢管柱定位、固定应符合下列规定：</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 </w:t>
      </w:r>
      <w:r>
        <w:rPr>
          <w:rFonts w:hint="eastAsia" w:hAnsi="宋体" w:cstheme="minorEastAsia"/>
          <w:color w:val="000000" w:themeColor="text1"/>
          <w:sz w:val="21"/>
          <w:szCs w:val="21"/>
          <w14:textFill>
            <w14:solidFill>
              <w14:schemeClr w14:val="tx1"/>
            </w14:solidFill>
          </w14:textFill>
        </w:rPr>
        <w:t>钢管定位宜采用全站仪整体测设方法，采用钻孔灌注桩时，钢管桩底部定位宜采用安装自动定位器法；</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2</w:t>
      </w:r>
      <w:r>
        <w:rPr>
          <w:rFonts w:hint="eastAsia" w:hAnsi="宋体" w:cstheme="minorEastAsia"/>
          <w:color w:val="000000" w:themeColor="text1"/>
          <w:sz w:val="21"/>
          <w:szCs w:val="21"/>
          <w14:textFill>
            <w14:solidFill>
              <w14:schemeClr w14:val="tx1"/>
            </w14:solidFill>
          </w14:textFill>
        </w:rPr>
        <w:t xml:space="preserve"> 钢管柱应根据导洞空间分节安装，安装前应进行试拼装，焊接应符合设计要求；</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3 </w:t>
      </w:r>
      <w:r>
        <w:rPr>
          <w:rFonts w:hint="eastAsia" w:hAnsi="宋体" w:cstheme="minorEastAsia"/>
          <w:color w:val="000000" w:themeColor="text1"/>
          <w:sz w:val="21"/>
          <w:szCs w:val="21"/>
          <w14:textFill>
            <w14:solidFill>
              <w14:schemeClr w14:val="tx1"/>
            </w14:solidFill>
          </w14:textFill>
        </w:rPr>
        <w:t>宜在底纵梁上预埋钢管柱底部法兰，法兰预埋螺栓宜采用定位钢圈（双法兰）精确固定。钢管柱安装前应对底纵梁上预埋的定位器进行复核。钢管柱定位器安装允许误差为：定位器中心线和基础中心线误差不应大于 2mm，定位器标高与管底设计标高误差：＋4mm，－2mm；</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4 </w:t>
      </w:r>
      <w:r>
        <w:rPr>
          <w:rFonts w:hint="eastAsia" w:hAnsi="宋体" w:cstheme="minorEastAsia"/>
          <w:color w:val="000000" w:themeColor="text1"/>
          <w:sz w:val="21"/>
          <w:szCs w:val="21"/>
          <w14:textFill>
            <w14:solidFill>
              <w14:schemeClr w14:val="tx1"/>
            </w14:solidFill>
          </w14:textFill>
        </w:rPr>
        <w:t>钢管柱垫铁规格、位置应正确，应与柱底面和基础密贴，点焊、栓接牢固，垫铁下坐浆强度应符合设计要求；</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5 </w:t>
      </w:r>
      <w:r>
        <w:rPr>
          <w:rFonts w:hint="eastAsia" w:hAnsi="宋体" w:cstheme="minorEastAsia"/>
          <w:color w:val="000000" w:themeColor="text1"/>
          <w:sz w:val="21"/>
          <w:szCs w:val="21"/>
          <w14:textFill>
            <w14:solidFill>
              <w14:schemeClr w14:val="tx1"/>
            </w14:solidFill>
          </w14:textFill>
        </w:rPr>
        <w:t>钢管柱定位、对接时，钢管柱应与法兰盘垂直，连接的螺栓应均匀紧固，扭矩应符合设计要求；</w:t>
      </w:r>
    </w:p>
    <w:p>
      <w:pPr>
        <w:pStyle w:val="21"/>
        <w:snapToGrid w:val="0"/>
        <w:spacing w:line="360" w:lineRule="auto"/>
        <w:ind w:firstLine="422" w:firstLineChars="200"/>
        <w:jc w:val="both"/>
        <w:rPr>
          <w:rFonts w:ascii="Times New Roman" w:hAnsi="宋体" w:cs="Times New Roman"/>
          <w:b/>
          <w:bCs/>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6</w:t>
      </w:r>
      <w:r>
        <w:rPr>
          <w:rFonts w:hint="eastAsia" w:hAnsi="宋体" w:cstheme="minorEastAsia"/>
          <w:color w:val="000000" w:themeColor="text1"/>
          <w:sz w:val="21"/>
          <w:szCs w:val="21"/>
          <w14:textFill>
            <w14:solidFill>
              <w14:schemeClr w14:val="tx1"/>
            </w14:solidFill>
          </w14:textFill>
        </w:rPr>
        <w:t xml:space="preserve"> 钢管柱安装完成后，应用型钢进行固定，钢管柱与人工挖孔桩护壁间的空隙应用砂回填均匀、密实。</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12.6.9 </w:t>
      </w:r>
      <w:r>
        <w:rPr>
          <w:rFonts w:hint="eastAsia" w:hAnsi="宋体"/>
          <w:color w:val="000000" w:themeColor="text1"/>
          <w:szCs w:val="21"/>
          <w14:textFill>
            <w14:solidFill>
              <w14:schemeClr w14:val="tx1"/>
            </w14:solidFill>
          </w14:textFill>
        </w:rPr>
        <w:t xml:space="preserve">钢管柱钢筋笼吊装应符合下列规定： </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 </w:t>
      </w:r>
      <w:r>
        <w:rPr>
          <w:rFonts w:hint="eastAsia" w:hAnsi="宋体" w:cstheme="minorEastAsia"/>
          <w:color w:val="000000" w:themeColor="text1"/>
          <w:sz w:val="21"/>
          <w:szCs w:val="21"/>
          <w14:textFill>
            <w14:solidFill>
              <w14:schemeClr w14:val="tx1"/>
            </w14:solidFill>
          </w14:textFill>
        </w:rPr>
        <w:t>钢筋笼应分节制作、分节吊装，钢筋位置应准确，固定牢固；</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2 </w:t>
      </w:r>
      <w:r>
        <w:rPr>
          <w:rFonts w:hint="eastAsia" w:hAnsi="宋体" w:cstheme="minorEastAsia"/>
          <w:color w:val="000000" w:themeColor="text1"/>
          <w:sz w:val="21"/>
          <w:szCs w:val="21"/>
          <w14:textFill>
            <w14:solidFill>
              <w14:schemeClr w14:val="tx1"/>
            </w14:solidFill>
          </w14:textFill>
        </w:rPr>
        <w:t>钢筋笼应在柱内现场吊装，螺旋筋应采用绑扎搭接，主筋宜采用直螺纹套筒连接，套筒连接应符合现行行业标准《钢筋机械连接技术规程》JGJ107的规定；</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3 </w:t>
      </w:r>
      <w:r>
        <w:rPr>
          <w:rFonts w:hint="eastAsia" w:hAnsi="宋体" w:cstheme="minorEastAsia"/>
          <w:color w:val="000000" w:themeColor="text1"/>
          <w:sz w:val="21"/>
          <w:szCs w:val="21"/>
          <w14:textFill>
            <w14:solidFill>
              <w14:schemeClr w14:val="tx1"/>
            </w14:solidFill>
          </w14:textFill>
        </w:rPr>
        <w:t xml:space="preserve">钢筋笼配筋、中心位置应符合设计要求； </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4 </w:t>
      </w:r>
      <w:r>
        <w:rPr>
          <w:rFonts w:hint="eastAsia" w:hAnsi="宋体" w:cstheme="minorEastAsia"/>
          <w:color w:val="000000" w:themeColor="text1"/>
          <w:sz w:val="21"/>
          <w:szCs w:val="21"/>
          <w14:textFill>
            <w14:solidFill>
              <w14:schemeClr w14:val="tx1"/>
            </w14:solidFill>
          </w14:textFill>
        </w:rPr>
        <w:t>钢筋笼尺寸、中心位置、长度、垂直度、主筋及箍筋间距、直螺纹连接、保护层以及钢筋笼在纵梁的锚固长度应经质量检查合格后方可进行下道工序。</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12.6.10 </w:t>
      </w:r>
      <w:r>
        <w:rPr>
          <w:rFonts w:hint="eastAsia" w:hAnsi="宋体"/>
          <w:color w:val="000000" w:themeColor="text1"/>
          <w:szCs w:val="21"/>
          <w14:textFill>
            <w14:solidFill>
              <w14:schemeClr w14:val="tx1"/>
            </w14:solidFill>
          </w14:textFill>
        </w:rPr>
        <w:t xml:space="preserve">钢管柱混凝土浇筑应符合下列规定： </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 </w:t>
      </w:r>
      <w:r>
        <w:rPr>
          <w:rFonts w:hint="eastAsia" w:hAnsi="宋体" w:cstheme="minorEastAsia"/>
          <w:color w:val="000000" w:themeColor="text1"/>
          <w:sz w:val="21"/>
          <w:szCs w:val="21"/>
          <w14:textFill>
            <w14:solidFill>
              <w14:schemeClr w14:val="tx1"/>
            </w14:solidFill>
          </w14:textFill>
        </w:rPr>
        <w:t>钢管柱</w:t>
      </w:r>
      <w:r>
        <w:rPr>
          <w:rFonts w:hint="eastAsia" w:ascii="Times New Roman" w:hAnsi="宋体" w:cs="Times New Roman"/>
          <w:color w:val="000000" w:themeColor="text1"/>
          <w:kern w:val="2"/>
          <w:sz w:val="21"/>
          <w:szCs w:val="21"/>
          <w14:textFill>
            <w14:solidFill>
              <w14:schemeClr w14:val="tx1"/>
            </w14:solidFill>
          </w14:textFill>
        </w:rPr>
        <w:t>混凝土</w:t>
      </w:r>
      <w:r>
        <w:rPr>
          <w:rFonts w:hint="eastAsia" w:hAnsi="宋体" w:cstheme="minorEastAsia"/>
          <w:color w:val="000000" w:themeColor="text1"/>
          <w:sz w:val="21"/>
          <w:szCs w:val="21"/>
          <w14:textFill>
            <w14:solidFill>
              <w14:schemeClr w14:val="tx1"/>
            </w14:solidFill>
          </w14:textFill>
        </w:rPr>
        <w:t xml:space="preserve">宜采用微膨胀混凝土； </w:t>
      </w:r>
    </w:p>
    <w:p>
      <w:pPr>
        <w:pStyle w:val="21"/>
        <w:snapToGrid w:val="0"/>
        <w:spacing w:line="360" w:lineRule="auto"/>
        <w:ind w:firstLine="422" w:firstLineChars="200"/>
        <w:jc w:val="both"/>
        <w:rPr>
          <w:rFonts w:ascii="Times New Roman" w:hAnsi="宋体" w:cs="Times New Roman"/>
          <w:b/>
          <w:bCs/>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2 </w:t>
      </w:r>
      <w:r>
        <w:rPr>
          <w:rFonts w:hint="eastAsia" w:hAnsi="宋体" w:cstheme="minorEastAsia"/>
          <w:color w:val="000000" w:themeColor="text1"/>
          <w:sz w:val="21"/>
          <w:szCs w:val="21"/>
          <w14:textFill>
            <w14:solidFill>
              <w14:schemeClr w14:val="tx1"/>
            </w14:solidFill>
          </w14:textFill>
        </w:rPr>
        <w:t>浇筑前，钢管内部应清理干净，表面应净洁，无油污和泥砂，以保证钢管柱内壁与核心混凝土紧密粘结；</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3</w:t>
      </w:r>
      <w:r>
        <w:rPr>
          <w:rFonts w:hint="eastAsia" w:hAnsi="宋体" w:cstheme="minorEastAsia"/>
          <w:color w:val="000000" w:themeColor="text1"/>
          <w:sz w:val="21"/>
          <w:szCs w:val="21"/>
          <w14:textFill>
            <w14:solidFill>
              <w14:schemeClr w14:val="tx1"/>
            </w14:solidFill>
          </w14:textFill>
        </w:rPr>
        <w:t xml:space="preserve"> 混凝土浇筑应分层、连续进行，振捣密实，不得有空洞。</w:t>
      </w:r>
    </w:p>
    <w:p>
      <w:pPr>
        <w:pStyle w:val="21"/>
        <w:snapToGrid w:val="0"/>
        <w:spacing w:line="360" w:lineRule="auto"/>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12.6.11 </w:t>
      </w:r>
      <w:r>
        <w:rPr>
          <w:rFonts w:hint="eastAsia" w:ascii="Times New Roman" w:hAnsi="宋体" w:cs="Times New Roman"/>
          <w:color w:val="000000" w:themeColor="text1"/>
          <w:kern w:val="2"/>
          <w:sz w:val="21"/>
          <w:szCs w:val="21"/>
          <w14:textFill>
            <w14:solidFill>
              <w14:schemeClr w14:val="tx1"/>
            </w14:solidFill>
          </w14:textFill>
        </w:rPr>
        <w:t>采用PBA工法扩挖盾构隧道修建地铁车站，初期支护施工应符合</w:t>
      </w:r>
      <w:r>
        <w:rPr>
          <w:rFonts w:hint="eastAsia" w:hAnsi="宋体" w:cs="Times New Roman"/>
          <w:color w:val="000000" w:themeColor="text1"/>
          <w:kern w:val="2"/>
          <w:sz w:val="21"/>
          <w:szCs w:val="21"/>
          <w14:textFill>
            <w14:solidFill>
              <w14:schemeClr w14:val="tx1"/>
            </w14:solidFill>
          </w14:textFill>
        </w:rPr>
        <w:t>本规程第</w:t>
      </w:r>
      <w:r>
        <w:rPr>
          <w:rFonts w:hint="eastAsia" w:ascii="Times New Roman" w:hAnsi="宋体" w:cs="Times New Roman"/>
          <w:b/>
          <w:bCs/>
          <w:color w:val="000000" w:themeColor="text1"/>
          <w:kern w:val="2"/>
          <w:sz w:val="21"/>
          <w:szCs w:val="21"/>
          <w14:textFill>
            <w14:solidFill>
              <w14:schemeClr w14:val="tx1"/>
            </w14:solidFill>
          </w14:textFill>
        </w:rPr>
        <w:t>12.6.4</w:t>
      </w:r>
      <w:r>
        <w:rPr>
          <w:rFonts w:hint="eastAsia" w:ascii="Times New Roman" w:hAnsi="宋体" w:cs="Times New Roman"/>
          <w:color w:val="000000" w:themeColor="text1"/>
          <w:kern w:val="2"/>
          <w:sz w:val="21"/>
          <w:szCs w:val="21"/>
          <w14:textFill>
            <w14:solidFill>
              <w14:schemeClr w14:val="tx1"/>
            </w14:solidFill>
          </w14:textFill>
        </w:rPr>
        <w:t>条的规定，并应符合下列规定：</w:t>
      </w:r>
    </w:p>
    <w:p>
      <w:pPr>
        <w:pStyle w:val="21"/>
        <w:snapToGrid w:val="0"/>
        <w:spacing w:line="360" w:lineRule="auto"/>
        <w:ind w:firstLine="420" w:firstLineChars="200"/>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color w:val="000000" w:themeColor="text1"/>
          <w:kern w:val="2"/>
          <w:sz w:val="21"/>
          <w:szCs w:val="21"/>
          <w14:textFill>
            <w14:solidFill>
              <w14:schemeClr w14:val="tx1"/>
            </w14:solidFill>
          </w14:textFill>
        </w:rPr>
        <w:t>1 初衬扣拱应按设计工序进行施工，施工顺序宜为侧导洞开挖→洞桩、冠梁施工→中间洞室开挖→初衬接拱；</w:t>
      </w:r>
    </w:p>
    <w:p>
      <w:pPr>
        <w:pStyle w:val="21"/>
        <w:snapToGrid w:val="0"/>
        <w:spacing w:line="360" w:lineRule="auto"/>
        <w:ind w:firstLine="420" w:firstLineChars="200"/>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color w:val="000000" w:themeColor="text1"/>
          <w:kern w:val="2"/>
          <w:sz w:val="21"/>
          <w:szCs w:val="21"/>
          <w14:textFill>
            <w14:solidFill>
              <w14:schemeClr w14:val="tx1"/>
            </w14:solidFill>
          </w14:textFill>
        </w:rPr>
        <w:t>2 应在</w:t>
      </w:r>
      <w:r>
        <w:rPr>
          <w:rFonts w:hint="eastAsia" w:hAnsi="宋体" w:cstheme="minorEastAsia"/>
          <w:color w:val="000000" w:themeColor="text1"/>
          <w:sz w:val="21"/>
          <w:szCs w:val="21"/>
          <w14:textFill>
            <w14:solidFill>
              <w14:schemeClr w14:val="tx1"/>
            </w14:solidFill>
          </w14:textFill>
        </w:rPr>
        <w:t>深孔注浆加固后进行导洞及洞桩、冠梁施工，同时在盾构隧道内进行中墙及支撑体系施工；洞内钻孔灌注桩施工应符合本规程第</w:t>
      </w:r>
      <w:r>
        <w:rPr>
          <w:rFonts w:hint="eastAsia" w:ascii="Times New Roman" w:hAnsi="宋体" w:cs="Times New Roman"/>
          <w:b/>
          <w:bCs/>
          <w:color w:val="000000" w:themeColor="text1"/>
          <w:kern w:val="2"/>
          <w:sz w:val="21"/>
          <w:szCs w:val="21"/>
          <w14:textFill>
            <w14:solidFill>
              <w14:schemeClr w14:val="tx1"/>
            </w14:solidFill>
          </w14:textFill>
        </w:rPr>
        <w:t>12.6.5、12.6.6</w:t>
      </w:r>
      <w:r>
        <w:rPr>
          <w:rFonts w:hint="eastAsia" w:hAnsi="宋体" w:cstheme="minorEastAsia"/>
          <w:color w:val="000000" w:themeColor="text1"/>
          <w:sz w:val="21"/>
          <w:szCs w:val="21"/>
          <w14:textFill>
            <w14:solidFill>
              <w14:schemeClr w14:val="tx1"/>
            </w14:solidFill>
          </w14:textFill>
        </w:rPr>
        <w:t>条的规定；</w:t>
      </w:r>
    </w:p>
    <w:p>
      <w:pPr>
        <w:pStyle w:val="21"/>
        <w:snapToGrid w:val="0"/>
        <w:spacing w:line="360" w:lineRule="auto"/>
        <w:ind w:firstLine="420"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color w:val="000000" w:themeColor="text1"/>
          <w:kern w:val="2"/>
          <w:sz w:val="21"/>
          <w:szCs w:val="21"/>
          <w14:textFill>
            <w14:solidFill>
              <w14:schemeClr w14:val="tx1"/>
            </w14:solidFill>
          </w14:textFill>
        </w:rPr>
        <w:t>3 应在侧</w:t>
      </w:r>
      <w:r>
        <w:rPr>
          <w:rFonts w:hint="eastAsia" w:hAnsi="宋体" w:cstheme="minorEastAsia"/>
          <w:color w:val="000000" w:themeColor="text1"/>
          <w:sz w:val="21"/>
          <w:szCs w:val="21"/>
          <w14:textFill>
            <w14:solidFill>
              <w14:schemeClr w14:val="tx1"/>
            </w14:solidFill>
          </w14:textFill>
        </w:rPr>
        <w:t>导洞内冠梁及</w:t>
      </w:r>
      <w:r>
        <w:rPr>
          <w:rFonts w:hint="eastAsia" w:ascii="Times New Roman" w:hAnsi="宋体" w:cs="Times New Roman"/>
          <w:color w:val="000000" w:themeColor="text1"/>
          <w:kern w:val="2"/>
          <w:sz w:val="21"/>
          <w:szCs w:val="21"/>
          <w14:textFill>
            <w14:solidFill>
              <w14:schemeClr w14:val="tx1"/>
            </w14:solidFill>
          </w14:textFill>
        </w:rPr>
        <w:t>在盾构隧道内中墙纵梁支撑体系</w:t>
      </w:r>
      <w:r>
        <w:rPr>
          <w:rFonts w:hint="eastAsia" w:hAnsi="宋体" w:cstheme="minorEastAsia"/>
          <w:color w:val="000000" w:themeColor="text1"/>
          <w:sz w:val="21"/>
          <w:szCs w:val="21"/>
          <w14:textFill>
            <w14:solidFill>
              <w14:schemeClr w14:val="tx1"/>
            </w14:solidFill>
          </w14:textFill>
        </w:rPr>
        <w:t>施工完成后，在侧导洞内进行初衬接拱，将中间洞室拱顶与冠梁闭合；</w:t>
      </w:r>
    </w:p>
    <w:p>
      <w:pPr>
        <w:pStyle w:val="21"/>
        <w:snapToGrid w:val="0"/>
        <w:spacing w:line="360" w:lineRule="auto"/>
        <w:ind w:firstLine="420" w:firstLineChars="200"/>
        <w:jc w:val="both"/>
        <w:rPr>
          <w:rFonts w:hAnsi="宋体" w:cstheme="minorEastAsia"/>
          <w:color w:val="000000" w:themeColor="text1"/>
          <w:sz w:val="21"/>
          <w:szCs w:val="21"/>
          <w14:textFill>
            <w14:solidFill>
              <w14:schemeClr w14:val="tx1"/>
            </w14:solidFill>
          </w14:textFill>
        </w:rPr>
      </w:pPr>
      <w:r>
        <w:rPr>
          <w:rFonts w:hint="eastAsia" w:hAnsi="宋体" w:cstheme="minorEastAsia"/>
          <w:color w:val="000000" w:themeColor="text1"/>
          <w:sz w:val="21"/>
          <w:szCs w:val="21"/>
          <w14:textFill>
            <w14:solidFill>
              <w14:schemeClr w14:val="tx1"/>
            </w14:solidFill>
          </w14:textFill>
        </w:rPr>
        <w:t>4 盾构隧道内中墙施工前，在盾构隧道内进行径向注浆加固，提高管片周边土体强度；</w:t>
      </w:r>
    </w:p>
    <w:p>
      <w:pPr>
        <w:pStyle w:val="21"/>
        <w:snapToGrid w:val="0"/>
        <w:spacing w:line="360" w:lineRule="auto"/>
        <w:ind w:firstLine="420" w:firstLineChars="200"/>
        <w:jc w:val="both"/>
        <w:rPr>
          <w:rFonts w:hAnsi="宋体" w:cstheme="minorEastAsia"/>
          <w:color w:val="000000" w:themeColor="text1"/>
          <w:sz w:val="21"/>
          <w:szCs w:val="21"/>
          <w14:textFill>
            <w14:solidFill>
              <w14:schemeClr w14:val="tx1"/>
            </w14:solidFill>
          </w14:textFill>
        </w:rPr>
      </w:pPr>
      <w:r>
        <w:rPr>
          <w:rFonts w:hint="eastAsia" w:hAnsi="宋体" w:cstheme="minorEastAsia"/>
          <w:color w:val="000000" w:themeColor="text1"/>
          <w:sz w:val="21"/>
          <w:szCs w:val="21"/>
          <w14:textFill>
            <w14:solidFill>
              <w14:schemeClr w14:val="tx1"/>
            </w14:solidFill>
          </w14:textFill>
        </w:rPr>
        <w:t>5 盾构隧道内中墙底纵梁两侧应设置临时型钢支撑，与盾构管片支顶牢固；顶纵梁顶部应设置抗剪连接键，底部管片间应设置抗滑移构件，混凝土应浇筑振捣密实，与管片间的空隙应回填注浆密实；</w:t>
      </w:r>
    </w:p>
    <w:p>
      <w:pPr>
        <w:pStyle w:val="21"/>
        <w:snapToGrid w:val="0"/>
        <w:spacing w:line="360" w:lineRule="auto"/>
        <w:ind w:firstLine="420"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color w:val="000000" w:themeColor="text1"/>
          <w:kern w:val="2"/>
          <w:sz w:val="21"/>
          <w:szCs w:val="21"/>
          <w14:textFill>
            <w14:solidFill>
              <w14:schemeClr w14:val="tx1"/>
            </w14:solidFill>
          </w14:textFill>
        </w:rPr>
        <w:t xml:space="preserve">6 </w:t>
      </w:r>
      <w:r>
        <w:rPr>
          <w:rFonts w:ascii="Times New Roman" w:hAnsi="宋体" w:cs="Times New Roman"/>
          <w:color w:val="000000" w:themeColor="text1"/>
          <w:kern w:val="2"/>
          <w:sz w:val="21"/>
          <w:szCs w:val="21"/>
          <w14:textFill>
            <w14:solidFill>
              <w14:schemeClr w14:val="tx1"/>
            </w14:solidFill>
          </w14:textFill>
        </w:rPr>
        <w:t>初衬接拱</w:t>
      </w:r>
      <w:r>
        <w:rPr>
          <w:rFonts w:hint="eastAsia" w:ascii="Times New Roman" w:hAnsi="宋体" w:cs="Times New Roman"/>
          <w:color w:val="000000" w:themeColor="text1"/>
          <w:kern w:val="2"/>
          <w:sz w:val="21"/>
          <w:szCs w:val="21"/>
          <w14:textFill>
            <w14:solidFill>
              <w14:schemeClr w14:val="tx1"/>
            </w14:solidFill>
          </w14:textFill>
        </w:rPr>
        <w:t>应符合设计要求，节点应连接牢固，</w:t>
      </w:r>
      <w:r>
        <w:rPr>
          <w:rFonts w:ascii="Times New Roman" w:hAnsi="宋体" w:cs="Times New Roman"/>
          <w:color w:val="000000" w:themeColor="text1"/>
          <w:kern w:val="2"/>
          <w:sz w:val="21"/>
          <w:szCs w:val="21"/>
          <w14:textFill>
            <w14:solidFill>
              <w14:schemeClr w14:val="tx1"/>
            </w14:solidFill>
          </w14:textFill>
        </w:rPr>
        <w:t>格栅</w:t>
      </w:r>
      <w:r>
        <w:rPr>
          <w:rFonts w:hint="eastAsia" w:ascii="Times New Roman" w:hAnsi="宋体" w:cs="Times New Roman"/>
          <w:color w:val="000000" w:themeColor="text1"/>
          <w:kern w:val="2"/>
          <w:sz w:val="21"/>
          <w:szCs w:val="21"/>
          <w14:textFill>
            <w14:solidFill>
              <w14:schemeClr w14:val="tx1"/>
            </w14:solidFill>
          </w14:textFill>
        </w:rPr>
        <w:t>钢架连接后</w:t>
      </w:r>
      <w:r>
        <w:rPr>
          <w:rFonts w:ascii="Times New Roman" w:hAnsi="宋体" w:cs="Times New Roman"/>
          <w:color w:val="000000" w:themeColor="text1"/>
          <w:kern w:val="2"/>
          <w:sz w:val="21"/>
          <w:szCs w:val="21"/>
          <w14:textFill>
            <w14:solidFill>
              <w14:schemeClr w14:val="tx1"/>
            </w14:solidFill>
          </w14:textFill>
        </w:rPr>
        <w:t>整体平整度和垂直度</w:t>
      </w:r>
      <w:r>
        <w:rPr>
          <w:rFonts w:hint="eastAsia" w:ascii="Times New Roman" w:hAnsi="宋体" w:cs="Times New Roman"/>
          <w:color w:val="000000" w:themeColor="text1"/>
          <w:kern w:val="2"/>
          <w:sz w:val="21"/>
          <w:szCs w:val="21"/>
          <w14:textFill>
            <w14:solidFill>
              <w14:schemeClr w14:val="tx1"/>
            </w14:solidFill>
          </w14:textFill>
        </w:rPr>
        <w:t>应符合设计要求，并经检查合格；</w:t>
      </w:r>
    </w:p>
    <w:p>
      <w:pPr>
        <w:pStyle w:val="21"/>
        <w:snapToGrid w:val="0"/>
        <w:spacing w:line="360" w:lineRule="auto"/>
        <w:ind w:firstLine="420" w:firstLineChars="200"/>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color w:val="000000" w:themeColor="text1"/>
          <w:kern w:val="2"/>
          <w:sz w:val="21"/>
          <w:szCs w:val="21"/>
          <w14:textFill>
            <w14:solidFill>
              <w14:schemeClr w14:val="tx1"/>
            </w14:solidFill>
          </w14:textFill>
        </w:rPr>
        <w:t>7 盾构管片应按设计要求分段、分区拆除，并加强监测。</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326" w:name="_Toc31441"/>
      <w:bookmarkStart w:id="327" w:name="_Toc19321"/>
      <w:bookmarkStart w:id="328" w:name="_Toc7123"/>
      <w:bookmarkStart w:id="329" w:name="_Toc679"/>
      <w:bookmarkStart w:id="330" w:name="_Toc23785"/>
      <w:bookmarkStart w:id="331" w:name="_Toc25877"/>
      <w:r>
        <w:rPr>
          <w:rFonts w:hint="eastAsia" w:hAnsi="宋体"/>
          <w:b/>
          <w:color w:val="000000" w:themeColor="text1"/>
          <w:sz w:val="24"/>
          <w14:textFill>
            <w14:solidFill>
              <w14:schemeClr w14:val="tx1"/>
            </w14:solidFill>
          </w14:textFill>
        </w:rPr>
        <w:t>12.7  附属结构初期支护</w:t>
      </w:r>
      <w:bookmarkEnd w:id="326"/>
      <w:bookmarkEnd w:id="327"/>
      <w:bookmarkEnd w:id="328"/>
      <w:bookmarkEnd w:id="329"/>
      <w:bookmarkEnd w:id="330"/>
      <w:bookmarkEnd w:id="331"/>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12.7.1 </w:t>
      </w:r>
      <w:r>
        <w:rPr>
          <w:rFonts w:hint="eastAsia" w:hAnsi="宋体"/>
          <w:color w:val="000000" w:themeColor="text1"/>
          <w:szCs w:val="21"/>
          <w14:textFill>
            <w14:solidFill>
              <w14:schemeClr w14:val="tx1"/>
            </w14:solidFill>
          </w14:textFill>
        </w:rPr>
        <w:t>暗挖通道采用圆拱、直墙平底结构时，初期支护结构施工应符合本规程第</w:t>
      </w:r>
      <w:r>
        <w:rPr>
          <w:rFonts w:hint="eastAsia" w:hAnsi="宋体"/>
          <w:b/>
          <w:bCs/>
          <w:color w:val="000000" w:themeColor="text1"/>
          <w:szCs w:val="21"/>
          <w14:textFill>
            <w14:solidFill>
              <w14:schemeClr w14:val="tx1"/>
            </w14:solidFill>
          </w14:textFill>
        </w:rPr>
        <w:t>12.5</w:t>
      </w:r>
      <w:r>
        <w:rPr>
          <w:rFonts w:hint="eastAsia" w:hAnsi="宋体"/>
          <w:color w:val="000000" w:themeColor="text1"/>
          <w:szCs w:val="21"/>
          <w14:textFill>
            <w14:solidFill>
              <w14:schemeClr w14:val="tx1"/>
            </w14:solidFill>
          </w14:textFill>
        </w:rPr>
        <w:t>节</w:t>
      </w:r>
      <w:r>
        <w:rPr>
          <w:rFonts w:hint="eastAsia"/>
          <w:color w:val="000000" w:themeColor="text1"/>
          <w14:textFill>
            <w14:solidFill>
              <w14:schemeClr w14:val="tx1"/>
            </w14:solidFill>
          </w14:textFill>
        </w:rPr>
        <w:t>的有关规定。</w:t>
      </w:r>
    </w:p>
    <w:p>
      <w:pPr>
        <w:pStyle w:val="21"/>
        <w:snapToGrid w:val="0"/>
        <w:spacing w:line="360" w:lineRule="auto"/>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12.7.2 </w:t>
      </w:r>
      <w:r>
        <w:rPr>
          <w:rFonts w:hint="eastAsia" w:ascii="Times New Roman" w:hAnsi="宋体" w:cs="Times New Roman"/>
          <w:color w:val="000000" w:themeColor="text1"/>
          <w:kern w:val="2"/>
          <w:sz w:val="21"/>
          <w:szCs w:val="21"/>
          <w14:textFill>
            <w14:solidFill>
              <w14:schemeClr w14:val="tx1"/>
            </w14:solidFill>
          </w14:textFill>
        </w:rPr>
        <w:t>平顶直墙通道初期支护应按照由小变大的方法施工，导洞初期支护应与土方开挖密切配合，及时打设锁脚锚管，安装中隔墙、中隔板进行封闭，地层变形应符合设计要求。</w:t>
      </w:r>
    </w:p>
    <w:p>
      <w:pPr>
        <w:pStyle w:val="21"/>
        <w:snapToGrid w:val="0"/>
        <w:spacing w:line="360" w:lineRule="auto"/>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12.7.3 </w:t>
      </w:r>
      <w:r>
        <w:rPr>
          <w:rFonts w:hint="eastAsia" w:ascii="Times New Roman" w:hAnsi="宋体" w:cs="Times New Roman"/>
          <w:color w:val="000000" w:themeColor="text1"/>
          <w:kern w:val="2"/>
          <w:sz w:val="21"/>
          <w:szCs w:val="21"/>
          <w14:textFill>
            <w14:solidFill>
              <w14:schemeClr w14:val="tx1"/>
            </w14:solidFill>
          </w14:textFill>
        </w:rPr>
        <w:t>初期支护宜按照应自上而下，跳洞、对称、逐层施工。导洞宽度、高度应符合设计要求。</w:t>
      </w:r>
    </w:p>
    <w:p>
      <w:pPr>
        <w:pStyle w:val="21"/>
        <w:snapToGrid w:val="0"/>
        <w:spacing w:line="360" w:lineRule="auto"/>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12.7.4 </w:t>
      </w:r>
      <w:r>
        <w:rPr>
          <w:rFonts w:hint="eastAsia" w:ascii="Times New Roman" w:hAnsi="宋体" w:cs="Times New Roman"/>
          <w:color w:val="000000" w:themeColor="text1"/>
          <w:kern w:val="2"/>
          <w:sz w:val="21"/>
          <w:szCs w:val="21"/>
          <w14:textFill>
            <w14:solidFill>
              <w14:schemeClr w14:val="tx1"/>
            </w14:solidFill>
          </w14:textFill>
        </w:rPr>
        <w:t>初期支护格栅钢架间距宜为0.5m，洞口格栅钢架应密排，遇到土质条件变差、穿越地下管线时，应缩短格栅钢架间距。</w:t>
      </w:r>
    </w:p>
    <w:p>
      <w:pPr>
        <w:pStyle w:val="21"/>
        <w:snapToGrid w:val="0"/>
        <w:spacing w:line="360" w:lineRule="auto"/>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12.7.5 </w:t>
      </w:r>
      <w:r>
        <w:rPr>
          <w:rFonts w:hint="eastAsia" w:hAnsi="宋体" w:cstheme="minorEastAsia"/>
          <w:color w:val="000000" w:themeColor="text1"/>
          <w:sz w:val="21"/>
          <w:szCs w:val="21"/>
          <w14:textFill>
            <w14:solidFill>
              <w14:schemeClr w14:val="tx1"/>
            </w14:solidFill>
          </w14:textFill>
        </w:rPr>
        <w:t>中隔墙、中隔板和临时支护应分段拆除，并及时施工二次衬砌。</w:t>
      </w: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12.7.6 </w:t>
      </w:r>
      <w:r>
        <w:rPr>
          <w:rFonts w:hint="eastAsia" w:hAnsi="宋体" w:cstheme="minorEastAsia"/>
          <w:color w:val="000000" w:themeColor="text1"/>
          <w:sz w:val="21"/>
          <w:szCs w:val="21"/>
          <w14:textFill>
            <w14:solidFill>
              <w14:schemeClr w14:val="tx1"/>
            </w14:solidFill>
          </w14:textFill>
        </w:rPr>
        <w:t>通道与预留洞口连接施工前，应核实预留洞口的位置和高程。</w:t>
      </w: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12.7.7 </w:t>
      </w:r>
      <w:r>
        <w:rPr>
          <w:rFonts w:hint="eastAsia" w:hAnsi="宋体" w:cstheme="minorEastAsia"/>
          <w:color w:val="000000" w:themeColor="text1"/>
          <w:sz w:val="21"/>
          <w:szCs w:val="21"/>
          <w14:textFill>
            <w14:solidFill>
              <w14:schemeClr w14:val="tx1"/>
            </w14:solidFill>
          </w14:textFill>
        </w:rPr>
        <w:t xml:space="preserve">与预留洞口连接，宜采用暗挖通道结构包预留洞口方法，相接处的重叠长度不宜小于 </w:t>
      </w:r>
      <w:r>
        <w:rPr>
          <w:rFonts w:hint="eastAsia" w:ascii="Times New Roman" w:hAnsi="宋体" w:cs="Times New Roman"/>
          <w:color w:val="000000" w:themeColor="text1"/>
          <w:kern w:val="2"/>
          <w:sz w:val="21"/>
          <w:szCs w:val="21"/>
          <w14:textFill>
            <w14:solidFill>
              <w14:schemeClr w14:val="tx1"/>
            </w14:solidFill>
          </w14:textFill>
        </w:rPr>
        <w:t>0.5m。</w:t>
      </w: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12.7.8 </w:t>
      </w:r>
      <w:r>
        <w:rPr>
          <w:rFonts w:hint="eastAsia" w:hAnsi="宋体" w:cstheme="minorEastAsia"/>
          <w:color w:val="000000" w:themeColor="text1"/>
          <w:sz w:val="21"/>
          <w:szCs w:val="21"/>
          <w14:textFill>
            <w14:solidFill>
              <w14:schemeClr w14:val="tx1"/>
            </w14:solidFill>
          </w14:textFill>
        </w:rPr>
        <w:t>连接段和断面变化段连接筋安装应符合设计要求。初期支护结构尺寸变化应均匀，内表面应平顺。</w:t>
      </w:r>
    </w:p>
    <w:p>
      <w:pPr>
        <w:pStyle w:val="21"/>
        <w:snapToGrid w:val="0"/>
        <w:spacing w:line="360" w:lineRule="auto"/>
        <w:jc w:val="both"/>
        <w:rPr>
          <w:rFonts w:ascii="Times New Roman"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12.7.9 </w:t>
      </w:r>
      <w:r>
        <w:rPr>
          <w:rFonts w:hint="eastAsia" w:hAnsi="宋体" w:cstheme="minorEastAsia"/>
          <w:color w:val="000000" w:themeColor="text1"/>
          <w:sz w:val="21"/>
          <w:szCs w:val="21"/>
          <w14:textFill>
            <w14:solidFill>
              <w14:schemeClr w14:val="tx1"/>
            </w14:solidFill>
          </w14:textFill>
        </w:rPr>
        <w:t>人行通道</w:t>
      </w:r>
      <w:r>
        <w:rPr>
          <w:rFonts w:hint="eastAsia" w:ascii="Times New Roman" w:hAnsi="宋体" w:cs="Times New Roman"/>
          <w:b/>
          <w:bCs/>
          <w:color w:val="000000" w:themeColor="text1"/>
          <w:kern w:val="2"/>
          <w:sz w:val="21"/>
          <w:szCs w:val="21"/>
          <w14:textFill>
            <w14:solidFill>
              <w14:schemeClr w14:val="tx1"/>
            </w14:solidFill>
          </w14:textFill>
        </w:rPr>
        <w:t>、</w:t>
      </w:r>
      <w:r>
        <w:rPr>
          <w:rFonts w:hint="eastAsia" w:hAnsi="宋体" w:cstheme="minorEastAsia"/>
          <w:color w:val="000000" w:themeColor="text1"/>
          <w:sz w:val="21"/>
          <w:szCs w:val="21"/>
          <w14:textFill>
            <w14:solidFill>
              <w14:schemeClr w14:val="tx1"/>
            </w14:solidFill>
          </w14:textFill>
        </w:rPr>
        <w:t>区间隧道联络通道、暗挖车站横通道、通风道初期支护施工应符合本规程第</w:t>
      </w:r>
      <w:r>
        <w:rPr>
          <w:rFonts w:hint="eastAsia" w:ascii="Times New Roman" w:hAnsi="宋体" w:cs="Times New Roman"/>
          <w:b/>
          <w:bCs/>
          <w:color w:val="000000" w:themeColor="text1"/>
          <w:kern w:val="2"/>
          <w:sz w:val="21"/>
          <w:szCs w:val="21"/>
          <w14:textFill>
            <w14:solidFill>
              <w14:schemeClr w14:val="tx1"/>
            </w14:solidFill>
          </w14:textFill>
        </w:rPr>
        <w:t>12.1～12.4节</w:t>
      </w:r>
      <w:r>
        <w:rPr>
          <w:rFonts w:hint="eastAsia" w:hAnsi="宋体" w:cstheme="minorEastAsia"/>
          <w:color w:val="000000" w:themeColor="text1"/>
          <w:sz w:val="21"/>
          <w:szCs w:val="21"/>
          <w14:textFill>
            <w14:solidFill>
              <w14:schemeClr w14:val="tx1"/>
            </w14:solidFill>
          </w14:textFill>
        </w:rPr>
        <w:t>的规定。</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332" w:name="_Toc19538"/>
      <w:bookmarkStart w:id="333" w:name="_Toc31024"/>
      <w:bookmarkStart w:id="334" w:name="_Toc12580"/>
      <w:bookmarkStart w:id="335" w:name="_Toc1948"/>
      <w:bookmarkStart w:id="336" w:name="_Toc12347"/>
      <w:bookmarkStart w:id="337" w:name="_Toc12119"/>
      <w:r>
        <w:rPr>
          <w:rFonts w:hint="eastAsia" w:hAnsi="宋体"/>
          <w:b/>
          <w:color w:val="000000" w:themeColor="text1"/>
          <w:sz w:val="24"/>
          <w14:textFill>
            <w14:solidFill>
              <w14:schemeClr w14:val="tx1"/>
            </w14:solidFill>
          </w14:textFill>
        </w:rPr>
        <w:t>12.8  初衬背后填充注浆</w:t>
      </w:r>
      <w:bookmarkEnd w:id="332"/>
      <w:bookmarkEnd w:id="333"/>
      <w:bookmarkEnd w:id="334"/>
      <w:bookmarkEnd w:id="335"/>
      <w:bookmarkEnd w:id="336"/>
      <w:bookmarkEnd w:id="337"/>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12.8.1 </w:t>
      </w:r>
      <w:r>
        <w:rPr>
          <w:rFonts w:hint="eastAsia" w:hAnsi="宋体"/>
          <w:color w:val="000000" w:themeColor="text1"/>
          <w:szCs w:val="21"/>
          <w14:textFill>
            <w14:solidFill>
              <w14:schemeClr w14:val="tx1"/>
            </w14:solidFill>
          </w14:textFill>
        </w:rPr>
        <w:t>初期支护背后填充注浆孔应沿隧道拱部及边墙梅花型布设。环向间距宜为1.5m~2.5m，纵向间距宜为 2.5m~3.5m，注浆深度宜为初期支护背后 0.5m，</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12.8.2 </w:t>
      </w:r>
      <w:r>
        <w:rPr>
          <w:rFonts w:hint="eastAsia" w:hAnsi="宋体"/>
          <w:color w:val="000000" w:themeColor="text1"/>
          <w:szCs w:val="21"/>
          <w14:textFill>
            <w14:solidFill>
              <w14:schemeClr w14:val="tx1"/>
            </w14:solidFill>
          </w14:textFill>
        </w:rPr>
        <w:t>注浆管宜采用钢管，应随钢架安装，与钢架焊接牢固。注浆管直径宜为25mm</w:t>
      </w:r>
      <w:r>
        <w:rPr>
          <w:rFonts w:hAnsi="宋体"/>
          <w:color w:val="000000" w:themeColor="text1"/>
          <w:szCs w:val="21"/>
          <w14:textFill>
            <w14:solidFill>
              <w14:schemeClr w14:val="tx1"/>
            </w14:solidFill>
          </w14:textFill>
        </w:rPr>
        <w:t>~</w:t>
      </w:r>
      <w:r>
        <w:rPr>
          <w:rFonts w:hint="eastAsia" w:hAnsi="宋体"/>
          <w:color w:val="000000" w:themeColor="text1"/>
          <w:szCs w:val="21"/>
          <w14:textFill>
            <w14:solidFill>
              <w14:schemeClr w14:val="tx1"/>
            </w14:solidFill>
          </w14:textFill>
        </w:rPr>
        <w:t>32mm，进入土层深度宜为300mm</w:t>
      </w:r>
      <w:r>
        <w:rPr>
          <w:rFonts w:hAnsi="宋体"/>
          <w:color w:val="000000" w:themeColor="text1"/>
          <w:szCs w:val="21"/>
          <w14:textFill>
            <w14:solidFill>
              <w14:schemeClr w14:val="tx1"/>
            </w14:solidFill>
          </w14:textFill>
        </w:rPr>
        <w:t>~</w:t>
      </w:r>
      <w:r>
        <w:rPr>
          <w:rFonts w:hint="eastAsia" w:hAnsi="宋体"/>
          <w:color w:val="000000" w:themeColor="text1"/>
          <w:szCs w:val="21"/>
          <w14:textFill>
            <w14:solidFill>
              <w14:schemeClr w14:val="tx1"/>
            </w14:solidFill>
          </w14:textFill>
        </w:rPr>
        <w:t>500mm，外露长度宜为150mm</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300mm</w:t>
      </w:r>
      <w:r>
        <w:rPr>
          <w:rFonts w:hint="eastAsia" w:hAnsi="宋体"/>
          <w:color w:val="000000" w:themeColor="text1"/>
          <w:szCs w:val="21"/>
          <w14:textFill>
            <w14:solidFill>
              <w14:schemeClr w14:val="tx1"/>
            </w14:solidFill>
          </w14:textFill>
        </w:rPr>
        <w:t>。当初期支护后背土质松散、出现坍塌、存在空洞时，应增加回填注浆管，长度根据现场情况确定，并对空洞处采用填泡沫砖、喷射混凝土方法进行初步填充。</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12.8.3 </w:t>
      </w:r>
      <w:r>
        <w:rPr>
          <w:rFonts w:hint="eastAsia" w:hAnsi="宋体"/>
          <w:color w:val="000000" w:themeColor="text1"/>
          <w:szCs w:val="21"/>
          <w14:textFill>
            <w14:solidFill>
              <w14:schemeClr w14:val="tx1"/>
            </w14:solidFill>
          </w14:textFill>
        </w:rPr>
        <w:t>初支背后填充注浆应跟随开挖工作面、在初期支护混凝土强度达到设计强度后及时进行。</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12.8.4 </w:t>
      </w:r>
      <w:r>
        <w:rPr>
          <w:rFonts w:hint="eastAsia" w:hAnsi="宋体"/>
          <w:color w:val="000000" w:themeColor="text1"/>
          <w:szCs w:val="21"/>
          <w14:textFill>
            <w14:solidFill>
              <w14:schemeClr w14:val="tx1"/>
            </w14:solidFill>
          </w14:textFill>
        </w:rPr>
        <w:t>回填注浆应饱满，应填充衬砌背后空隙，注浆压力、注浆量应符合设计要求。背后回填注浆压力宜为0.3MPa～0.5MPa，当注浆压力达到设计压力、恒压时间不少于10～15min，且不进浆时，方可结束注浆。</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12.8.5 </w:t>
      </w:r>
      <w:r>
        <w:rPr>
          <w:rFonts w:hint="eastAsia" w:hAnsi="宋体"/>
          <w:color w:val="000000" w:themeColor="text1"/>
          <w:szCs w:val="21"/>
          <w14:textFill>
            <w14:solidFill>
              <w14:schemeClr w14:val="tx1"/>
            </w14:solidFill>
          </w14:textFill>
        </w:rPr>
        <w:t>背后回填注浆材料和浆液配合比应符合设计要求，当设计未规定时，宜采用水泥浆液、水泥砂浆或掺有石灰、粘土、粉煤灰等水泥浆液等材料。</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12.8.6 </w:t>
      </w:r>
      <w:r>
        <w:rPr>
          <w:rFonts w:hint="eastAsia" w:hAnsi="宋体"/>
          <w:color w:val="000000" w:themeColor="text1"/>
          <w:szCs w:val="21"/>
          <w14:textFill>
            <w14:solidFill>
              <w14:schemeClr w14:val="tx1"/>
            </w14:solidFill>
          </w14:textFill>
        </w:rPr>
        <w:t>回填注浆应全线进行雷达监测，拱顶、侧墙土层无酥松、空洞为合格，当检查出现不合格时，应重新打孔注浆，直至检测合格。</w:t>
      </w: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p>
    <w:p>
      <w:pPr>
        <w:pageBreakBefore/>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338" w:name="_Toc23182"/>
      <w:bookmarkStart w:id="339" w:name="_Toc27108"/>
      <w:bookmarkStart w:id="340" w:name="_Toc21729"/>
      <w:bookmarkStart w:id="341" w:name="_Toc31728"/>
      <w:bookmarkStart w:id="342" w:name="_Toc20287"/>
      <w:bookmarkStart w:id="343" w:name="_Toc26572"/>
      <w:r>
        <w:rPr>
          <w:rFonts w:hint="eastAsia"/>
          <w:b/>
          <w:color w:val="000000" w:themeColor="text1"/>
          <w:sz w:val="28"/>
          <w:szCs w:val="28"/>
          <w14:textFill>
            <w14:solidFill>
              <w14:schemeClr w14:val="tx1"/>
            </w14:solidFill>
          </w14:textFill>
        </w:rPr>
        <w:t>13  二次衬砌</w:t>
      </w:r>
      <w:bookmarkEnd w:id="338"/>
      <w:bookmarkEnd w:id="339"/>
      <w:bookmarkEnd w:id="340"/>
      <w:bookmarkEnd w:id="341"/>
      <w:bookmarkEnd w:id="342"/>
      <w:bookmarkEnd w:id="343"/>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344" w:name="_Toc13307"/>
      <w:bookmarkStart w:id="345" w:name="_Toc1968"/>
      <w:bookmarkStart w:id="346" w:name="_Toc19008"/>
      <w:bookmarkStart w:id="347" w:name="_Toc8449"/>
      <w:bookmarkStart w:id="348" w:name="_Toc18898"/>
      <w:bookmarkStart w:id="349" w:name="_Toc2684"/>
      <w:r>
        <w:rPr>
          <w:rFonts w:hint="eastAsia" w:hAnsi="宋体"/>
          <w:b/>
          <w:color w:val="000000" w:themeColor="text1"/>
          <w:sz w:val="24"/>
          <w14:textFill>
            <w14:solidFill>
              <w14:schemeClr w14:val="tx1"/>
            </w14:solidFill>
          </w14:textFill>
        </w:rPr>
        <w:t>13.1  一般规定</w:t>
      </w:r>
      <w:bookmarkEnd w:id="344"/>
      <w:bookmarkEnd w:id="345"/>
      <w:bookmarkEnd w:id="346"/>
      <w:bookmarkEnd w:id="347"/>
      <w:bookmarkEnd w:id="348"/>
      <w:bookmarkEnd w:id="349"/>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13.1.1 </w:t>
      </w:r>
      <w:r>
        <w:rPr>
          <w:rFonts w:hint="eastAsia" w:hAnsi="宋体"/>
          <w:color w:val="000000" w:themeColor="text1"/>
          <w:szCs w:val="21"/>
          <w14:textFill>
            <w14:solidFill>
              <w14:schemeClr w14:val="tx1"/>
            </w14:solidFill>
          </w14:textFill>
        </w:rPr>
        <w:t>二次衬砌应在初期支护、防水验收合格，初期支护变形基本稳定后施工。</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13.1.2 </w:t>
      </w:r>
      <w:r>
        <w:rPr>
          <w:rFonts w:hint="eastAsia" w:hAnsi="宋体"/>
          <w:color w:val="000000" w:themeColor="text1"/>
          <w:szCs w:val="21"/>
          <w14:textFill>
            <w14:solidFill>
              <w14:schemeClr w14:val="tx1"/>
            </w14:solidFill>
          </w14:textFill>
        </w:rPr>
        <w:t>二次衬砌施工</w:t>
      </w:r>
      <w:r>
        <w:rPr>
          <w:rFonts w:hint="eastAsia" w:ascii="宋体" w:hAnsi="宋体" w:cstheme="minorEastAsia"/>
          <w:color w:val="000000" w:themeColor="text1"/>
          <w:kern w:val="0"/>
          <w:szCs w:val="21"/>
          <w14:textFill>
            <w14:solidFill>
              <w14:schemeClr w14:val="tx1"/>
            </w14:solidFill>
          </w14:textFill>
        </w:rPr>
        <w:t>初期支护变形</w:t>
      </w:r>
      <w:r>
        <w:rPr>
          <w:rFonts w:hint="eastAsia" w:hAnsi="宋体"/>
          <w:color w:val="000000" w:themeColor="text1"/>
          <w:szCs w:val="21"/>
          <w14:textFill>
            <w14:solidFill>
              <w14:schemeClr w14:val="tx1"/>
            </w14:solidFill>
          </w14:textFill>
        </w:rPr>
        <w:t>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1</w:t>
      </w:r>
      <w:r>
        <w:rPr>
          <w:rFonts w:hint="eastAsia" w:ascii="宋体" w:hAnsi="宋体" w:cstheme="minorEastAsia"/>
          <w:color w:val="000000" w:themeColor="text1"/>
          <w:kern w:val="0"/>
          <w:szCs w:val="21"/>
          <w14:textFill>
            <w14:solidFill>
              <w14:schemeClr w14:val="tx1"/>
            </w14:solidFill>
          </w14:textFill>
        </w:rPr>
        <w:t xml:space="preserve"> 初期支护周边收敛速度有明显减缓趋势。</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ascii="宋体" w:hAnsi="宋体" w:cstheme="minorEastAsia"/>
          <w:color w:val="000000" w:themeColor="text1"/>
          <w:kern w:val="0"/>
          <w:szCs w:val="21"/>
          <w14:textFill>
            <w14:solidFill>
              <w14:schemeClr w14:val="tx1"/>
            </w14:solidFill>
          </w14:textFill>
        </w:rPr>
        <w:t xml:space="preserve"> 收敛速度小于0.15mm/d，拱顶下沉速度小于0.1mm/d。</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theme="minorEastAsia"/>
          <w:color w:val="000000" w:themeColor="text1"/>
          <w:kern w:val="0"/>
          <w:szCs w:val="21"/>
          <w14:textFill>
            <w14:solidFill>
              <w14:schemeClr w14:val="tx1"/>
            </w14:solidFill>
          </w14:textFill>
        </w:rPr>
        <w:t>累计收敛量已达总收敛量的80％。</w:t>
      </w: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13.1.3 </w:t>
      </w:r>
      <w:r>
        <w:rPr>
          <w:rFonts w:hint="eastAsia" w:hAnsi="宋体" w:cstheme="minorEastAsia"/>
          <w:color w:val="000000" w:themeColor="text1"/>
          <w:sz w:val="21"/>
          <w:szCs w:val="21"/>
          <w14:textFill>
            <w14:solidFill>
              <w14:schemeClr w14:val="tx1"/>
            </w14:solidFill>
          </w14:textFill>
        </w:rPr>
        <w:t>二次衬砌施工部位、长度应与初期支护支撑拆除相协调，体系转化过程中应做好监控测量，保证结构整体稳定。</w:t>
      </w: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13.1.4 </w:t>
      </w:r>
      <w:r>
        <w:rPr>
          <w:rFonts w:hint="eastAsia" w:hAnsi="宋体" w:cstheme="minorEastAsia"/>
          <w:color w:val="000000" w:themeColor="text1"/>
          <w:sz w:val="21"/>
          <w:szCs w:val="21"/>
          <w14:textFill>
            <w14:solidFill>
              <w14:schemeClr w14:val="tx1"/>
            </w14:solidFill>
          </w14:textFill>
        </w:rPr>
        <w:t>二次衬砌结构施工应符合现行国家标准《钢筋混凝土结构施工标准》GB50204的规定。</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350" w:name="_Toc6559"/>
      <w:bookmarkStart w:id="351" w:name="_Toc19183"/>
      <w:bookmarkStart w:id="352" w:name="_Toc18093"/>
      <w:bookmarkStart w:id="353" w:name="_Toc16748"/>
      <w:bookmarkStart w:id="354" w:name="_Toc28653"/>
      <w:bookmarkStart w:id="355" w:name="_Toc703"/>
      <w:r>
        <w:rPr>
          <w:rFonts w:hint="eastAsia" w:hAnsi="宋体"/>
          <w:b/>
          <w:color w:val="000000" w:themeColor="text1"/>
          <w:sz w:val="24"/>
          <w14:textFill>
            <w14:solidFill>
              <w14:schemeClr w14:val="tx1"/>
            </w14:solidFill>
          </w14:textFill>
        </w:rPr>
        <w:t>13.2  模板及支架</w:t>
      </w:r>
      <w:bookmarkEnd w:id="350"/>
      <w:bookmarkEnd w:id="351"/>
      <w:bookmarkEnd w:id="352"/>
      <w:bookmarkEnd w:id="353"/>
      <w:bookmarkEnd w:id="354"/>
      <w:bookmarkEnd w:id="355"/>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13.2.1 </w:t>
      </w:r>
      <w:r>
        <w:rPr>
          <w:rFonts w:hint="eastAsia" w:hAnsi="宋体"/>
          <w:color w:val="000000" w:themeColor="text1"/>
          <w:szCs w:val="21"/>
          <w14:textFill>
            <w14:solidFill>
              <w14:schemeClr w14:val="tx1"/>
            </w14:solidFill>
          </w14:textFill>
        </w:rPr>
        <w:t>模板、支架和拱架应应有足够的强度、刚度和稳定性，应按可能的荷载组合进行设计和验算，变形值应符合规范和设计要求。</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13.2.2 </w:t>
      </w:r>
      <w:r>
        <w:rPr>
          <w:rFonts w:hint="eastAsia" w:hAnsi="宋体"/>
          <w:color w:val="000000" w:themeColor="text1"/>
          <w:szCs w:val="21"/>
          <w14:textFill>
            <w14:solidFill>
              <w14:schemeClr w14:val="tx1"/>
            </w14:solidFill>
          </w14:textFill>
        </w:rPr>
        <w:t>模板设计应符合下列规定：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1</w:t>
      </w:r>
      <w:r>
        <w:rPr>
          <w:rFonts w:hint="eastAsia" w:ascii="宋体" w:hAnsi="宋体" w:cstheme="minorEastAsia"/>
          <w:color w:val="000000" w:themeColor="text1"/>
          <w:kern w:val="0"/>
          <w:szCs w:val="21"/>
          <w14:textFill>
            <w14:solidFill>
              <w14:schemeClr w14:val="tx1"/>
            </w14:solidFill>
          </w14:textFill>
        </w:rPr>
        <w:t xml:space="preserve"> 模板和支架应能可靠地承受钢筋混凝土结构及施工荷载，保证结构形状、位置和尺寸正确； </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ascii="宋体" w:hAnsi="宋体" w:cstheme="minorEastAsia"/>
          <w:color w:val="000000" w:themeColor="text1"/>
          <w:kern w:val="0"/>
          <w:szCs w:val="21"/>
          <w14:textFill>
            <w14:solidFill>
              <w14:schemeClr w14:val="tx1"/>
            </w14:solidFill>
          </w14:textFill>
        </w:rPr>
        <w:t xml:space="preserve"> 应构造简单，施工方便，装拆灵活，利于搬运，满足钢筋安装、混凝土灌注等施工要求；</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theme="minorEastAsia"/>
          <w:color w:val="000000" w:themeColor="text1"/>
          <w:kern w:val="0"/>
          <w:szCs w:val="21"/>
          <w14:textFill>
            <w14:solidFill>
              <w14:schemeClr w14:val="tx1"/>
            </w14:solidFill>
          </w14:textFill>
        </w:rPr>
        <w:t>墙、柱（钢管柱除外）模板应合理预留吹扫口和振捣窗。</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13.2.3 </w:t>
      </w:r>
      <w:r>
        <w:rPr>
          <w:rFonts w:hint="eastAsia" w:hAnsi="宋体"/>
          <w:color w:val="000000" w:themeColor="text1"/>
          <w:szCs w:val="21"/>
          <w14:textFill>
            <w14:solidFill>
              <w14:schemeClr w14:val="tx1"/>
            </w14:solidFill>
          </w14:textFill>
        </w:rPr>
        <w:t>模板支护应符合下列规定：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1</w:t>
      </w:r>
      <w:r>
        <w:rPr>
          <w:rFonts w:hint="eastAsia" w:ascii="宋体" w:hAnsi="宋体" w:cstheme="minorEastAsia"/>
          <w:color w:val="000000" w:themeColor="text1"/>
          <w:kern w:val="0"/>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安装前</w:t>
      </w:r>
      <w:r>
        <w:rPr>
          <w:rFonts w:hint="eastAsia" w:ascii="宋体" w:hAnsi="宋体" w:cstheme="minorEastAsia"/>
          <w:color w:val="000000" w:themeColor="text1"/>
          <w:kern w:val="0"/>
          <w:szCs w:val="21"/>
          <w14:textFill>
            <w14:solidFill>
              <w14:schemeClr w14:val="tx1"/>
            </w14:solidFill>
          </w14:textFill>
        </w:rPr>
        <w:t>模板表面应清理干净并涂刷隔离剂，隔离剂涂刷应均匀，不应污染混凝土和钢筋；</w:t>
      </w:r>
    </w:p>
    <w:p>
      <w:pPr>
        <w:pStyle w:val="22"/>
        <w:tabs>
          <w:tab w:val="left" w:pos="851"/>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ascii="宋体" w:hAnsi="宋体" w:cstheme="minorEastAsia"/>
          <w:color w:val="000000" w:themeColor="text1"/>
          <w:kern w:val="0"/>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模板拼装应平整，接缝严密不漏浆，相邻两块模板接缝高低差不应大于2mm；</w:t>
      </w:r>
    </w:p>
    <w:p>
      <w:pPr>
        <w:spacing w:line="360" w:lineRule="auto"/>
        <w:ind w:firstLine="422" w:firstLineChars="200"/>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ascii="宋体" w:hAnsi="宋体" w:cstheme="minorEastAsia"/>
          <w:color w:val="000000" w:themeColor="text1"/>
          <w:kern w:val="0"/>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支架系统应连接牢固、整体稳定；钢拱架间距应符合设计要求，与模板连接牢固；</w:t>
      </w:r>
    </w:p>
    <w:p>
      <w:pPr>
        <w:spacing w:line="360" w:lineRule="auto"/>
        <w:ind w:firstLine="422" w:firstLineChars="200"/>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4</w:t>
      </w:r>
      <w:r>
        <w:rPr>
          <w:rFonts w:hint="eastAsia" w:ascii="宋体" w:hAnsi="宋体" w:cstheme="minorEastAsia"/>
          <w:color w:val="000000" w:themeColor="text1"/>
          <w:kern w:val="0"/>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拱部模板宜预留沉落量10mm～30mm，其高程允许偏差为0～10 mm；</w:t>
      </w:r>
    </w:p>
    <w:p>
      <w:pPr>
        <w:spacing w:line="360" w:lineRule="auto"/>
        <w:ind w:firstLine="422" w:firstLineChars="200"/>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5</w:t>
      </w:r>
      <w:r>
        <w:rPr>
          <w:rFonts w:hint="eastAsia" w:ascii="宋体" w:hAnsi="宋体" w:cstheme="minorEastAsia"/>
          <w:color w:val="000000" w:themeColor="text1"/>
          <w:kern w:val="0"/>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混凝土灌注口及振捣窗应设置在拱部和边墙模板适宜位置，安装牢固；</w:t>
      </w:r>
    </w:p>
    <w:p>
      <w:pPr>
        <w:pStyle w:val="22"/>
        <w:tabs>
          <w:tab w:val="left" w:pos="851"/>
        </w:tabs>
        <w:snapToGrid w:val="0"/>
        <w:spacing w:line="360" w:lineRule="auto"/>
        <w:ind w:firstLine="422"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6</w:t>
      </w:r>
      <w:r>
        <w:rPr>
          <w:rFonts w:hint="eastAsia" w:ascii="宋体" w:hAnsi="宋体" w:cstheme="minorEastAsia"/>
          <w:color w:val="000000" w:themeColor="text1"/>
          <w:kern w:val="0"/>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模板安装允许偏差为：高程+10，—20mm；宽度以中线为基准，±20mm。</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13.2.4 </w:t>
      </w:r>
      <w:r>
        <w:rPr>
          <w:rFonts w:hint="eastAsia" w:ascii="宋体" w:hAnsi="宋体" w:cstheme="minorEastAsia"/>
          <w:color w:val="000000" w:themeColor="text1"/>
          <w:kern w:val="0"/>
          <w:szCs w:val="21"/>
          <w14:textFill>
            <w14:solidFill>
              <w14:schemeClr w14:val="tx1"/>
            </w14:solidFill>
          </w14:textFill>
        </w:rPr>
        <w:t>变形缝及施工缝模板支护</w:t>
      </w:r>
      <w:r>
        <w:rPr>
          <w:rFonts w:hint="eastAsia" w:hAnsi="宋体"/>
          <w:color w:val="000000" w:themeColor="text1"/>
          <w:szCs w:val="21"/>
          <w14:textFill>
            <w14:solidFill>
              <w14:schemeClr w14:val="tx1"/>
            </w14:solidFill>
          </w14:textFill>
        </w:rPr>
        <w:t>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1</w:t>
      </w:r>
      <w:r>
        <w:rPr>
          <w:rFonts w:hint="eastAsia" w:ascii="宋体" w:hAnsi="宋体" w:cstheme="minorEastAsia"/>
          <w:color w:val="000000" w:themeColor="text1"/>
          <w:kern w:val="0"/>
          <w:szCs w:val="21"/>
          <w14:textFill>
            <w14:solidFill>
              <w14:schemeClr w14:val="tx1"/>
            </w14:solidFill>
          </w14:textFill>
        </w:rPr>
        <w:t xml:space="preserve"> 变形缝及垂直施工缝的端头模板应垂直，支搭牢固，与初期支护间的缝隙应嵌堵严密；</w:t>
      </w:r>
    </w:p>
    <w:p>
      <w:pPr>
        <w:pStyle w:val="22"/>
        <w:tabs>
          <w:tab w:val="left" w:pos="851"/>
        </w:tabs>
        <w:snapToGrid w:val="0"/>
        <w:spacing w:line="360" w:lineRule="auto"/>
        <w:ind w:firstLine="422" w:firstLineChars="0"/>
        <w:jc w:val="left"/>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ascii="宋体" w:hAnsi="宋体" w:cstheme="minorEastAsia"/>
          <w:color w:val="000000" w:themeColor="text1"/>
          <w:kern w:val="0"/>
          <w:szCs w:val="21"/>
          <w14:textFill>
            <w14:solidFill>
              <w14:schemeClr w14:val="tx1"/>
            </w14:solidFill>
          </w14:textFill>
        </w:rPr>
        <w:t xml:space="preserve"> 变形缝端头的填缝板中心应与初期支护变形缝中心重合；</w:t>
      </w:r>
    </w:p>
    <w:p>
      <w:pPr>
        <w:pStyle w:val="22"/>
        <w:tabs>
          <w:tab w:val="left" w:pos="851"/>
        </w:tabs>
        <w:snapToGrid w:val="0"/>
        <w:spacing w:line="360" w:lineRule="auto"/>
        <w:ind w:firstLine="422"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ascii="宋体" w:hAnsi="宋体" w:cstheme="minorEastAsia"/>
          <w:color w:val="000000" w:themeColor="text1"/>
          <w:kern w:val="0"/>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变形缝处的端头模板应钉填缝板，填缝板与嵌入式止水带中心线应和变形缝中心线重合，并用模板固定牢固。止水带不得穿孔或用铁钉固定。端头模板支护允许误差为：平面位置±10mm，垂直度 2‰，直顺度不得大于 1‰。</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13.2.5 </w:t>
      </w:r>
      <w:r>
        <w:rPr>
          <w:rFonts w:hint="eastAsia" w:hAnsi="宋体"/>
          <w:color w:val="000000" w:themeColor="text1"/>
          <w:szCs w:val="21"/>
          <w14:textFill>
            <w14:solidFill>
              <w14:schemeClr w14:val="tx1"/>
            </w14:solidFill>
          </w14:textFill>
        </w:rPr>
        <w:t>多层现浇混凝士结构满堂支架应符合施工方案的规定。上下层模板支架的立杆应对准，立杆底部应设置垫板。</w:t>
      </w:r>
    </w:p>
    <w:p>
      <w:pPr>
        <w:spacing w:line="360" w:lineRule="auto"/>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13.2.6 </w:t>
      </w:r>
      <w:r>
        <w:rPr>
          <w:rFonts w:hint="eastAsia" w:hAnsi="宋体"/>
          <w:color w:val="000000" w:themeColor="text1"/>
          <w:szCs w:val="21"/>
          <w14:textFill>
            <w14:solidFill>
              <w14:schemeClr w14:val="tx1"/>
            </w14:solidFill>
          </w14:textFill>
        </w:rPr>
        <w:t>底板结构先贴防水层的保护墙应支撑牢固，结构梗斜和底梁模板位置应正确、牢固、平整。</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13.2.7 </w:t>
      </w:r>
      <w:r>
        <w:rPr>
          <w:rFonts w:hint="eastAsia" w:hAnsi="宋体"/>
          <w:color w:val="000000" w:themeColor="text1"/>
          <w:szCs w:val="21"/>
          <w14:textFill>
            <w14:solidFill>
              <w14:schemeClr w14:val="tx1"/>
            </w14:solidFill>
          </w14:textFill>
        </w:rPr>
        <w:t>顶板结构预留沉落量宜为 10～30mm，顶板结构模板允许误差为：设计高程加预留沉落量+10～0 mm；中线±10mm；宽度+15，-10 mm。</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13.2.8 </w:t>
      </w:r>
      <w:r>
        <w:rPr>
          <w:rFonts w:hint="eastAsia" w:hAnsi="宋体"/>
          <w:color w:val="000000" w:themeColor="text1"/>
          <w:szCs w:val="21"/>
          <w14:textFill>
            <w14:solidFill>
              <w14:schemeClr w14:val="tx1"/>
            </w14:solidFill>
          </w14:textFill>
        </w:rPr>
        <w:t>墙体结构应根据放线位置分层支立模板，卓梁模板体系的锚固螺栓应事先在底板埋设。内模板与顶模板连接并调整合格后方可固定。模板支立允许偏差为：垂直度 2‰；平面位置±10mm。</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13.2.9 </w:t>
      </w:r>
      <w:r>
        <w:rPr>
          <w:rFonts w:hint="eastAsia" w:hAnsi="宋体"/>
          <w:color w:val="000000" w:themeColor="text1"/>
          <w:szCs w:val="21"/>
          <w14:textFill>
            <w14:solidFill>
              <w14:schemeClr w14:val="tx1"/>
            </w14:solidFill>
          </w14:textFill>
        </w:rPr>
        <w:t>暗挖车站逆作法墙体结构施工缝模板应符合现行国家标准《建筑工程逆作法技术标准》JGJ432的规定。</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13.2.10 </w:t>
      </w:r>
      <w:r>
        <w:rPr>
          <w:rFonts w:hint="eastAsia" w:hAnsi="宋体"/>
          <w:color w:val="000000" w:themeColor="text1"/>
          <w:szCs w:val="21"/>
          <w14:textFill>
            <w14:solidFill>
              <w14:schemeClr w14:val="tx1"/>
            </w14:solidFill>
          </w14:textFill>
        </w:rPr>
        <w:t>后浇带模板支护应单独设置，拆除和支顶应符合施工技术方案的要求。</w:t>
      </w:r>
    </w:p>
    <w:p>
      <w:pPr>
        <w:pStyle w:val="22"/>
        <w:tabs>
          <w:tab w:val="left" w:pos="851"/>
        </w:tabs>
        <w:snapToGrid w:val="0"/>
        <w:spacing w:line="360" w:lineRule="auto"/>
        <w:ind w:firstLine="0" w:firstLineChars="0"/>
        <w:jc w:val="left"/>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13.2.11 </w:t>
      </w:r>
      <w:r>
        <w:rPr>
          <w:rFonts w:hint="eastAsia" w:hAnsi="宋体"/>
          <w:color w:val="000000" w:themeColor="text1"/>
          <w:szCs w:val="21"/>
          <w14:textFill>
            <w14:solidFill>
              <w14:schemeClr w14:val="tx1"/>
            </w14:solidFill>
          </w14:textFill>
        </w:rPr>
        <w:t>模板和支架拆除应按先支后拆原则进行；拆除过程中不得损坏已有结构。</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13.2.12 </w:t>
      </w:r>
      <w:r>
        <w:rPr>
          <w:rFonts w:hint="eastAsia" w:hAnsi="宋体"/>
          <w:color w:val="000000" w:themeColor="text1"/>
          <w:szCs w:val="21"/>
          <w14:textFill>
            <w14:solidFill>
              <w14:schemeClr w14:val="tx1"/>
            </w14:solidFill>
          </w14:textFill>
        </w:rPr>
        <w:t>底模及其支架拆除时的混凝土强度应符合设计要求；当设计无具体要求时，混凝土强度应符合表</w:t>
      </w:r>
      <w:r>
        <w:rPr>
          <w:rFonts w:hint="eastAsia" w:hAnsi="宋体"/>
          <w:b/>
          <w:bCs/>
          <w:color w:val="000000" w:themeColor="text1"/>
          <w:szCs w:val="21"/>
          <w14:textFill>
            <w14:solidFill>
              <w14:schemeClr w14:val="tx1"/>
            </w14:solidFill>
          </w14:textFill>
        </w:rPr>
        <w:t>13.2.12</w:t>
      </w:r>
      <w:r>
        <w:rPr>
          <w:rFonts w:hint="eastAsia" w:hAnsi="宋体"/>
          <w:color w:val="000000" w:themeColor="text1"/>
          <w:szCs w:val="21"/>
          <w14:textFill>
            <w14:solidFill>
              <w14:schemeClr w14:val="tx1"/>
            </w14:solidFill>
          </w14:textFill>
        </w:rPr>
        <w:t>的规定。侧模拆除时的混凝土强度应能保证其表面及棱角不受损伤。</w:t>
      </w:r>
    </w:p>
    <w:p>
      <w:pPr>
        <w:pStyle w:val="22"/>
        <w:snapToGrid w:val="0"/>
        <w:spacing w:line="360" w:lineRule="auto"/>
        <w:ind w:firstLine="0" w:firstLineChars="0"/>
        <w:jc w:val="center"/>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 xml:space="preserve">表 </w:t>
      </w:r>
      <w:r>
        <w:rPr>
          <w:rFonts w:hint="eastAsia" w:hAnsi="宋体"/>
          <w:b/>
          <w:bCs/>
          <w:color w:val="000000" w:themeColor="text1"/>
          <w:szCs w:val="21"/>
          <w14:textFill>
            <w14:solidFill>
              <w14:schemeClr w14:val="tx1"/>
            </w14:solidFill>
          </w14:textFill>
        </w:rPr>
        <w:t xml:space="preserve">13.2.12 </w:t>
      </w:r>
      <w:r>
        <w:rPr>
          <w:rFonts w:hint="eastAsia" w:ascii="宋体" w:hAnsi="宋体"/>
          <w:color w:val="000000" w:themeColor="text1"/>
          <w14:textFill>
            <w14:solidFill>
              <w14:schemeClr w14:val="tx1"/>
            </w14:solidFill>
          </w14:textFill>
        </w:rPr>
        <w:t xml:space="preserve"> 底模拆除时的混凝土强度要求</w:t>
      </w:r>
    </w:p>
    <w:tbl>
      <w:tblPr>
        <w:tblStyle w:val="12"/>
        <w:tblpPr w:leftFromText="180" w:rightFromText="180" w:vertAnchor="text" w:horzAnchor="margin" w:tblpY="142"/>
        <w:tblW w:w="8794"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17"/>
        <w:gridCol w:w="1905"/>
        <w:gridCol w:w="547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417" w:type="dxa"/>
            <w:tcBorders>
              <w:top w:val="single" w:color="000000" w:sz="4" w:space="0"/>
              <w:left w:val="single" w:color="000000" w:sz="4" w:space="0"/>
              <w:bottom w:val="single" w:color="000000" w:sz="4" w:space="0"/>
              <w:right w:val="single" w:color="000000" w:sz="4" w:space="0"/>
            </w:tcBorders>
          </w:tcPr>
          <w:p>
            <w:pPr>
              <w:pStyle w:val="23"/>
              <w:spacing w:line="320" w:lineRule="exact"/>
              <w:ind w:left="279" w:right="271"/>
              <w:jc w:val="center"/>
              <w:rPr>
                <w:rFonts w:ascii="宋体" w:hAnsi="宋体"/>
                <w:color w:val="000000" w:themeColor="text1"/>
                <w:szCs w:val="21"/>
                <w14:textFill>
                  <w14:solidFill>
                    <w14:schemeClr w14:val="tx1"/>
                  </w14:solidFill>
                </w14:textFill>
              </w:rPr>
            </w:pPr>
            <w:r>
              <w:rPr>
                <w:rFonts w:ascii="宋体" w:hAnsi="宋体"/>
                <w:color w:val="000000" w:themeColor="text1"/>
                <w:szCs w:val="21"/>
                <w14:textFill>
                  <w14:solidFill>
                    <w14:schemeClr w14:val="tx1"/>
                  </w14:solidFill>
                </w14:textFill>
              </w:rPr>
              <w:t>构件类型</w:t>
            </w:r>
          </w:p>
        </w:tc>
        <w:tc>
          <w:tcPr>
            <w:tcW w:w="1905" w:type="dxa"/>
            <w:tcBorders>
              <w:top w:val="single" w:color="000000" w:sz="4" w:space="0"/>
              <w:left w:val="nil"/>
              <w:bottom w:val="single" w:color="000000" w:sz="4" w:space="0"/>
              <w:right w:val="single" w:color="000000" w:sz="4" w:space="0"/>
            </w:tcBorders>
          </w:tcPr>
          <w:p>
            <w:pPr>
              <w:pStyle w:val="23"/>
              <w:spacing w:line="320" w:lineRule="exact"/>
              <w:jc w:val="center"/>
              <w:rPr>
                <w:rFonts w:ascii="宋体" w:hAnsi="宋体"/>
                <w:color w:val="000000" w:themeColor="text1"/>
                <w:szCs w:val="21"/>
                <w14:textFill>
                  <w14:solidFill>
                    <w14:schemeClr w14:val="tx1"/>
                  </w14:solidFill>
                </w14:textFill>
              </w:rPr>
            </w:pPr>
            <w:r>
              <w:rPr>
                <w:rFonts w:ascii="宋体" w:hAnsi="宋体"/>
                <w:color w:val="000000" w:themeColor="text1"/>
                <w:szCs w:val="21"/>
                <w14:textFill>
                  <w14:solidFill>
                    <w14:schemeClr w14:val="tx1"/>
                  </w14:solidFill>
                </w14:textFill>
              </w:rPr>
              <w:t>构件跨度</w:t>
            </w:r>
          </w:p>
          <w:p>
            <w:pPr>
              <w:pStyle w:val="23"/>
              <w:spacing w:line="320" w:lineRule="exact"/>
              <w:jc w:val="center"/>
              <w:rPr>
                <w:rFonts w:ascii="宋体" w:hAnsi="宋体"/>
                <w:color w:val="000000" w:themeColor="text1"/>
                <w:szCs w:val="21"/>
                <w14:textFill>
                  <w14:solidFill>
                    <w14:schemeClr w14:val="tx1"/>
                  </w14:solidFill>
                </w14:textFill>
              </w:rPr>
            </w:pPr>
            <w:r>
              <w:rPr>
                <w:rFonts w:ascii="宋体" w:hAnsi="宋体"/>
                <w:color w:val="000000" w:themeColor="text1"/>
                <w:szCs w:val="21"/>
                <w14:textFill>
                  <w14:solidFill>
                    <w14:schemeClr w14:val="tx1"/>
                  </w14:solidFill>
                </w14:textFill>
              </w:rPr>
              <w:t>（m）</w:t>
            </w:r>
          </w:p>
        </w:tc>
        <w:tc>
          <w:tcPr>
            <w:tcW w:w="5472" w:type="dxa"/>
            <w:tcBorders>
              <w:top w:val="single" w:color="000000" w:sz="4" w:space="0"/>
              <w:left w:val="nil"/>
              <w:bottom w:val="single" w:color="000000" w:sz="4" w:space="0"/>
              <w:right w:val="single" w:color="000000" w:sz="4" w:space="0"/>
            </w:tcBorders>
          </w:tcPr>
          <w:p>
            <w:pPr>
              <w:pStyle w:val="23"/>
              <w:spacing w:line="320" w:lineRule="exact"/>
              <w:ind w:left="375" w:right="367"/>
              <w:jc w:val="center"/>
              <w:rPr>
                <w:rFonts w:ascii="宋体" w:hAnsi="宋体"/>
                <w:color w:val="000000" w:themeColor="text1"/>
                <w:szCs w:val="21"/>
                <w:lang w:eastAsia="zh-CN"/>
                <w14:textFill>
                  <w14:solidFill>
                    <w14:schemeClr w14:val="tx1"/>
                  </w14:solidFill>
                </w14:textFill>
              </w:rPr>
            </w:pPr>
            <w:r>
              <w:rPr>
                <w:rFonts w:ascii="宋体" w:hAnsi="宋体"/>
                <w:color w:val="000000" w:themeColor="text1"/>
                <w:szCs w:val="21"/>
                <w:lang w:eastAsia="zh-CN"/>
                <w14:textFill>
                  <w14:solidFill>
                    <w14:schemeClr w14:val="tx1"/>
                  </w14:solidFill>
                </w14:textFill>
              </w:rPr>
              <w:t>达到设计的混凝土立方体抗压强度标准值的百分率（%）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9" w:hRule="atLeast"/>
        </w:trPr>
        <w:tc>
          <w:tcPr>
            <w:tcW w:w="1417" w:type="dxa"/>
            <w:vMerge w:val="restart"/>
            <w:tcBorders>
              <w:top w:val="nil"/>
              <w:left w:val="single" w:color="000000" w:sz="4" w:space="0"/>
              <w:bottom w:val="single" w:color="000000" w:sz="4" w:space="0"/>
              <w:right w:val="single" w:color="000000" w:sz="4" w:space="0"/>
            </w:tcBorders>
          </w:tcPr>
          <w:p>
            <w:pPr>
              <w:pStyle w:val="23"/>
              <w:spacing w:before="78"/>
              <w:rPr>
                <w:rFonts w:ascii="宋体" w:hAnsi="宋体"/>
                <w:color w:val="000000" w:themeColor="text1"/>
                <w:szCs w:val="21"/>
                <w:lang w:eastAsia="zh-CN"/>
                <w14:textFill>
                  <w14:solidFill>
                    <w14:schemeClr w14:val="tx1"/>
                  </w14:solidFill>
                </w14:textFill>
              </w:rPr>
            </w:pPr>
          </w:p>
          <w:p>
            <w:pPr>
              <w:pStyle w:val="23"/>
              <w:ind w:left="8"/>
              <w:jc w:val="center"/>
              <w:rPr>
                <w:rFonts w:ascii="宋体" w:hAnsi="宋体"/>
                <w:color w:val="000000" w:themeColor="text1"/>
                <w:szCs w:val="21"/>
                <w14:textFill>
                  <w14:solidFill>
                    <w14:schemeClr w14:val="tx1"/>
                  </w14:solidFill>
                </w14:textFill>
              </w:rPr>
            </w:pPr>
            <w:r>
              <w:rPr>
                <w:rFonts w:ascii="宋体" w:hAnsi="宋体"/>
                <w:color w:val="000000" w:themeColor="text1"/>
                <w:szCs w:val="21"/>
                <w14:textFill>
                  <w14:solidFill>
                    <w14:schemeClr w14:val="tx1"/>
                  </w14:solidFill>
                </w14:textFill>
              </w:rPr>
              <w:t>板</w:t>
            </w:r>
          </w:p>
        </w:tc>
        <w:tc>
          <w:tcPr>
            <w:tcW w:w="1905" w:type="dxa"/>
            <w:tcBorders>
              <w:top w:val="single" w:color="000000" w:sz="4" w:space="0"/>
              <w:left w:val="nil"/>
              <w:bottom w:val="single" w:color="000000" w:sz="4" w:space="0"/>
              <w:right w:val="single" w:color="000000" w:sz="4" w:space="0"/>
            </w:tcBorders>
          </w:tcPr>
          <w:p>
            <w:pPr>
              <w:pStyle w:val="23"/>
              <w:spacing w:line="319" w:lineRule="exact"/>
              <w:ind w:left="615" w:right="607"/>
              <w:jc w:val="center"/>
              <w:rPr>
                <w:rFonts w:ascii="宋体" w:hAnsi="宋体"/>
                <w:color w:val="000000" w:themeColor="text1"/>
                <w:szCs w:val="21"/>
                <w14:textFill>
                  <w14:solidFill>
                    <w14:schemeClr w14:val="tx1"/>
                  </w14:solidFill>
                </w14:textFill>
              </w:rPr>
            </w:pPr>
            <w:r>
              <w:rPr>
                <w:rFonts w:ascii="宋体" w:hAnsi="宋体"/>
                <w:color w:val="000000" w:themeColor="text1"/>
                <w:szCs w:val="21"/>
                <w14:textFill>
                  <w14:solidFill>
                    <w14:schemeClr w14:val="tx1"/>
                  </w14:solidFill>
                </w14:textFill>
              </w:rPr>
              <w:t>≤2</w:t>
            </w:r>
          </w:p>
        </w:tc>
        <w:tc>
          <w:tcPr>
            <w:tcW w:w="5472" w:type="dxa"/>
            <w:tcBorders>
              <w:top w:val="single" w:color="000000" w:sz="4" w:space="0"/>
              <w:left w:val="nil"/>
              <w:bottom w:val="single" w:color="000000" w:sz="4" w:space="0"/>
              <w:right w:val="single" w:color="000000" w:sz="4" w:space="0"/>
            </w:tcBorders>
          </w:tcPr>
          <w:p>
            <w:pPr>
              <w:pStyle w:val="23"/>
              <w:spacing w:line="319" w:lineRule="exact"/>
              <w:ind w:left="375" w:right="366"/>
              <w:jc w:val="center"/>
              <w:rPr>
                <w:rFonts w:ascii="宋体" w:hAnsi="宋体"/>
                <w:color w:val="000000" w:themeColor="text1"/>
                <w:szCs w:val="21"/>
                <w14:textFill>
                  <w14:solidFill>
                    <w14:schemeClr w14:val="tx1"/>
                  </w14:solidFill>
                </w14:textFill>
              </w:rPr>
            </w:pPr>
            <w:r>
              <w:rPr>
                <w:rFonts w:ascii="宋体" w:hAnsi="宋体"/>
                <w:color w:val="000000" w:themeColor="text1"/>
                <w:szCs w:val="21"/>
                <w14:textFill>
                  <w14:solidFill>
                    <w14:schemeClr w14:val="tx1"/>
                  </w14:solidFill>
                </w14:textFill>
              </w:rPr>
              <w:t>≥50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417" w:type="dxa"/>
            <w:vMerge w:val="continue"/>
            <w:tcBorders>
              <w:top w:val="nil"/>
              <w:left w:val="single" w:color="000000" w:sz="4" w:space="0"/>
              <w:bottom w:val="single" w:color="000000" w:sz="4" w:space="0"/>
              <w:right w:val="single" w:color="000000" w:sz="4" w:space="0"/>
            </w:tcBorders>
            <w:vAlign w:val="center"/>
          </w:tcPr>
          <w:p>
            <w:pPr>
              <w:widowControl/>
              <w:rPr>
                <w:rFonts w:ascii="宋体" w:hAnsi="宋体"/>
                <w:color w:val="000000" w:themeColor="text1"/>
                <w14:textFill>
                  <w14:solidFill>
                    <w14:schemeClr w14:val="tx1"/>
                  </w14:solidFill>
                </w14:textFill>
              </w:rPr>
            </w:pPr>
          </w:p>
        </w:tc>
        <w:tc>
          <w:tcPr>
            <w:tcW w:w="1905" w:type="dxa"/>
            <w:tcBorders>
              <w:top w:val="single" w:color="000000" w:sz="4" w:space="0"/>
              <w:left w:val="nil"/>
              <w:bottom w:val="single" w:color="000000" w:sz="4" w:space="0"/>
              <w:right w:val="single" w:color="000000" w:sz="4" w:space="0"/>
            </w:tcBorders>
          </w:tcPr>
          <w:p>
            <w:pPr>
              <w:pStyle w:val="23"/>
              <w:spacing w:line="320" w:lineRule="exact"/>
              <w:ind w:left="615" w:right="605"/>
              <w:jc w:val="center"/>
              <w:rPr>
                <w:rFonts w:ascii="宋体" w:hAnsi="宋体"/>
                <w:color w:val="000000" w:themeColor="text1"/>
                <w:szCs w:val="21"/>
                <w14:textFill>
                  <w14:solidFill>
                    <w14:schemeClr w14:val="tx1"/>
                  </w14:solidFill>
                </w14:textFill>
              </w:rPr>
            </w:pPr>
            <w:r>
              <w:rPr>
                <w:rFonts w:ascii="宋体" w:hAnsi="宋体"/>
                <w:color w:val="000000" w:themeColor="text1"/>
                <w:szCs w:val="21"/>
                <w14:textFill>
                  <w14:solidFill>
                    <w14:schemeClr w14:val="tx1"/>
                  </w14:solidFill>
                </w14:textFill>
              </w:rPr>
              <w:t>＞2，≤8</w:t>
            </w:r>
          </w:p>
        </w:tc>
        <w:tc>
          <w:tcPr>
            <w:tcW w:w="5472" w:type="dxa"/>
            <w:tcBorders>
              <w:top w:val="single" w:color="000000" w:sz="4" w:space="0"/>
              <w:left w:val="nil"/>
              <w:bottom w:val="single" w:color="000000" w:sz="4" w:space="0"/>
              <w:right w:val="single" w:color="000000" w:sz="4" w:space="0"/>
            </w:tcBorders>
          </w:tcPr>
          <w:p>
            <w:pPr>
              <w:pStyle w:val="23"/>
              <w:spacing w:line="320" w:lineRule="exact"/>
              <w:ind w:left="375" w:right="366"/>
              <w:jc w:val="center"/>
              <w:rPr>
                <w:rFonts w:ascii="宋体" w:hAnsi="宋体"/>
                <w:color w:val="000000" w:themeColor="text1"/>
                <w:szCs w:val="21"/>
                <w14:textFill>
                  <w14:solidFill>
                    <w14:schemeClr w14:val="tx1"/>
                  </w14:solidFill>
                </w14:textFill>
              </w:rPr>
            </w:pPr>
            <w:r>
              <w:rPr>
                <w:rFonts w:ascii="宋体" w:hAnsi="宋体"/>
                <w:color w:val="000000" w:themeColor="text1"/>
                <w:szCs w:val="21"/>
                <w14:textFill>
                  <w14:solidFill>
                    <w14:schemeClr w14:val="tx1"/>
                  </w14:solidFill>
                </w14:textFill>
              </w:rPr>
              <w:t>≥75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417" w:type="dxa"/>
            <w:vMerge w:val="continue"/>
            <w:tcBorders>
              <w:top w:val="nil"/>
              <w:left w:val="single" w:color="000000" w:sz="4" w:space="0"/>
              <w:bottom w:val="single" w:color="000000" w:sz="4" w:space="0"/>
              <w:right w:val="single" w:color="000000" w:sz="4" w:space="0"/>
            </w:tcBorders>
            <w:vAlign w:val="center"/>
          </w:tcPr>
          <w:p>
            <w:pPr>
              <w:widowControl/>
              <w:rPr>
                <w:rFonts w:ascii="宋体" w:hAnsi="宋体"/>
                <w:color w:val="000000" w:themeColor="text1"/>
                <w14:textFill>
                  <w14:solidFill>
                    <w14:schemeClr w14:val="tx1"/>
                  </w14:solidFill>
                </w14:textFill>
              </w:rPr>
            </w:pPr>
          </w:p>
        </w:tc>
        <w:tc>
          <w:tcPr>
            <w:tcW w:w="1905" w:type="dxa"/>
            <w:tcBorders>
              <w:top w:val="single" w:color="000000" w:sz="4" w:space="0"/>
              <w:left w:val="nil"/>
              <w:bottom w:val="single" w:color="000000" w:sz="4" w:space="0"/>
              <w:right w:val="single" w:color="000000" w:sz="4" w:space="0"/>
            </w:tcBorders>
          </w:tcPr>
          <w:p>
            <w:pPr>
              <w:pStyle w:val="23"/>
              <w:spacing w:line="320" w:lineRule="exact"/>
              <w:ind w:left="615" w:right="607"/>
              <w:jc w:val="center"/>
              <w:rPr>
                <w:rFonts w:ascii="宋体" w:hAnsi="宋体"/>
                <w:color w:val="000000" w:themeColor="text1"/>
                <w:szCs w:val="21"/>
                <w14:textFill>
                  <w14:solidFill>
                    <w14:schemeClr w14:val="tx1"/>
                  </w14:solidFill>
                </w14:textFill>
              </w:rPr>
            </w:pPr>
            <w:r>
              <w:rPr>
                <w:rFonts w:ascii="宋体" w:hAnsi="宋体"/>
                <w:color w:val="000000" w:themeColor="text1"/>
                <w:szCs w:val="21"/>
                <w14:textFill>
                  <w14:solidFill>
                    <w14:schemeClr w14:val="tx1"/>
                  </w14:solidFill>
                </w14:textFill>
              </w:rPr>
              <w:t>＞8</w:t>
            </w:r>
          </w:p>
        </w:tc>
        <w:tc>
          <w:tcPr>
            <w:tcW w:w="5472" w:type="dxa"/>
            <w:tcBorders>
              <w:top w:val="single" w:color="000000" w:sz="4" w:space="0"/>
              <w:left w:val="nil"/>
              <w:bottom w:val="single" w:color="000000" w:sz="4" w:space="0"/>
              <w:right w:val="single" w:color="000000" w:sz="4" w:space="0"/>
            </w:tcBorders>
          </w:tcPr>
          <w:p>
            <w:pPr>
              <w:pStyle w:val="23"/>
              <w:spacing w:line="320" w:lineRule="exact"/>
              <w:ind w:left="375" w:right="367"/>
              <w:jc w:val="center"/>
              <w:rPr>
                <w:rFonts w:ascii="宋体" w:hAnsi="宋体"/>
                <w:color w:val="000000" w:themeColor="text1"/>
                <w:szCs w:val="21"/>
                <w14:textFill>
                  <w14:solidFill>
                    <w14:schemeClr w14:val="tx1"/>
                  </w14:solidFill>
                </w14:textFill>
              </w:rPr>
            </w:pPr>
            <w:r>
              <w:rPr>
                <w:rFonts w:ascii="宋体" w:hAnsi="宋体"/>
                <w:color w:val="000000" w:themeColor="text1"/>
                <w:szCs w:val="21"/>
                <w14:textFill>
                  <w14:solidFill>
                    <w14:schemeClr w14:val="tx1"/>
                  </w14:solidFill>
                </w14:textFill>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9" w:hRule="atLeast"/>
        </w:trPr>
        <w:tc>
          <w:tcPr>
            <w:tcW w:w="1417" w:type="dxa"/>
            <w:vMerge w:val="restart"/>
            <w:tcBorders>
              <w:top w:val="nil"/>
              <w:left w:val="single" w:color="000000" w:sz="4" w:space="0"/>
              <w:bottom w:val="single" w:color="000000" w:sz="4" w:space="0"/>
              <w:right w:val="single" w:color="000000" w:sz="4" w:space="0"/>
            </w:tcBorders>
          </w:tcPr>
          <w:p>
            <w:pPr>
              <w:pStyle w:val="23"/>
              <w:spacing w:before="78"/>
              <w:ind w:left="209"/>
              <w:rPr>
                <w:rFonts w:ascii="宋体" w:hAnsi="宋体"/>
                <w:color w:val="000000" w:themeColor="text1"/>
                <w:szCs w:val="21"/>
                <w14:textFill>
                  <w14:solidFill>
                    <w14:schemeClr w14:val="tx1"/>
                  </w14:solidFill>
                </w14:textFill>
              </w:rPr>
            </w:pPr>
            <w:r>
              <w:rPr>
                <w:rFonts w:ascii="宋体" w:hAnsi="宋体"/>
                <w:color w:val="000000" w:themeColor="text1"/>
                <w:szCs w:val="21"/>
                <w14:textFill>
                  <w14:solidFill>
                    <w14:schemeClr w14:val="tx1"/>
                  </w14:solidFill>
                </w14:textFill>
              </w:rPr>
              <w:t>梁、拱、壳</w:t>
            </w:r>
          </w:p>
        </w:tc>
        <w:tc>
          <w:tcPr>
            <w:tcW w:w="1905" w:type="dxa"/>
            <w:tcBorders>
              <w:top w:val="single" w:color="000000" w:sz="4" w:space="0"/>
              <w:left w:val="nil"/>
              <w:bottom w:val="single" w:color="000000" w:sz="4" w:space="0"/>
              <w:right w:val="single" w:color="000000" w:sz="4" w:space="0"/>
            </w:tcBorders>
          </w:tcPr>
          <w:p>
            <w:pPr>
              <w:pStyle w:val="23"/>
              <w:spacing w:line="319" w:lineRule="exact"/>
              <w:ind w:left="615" w:right="607"/>
              <w:jc w:val="center"/>
              <w:rPr>
                <w:rFonts w:ascii="宋体" w:hAnsi="宋体"/>
                <w:color w:val="000000" w:themeColor="text1"/>
                <w:szCs w:val="21"/>
                <w14:textFill>
                  <w14:solidFill>
                    <w14:schemeClr w14:val="tx1"/>
                  </w14:solidFill>
                </w14:textFill>
              </w:rPr>
            </w:pPr>
            <w:r>
              <w:rPr>
                <w:rFonts w:ascii="宋体" w:hAnsi="宋体"/>
                <w:color w:val="000000" w:themeColor="text1"/>
                <w:szCs w:val="21"/>
                <w14:textFill>
                  <w14:solidFill>
                    <w14:schemeClr w14:val="tx1"/>
                  </w14:solidFill>
                </w14:textFill>
              </w:rPr>
              <w:t>≤8</w:t>
            </w:r>
          </w:p>
        </w:tc>
        <w:tc>
          <w:tcPr>
            <w:tcW w:w="5472" w:type="dxa"/>
            <w:tcBorders>
              <w:top w:val="single" w:color="000000" w:sz="4" w:space="0"/>
              <w:left w:val="nil"/>
              <w:bottom w:val="single" w:color="000000" w:sz="4" w:space="0"/>
              <w:right w:val="single" w:color="000000" w:sz="4" w:space="0"/>
            </w:tcBorders>
          </w:tcPr>
          <w:p>
            <w:pPr>
              <w:pStyle w:val="23"/>
              <w:spacing w:line="319" w:lineRule="exact"/>
              <w:ind w:left="375" w:right="366"/>
              <w:jc w:val="center"/>
              <w:rPr>
                <w:rFonts w:ascii="宋体" w:hAnsi="宋体"/>
                <w:color w:val="000000" w:themeColor="text1"/>
                <w:szCs w:val="21"/>
                <w14:textFill>
                  <w14:solidFill>
                    <w14:schemeClr w14:val="tx1"/>
                  </w14:solidFill>
                </w14:textFill>
              </w:rPr>
            </w:pPr>
            <w:r>
              <w:rPr>
                <w:rFonts w:ascii="宋体" w:hAnsi="宋体"/>
                <w:color w:val="000000" w:themeColor="text1"/>
                <w:szCs w:val="21"/>
                <w14:textFill>
                  <w14:solidFill>
                    <w14:schemeClr w14:val="tx1"/>
                  </w14:solidFill>
                </w14:textFill>
              </w:rPr>
              <w:t>≥75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417" w:type="dxa"/>
            <w:vMerge w:val="continue"/>
            <w:tcBorders>
              <w:top w:val="nil"/>
              <w:left w:val="single" w:color="000000" w:sz="4" w:space="0"/>
              <w:bottom w:val="single" w:color="000000" w:sz="4" w:space="0"/>
              <w:right w:val="single" w:color="000000" w:sz="4" w:space="0"/>
            </w:tcBorders>
            <w:vAlign w:val="center"/>
          </w:tcPr>
          <w:p>
            <w:pPr>
              <w:widowControl/>
              <w:rPr>
                <w:rFonts w:ascii="宋体" w:hAnsi="宋体"/>
                <w:color w:val="000000" w:themeColor="text1"/>
                <w14:textFill>
                  <w14:solidFill>
                    <w14:schemeClr w14:val="tx1"/>
                  </w14:solidFill>
                </w14:textFill>
              </w:rPr>
            </w:pPr>
          </w:p>
        </w:tc>
        <w:tc>
          <w:tcPr>
            <w:tcW w:w="1905" w:type="dxa"/>
            <w:tcBorders>
              <w:top w:val="single" w:color="000000" w:sz="4" w:space="0"/>
              <w:left w:val="nil"/>
              <w:bottom w:val="single" w:color="000000" w:sz="4" w:space="0"/>
              <w:right w:val="single" w:color="000000" w:sz="4" w:space="0"/>
            </w:tcBorders>
          </w:tcPr>
          <w:p>
            <w:pPr>
              <w:pStyle w:val="23"/>
              <w:spacing w:line="320" w:lineRule="exact"/>
              <w:ind w:left="615" w:right="607"/>
              <w:jc w:val="center"/>
              <w:rPr>
                <w:rFonts w:ascii="宋体" w:hAnsi="宋体"/>
                <w:color w:val="000000" w:themeColor="text1"/>
                <w:szCs w:val="21"/>
                <w14:textFill>
                  <w14:solidFill>
                    <w14:schemeClr w14:val="tx1"/>
                  </w14:solidFill>
                </w14:textFill>
              </w:rPr>
            </w:pPr>
            <w:r>
              <w:rPr>
                <w:rFonts w:ascii="宋体" w:hAnsi="宋体"/>
                <w:color w:val="000000" w:themeColor="text1"/>
                <w:szCs w:val="21"/>
                <w14:textFill>
                  <w14:solidFill>
                    <w14:schemeClr w14:val="tx1"/>
                  </w14:solidFill>
                </w14:textFill>
              </w:rPr>
              <w:t>＞8</w:t>
            </w:r>
          </w:p>
        </w:tc>
        <w:tc>
          <w:tcPr>
            <w:tcW w:w="5472" w:type="dxa"/>
            <w:tcBorders>
              <w:top w:val="single" w:color="000000" w:sz="4" w:space="0"/>
              <w:left w:val="nil"/>
              <w:bottom w:val="single" w:color="000000" w:sz="4" w:space="0"/>
              <w:right w:val="single" w:color="000000" w:sz="4" w:space="0"/>
            </w:tcBorders>
          </w:tcPr>
          <w:p>
            <w:pPr>
              <w:pStyle w:val="23"/>
              <w:spacing w:line="320" w:lineRule="exact"/>
              <w:ind w:left="375" w:right="367"/>
              <w:jc w:val="center"/>
              <w:rPr>
                <w:rFonts w:ascii="宋体" w:hAnsi="宋体"/>
                <w:color w:val="000000" w:themeColor="text1"/>
                <w:szCs w:val="21"/>
                <w14:textFill>
                  <w14:solidFill>
                    <w14:schemeClr w14:val="tx1"/>
                  </w14:solidFill>
                </w14:textFill>
              </w:rPr>
            </w:pPr>
            <w:r>
              <w:rPr>
                <w:rFonts w:ascii="宋体" w:hAnsi="宋体"/>
                <w:color w:val="000000" w:themeColor="text1"/>
                <w:szCs w:val="21"/>
                <w14:textFill>
                  <w14:solidFill>
                    <w14:schemeClr w14:val="tx1"/>
                  </w14:solidFill>
                </w14:textFill>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trPr>
        <w:tc>
          <w:tcPr>
            <w:tcW w:w="1417" w:type="dxa"/>
            <w:tcBorders>
              <w:top w:val="single" w:color="000000" w:sz="4" w:space="0"/>
              <w:left w:val="single" w:color="000000" w:sz="4" w:space="0"/>
              <w:bottom w:val="single" w:color="000000" w:sz="4" w:space="0"/>
              <w:right w:val="single" w:color="000000" w:sz="4" w:space="0"/>
            </w:tcBorders>
          </w:tcPr>
          <w:p>
            <w:pPr>
              <w:pStyle w:val="23"/>
              <w:spacing w:line="320" w:lineRule="exact"/>
              <w:ind w:left="279" w:right="271"/>
              <w:jc w:val="center"/>
              <w:rPr>
                <w:rFonts w:ascii="宋体" w:hAnsi="宋体"/>
                <w:color w:val="000000" w:themeColor="text1"/>
                <w:szCs w:val="21"/>
                <w14:textFill>
                  <w14:solidFill>
                    <w14:schemeClr w14:val="tx1"/>
                  </w14:solidFill>
                </w14:textFill>
              </w:rPr>
            </w:pPr>
            <w:r>
              <w:rPr>
                <w:rFonts w:ascii="宋体" w:hAnsi="宋体"/>
                <w:color w:val="000000" w:themeColor="text1"/>
                <w:szCs w:val="21"/>
                <w14:textFill>
                  <w14:solidFill>
                    <w14:schemeClr w14:val="tx1"/>
                  </w14:solidFill>
                </w14:textFill>
              </w:rPr>
              <w:t>悬臂构件</w:t>
            </w:r>
          </w:p>
        </w:tc>
        <w:tc>
          <w:tcPr>
            <w:tcW w:w="1905" w:type="dxa"/>
            <w:tcBorders>
              <w:top w:val="single" w:color="000000" w:sz="4" w:space="0"/>
              <w:left w:val="nil"/>
              <w:bottom w:val="single" w:color="000000" w:sz="4" w:space="0"/>
              <w:right w:val="single" w:color="000000" w:sz="4" w:space="0"/>
            </w:tcBorders>
          </w:tcPr>
          <w:p>
            <w:pPr>
              <w:pStyle w:val="23"/>
              <w:spacing w:line="320" w:lineRule="exact"/>
              <w:ind w:left="9"/>
              <w:jc w:val="center"/>
              <w:rPr>
                <w:rFonts w:ascii="宋体" w:hAnsi="宋体"/>
                <w:color w:val="000000" w:themeColor="text1"/>
                <w:szCs w:val="21"/>
                <w14:textFill>
                  <w14:solidFill>
                    <w14:schemeClr w14:val="tx1"/>
                  </w14:solidFill>
                </w14:textFill>
              </w:rPr>
            </w:pPr>
            <w:r>
              <w:rPr>
                <w:rFonts w:ascii="宋体" w:hAnsi="宋体"/>
                <w:color w:val="000000" w:themeColor="text1"/>
                <w:szCs w:val="21"/>
                <w14:textFill>
                  <w14:solidFill>
                    <w14:schemeClr w14:val="tx1"/>
                  </w14:solidFill>
                </w14:textFill>
              </w:rPr>
              <w:t>—</w:t>
            </w:r>
          </w:p>
        </w:tc>
        <w:tc>
          <w:tcPr>
            <w:tcW w:w="5472" w:type="dxa"/>
            <w:tcBorders>
              <w:top w:val="single" w:color="000000" w:sz="4" w:space="0"/>
              <w:left w:val="nil"/>
              <w:bottom w:val="single" w:color="000000" w:sz="4" w:space="0"/>
              <w:right w:val="single" w:color="000000" w:sz="4" w:space="0"/>
            </w:tcBorders>
          </w:tcPr>
          <w:p>
            <w:pPr>
              <w:pStyle w:val="23"/>
              <w:spacing w:line="320" w:lineRule="exact"/>
              <w:ind w:left="375" w:right="367"/>
              <w:jc w:val="center"/>
              <w:rPr>
                <w:rFonts w:ascii="宋体" w:hAnsi="宋体"/>
                <w:color w:val="000000" w:themeColor="text1"/>
                <w:szCs w:val="21"/>
                <w14:textFill>
                  <w14:solidFill>
                    <w14:schemeClr w14:val="tx1"/>
                  </w14:solidFill>
                </w14:textFill>
              </w:rPr>
            </w:pPr>
            <w:r>
              <w:rPr>
                <w:rFonts w:ascii="宋体" w:hAnsi="宋体"/>
                <w:color w:val="000000" w:themeColor="text1"/>
                <w:szCs w:val="21"/>
                <w14:textFill>
                  <w14:solidFill>
                    <w14:schemeClr w14:val="tx1"/>
                  </w14:solidFill>
                </w14:textFill>
              </w:rPr>
              <w:t>≥100</w:t>
            </w:r>
          </w:p>
        </w:tc>
      </w:tr>
    </w:tbl>
    <w:p>
      <w:pPr>
        <w:pStyle w:val="22"/>
        <w:tabs>
          <w:tab w:val="left" w:pos="851"/>
        </w:tabs>
        <w:snapToGrid w:val="0"/>
        <w:spacing w:line="360" w:lineRule="auto"/>
        <w:ind w:firstLine="0" w:firstLineChars="0"/>
        <w:jc w:val="left"/>
        <w:rPr>
          <w:rFonts w:hAnsi="宋体"/>
          <w:b/>
          <w:bCs/>
          <w:color w:val="000000" w:themeColor="text1"/>
          <w:szCs w:val="21"/>
          <w14:textFill>
            <w14:solidFill>
              <w14:schemeClr w14:val="tx1"/>
            </w14:solidFill>
          </w14:textFill>
        </w:rPr>
      </w:pP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13.2.13 </w:t>
      </w:r>
      <w:r>
        <w:rPr>
          <w:rFonts w:hint="eastAsia" w:hAnsi="宋体"/>
          <w:color w:val="000000" w:themeColor="text1"/>
          <w:szCs w:val="21"/>
          <w14:textFill>
            <w14:solidFill>
              <w14:schemeClr w14:val="tx1"/>
            </w14:solidFill>
          </w14:textFill>
        </w:rPr>
        <w:t>模板拆除时，不应对其他结构形成冲击荷载。拆除的模板和支架宜分散堆放并及时清运。</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356" w:name="_Toc30644"/>
      <w:bookmarkStart w:id="357" w:name="_Toc24485"/>
      <w:bookmarkStart w:id="358" w:name="_Toc25627"/>
      <w:bookmarkStart w:id="359" w:name="_Toc26888"/>
      <w:bookmarkStart w:id="360" w:name="_Toc18377"/>
      <w:bookmarkStart w:id="361" w:name="_Toc15538"/>
      <w:r>
        <w:rPr>
          <w:rFonts w:hint="eastAsia" w:hAnsi="宋体"/>
          <w:b/>
          <w:color w:val="000000" w:themeColor="text1"/>
          <w:sz w:val="24"/>
          <w14:textFill>
            <w14:solidFill>
              <w14:schemeClr w14:val="tx1"/>
            </w14:solidFill>
          </w14:textFill>
        </w:rPr>
        <w:t>13.3  隧道模板支护</w:t>
      </w:r>
      <w:bookmarkEnd w:id="356"/>
      <w:bookmarkEnd w:id="357"/>
      <w:bookmarkEnd w:id="358"/>
      <w:bookmarkEnd w:id="359"/>
      <w:bookmarkEnd w:id="360"/>
      <w:bookmarkEnd w:id="361"/>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13.3.1</w:t>
      </w:r>
      <w:r>
        <w:rPr>
          <w:rFonts w:hint="eastAsia" w:hAnsi="宋体"/>
          <w:color w:val="000000" w:themeColor="text1"/>
          <w:szCs w:val="21"/>
          <w14:textFill>
            <w14:solidFill>
              <w14:schemeClr w14:val="tx1"/>
            </w14:solidFill>
          </w14:textFill>
        </w:rPr>
        <w:t xml:space="preserve"> 隧道混凝土二次衬砌拱、墙宜采用模板台车整体浇筑。边墙水平施工缝留置高度应与台车下口的搭接高度匹配。</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13.3.2 </w:t>
      </w:r>
      <w:r>
        <w:rPr>
          <w:rFonts w:hint="eastAsia" w:hAnsi="宋体"/>
          <w:color w:val="000000" w:themeColor="text1"/>
          <w:szCs w:val="21"/>
          <w14:textFill>
            <w14:solidFill>
              <w14:schemeClr w14:val="tx1"/>
            </w14:solidFill>
          </w14:textFill>
        </w:rPr>
        <w:t>模板台车应</w:t>
      </w:r>
      <w:r>
        <w:rPr>
          <w:rFonts w:hint="eastAsia" w:ascii="宋体" w:hAnsi="宋体" w:cstheme="minorEastAsia"/>
          <w:color w:val="000000" w:themeColor="text1"/>
          <w:kern w:val="0"/>
          <w:szCs w:val="21"/>
          <w14:textFill>
            <w14:solidFill>
              <w14:schemeClr w14:val="tx1"/>
            </w14:solidFill>
          </w14:textFill>
        </w:rPr>
        <w:t>隧道设计尺寸</w:t>
      </w:r>
      <w:r>
        <w:rPr>
          <w:rFonts w:hint="eastAsia" w:hAnsi="宋体"/>
          <w:color w:val="000000" w:themeColor="text1"/>
          <w:szCs w:val="21"/>
          <w14:textFill>
            <w14:solidFill>
              <w14:schemeClr w14:val="tx1"/>
            </w14:solidFill>
          </w14:textFill>
        </w:rPr>
        <w:t>进行专项设计，并应符合下列规定：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台车应有足够强度、刚度和稳定性，应能满足混凝土浇筑施工要求；</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台车应能自行移动，施工设备、材料、人员应能通过；</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theme="minorEastAsia"/>
          <w:color w:val="000000" w:themeColor="text1"/>
          <w:kern w:val="0"/>
          <w:szCs w:val="21"/>
          <w14:textFill>
            <w14:solidFill>
              <w14:schemeClr w14:val="tx1"/>
            </w14:solidFill>
          </w14:textFill>
        </w:rPr>
        <w:t>台车长度应根据隧道曲线合理确定，不宜大于12m；</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4</w:t>
      </w:r>
      <w:r>
        <w:rPr>
          <w:rFonts w:hint="eastAsia" w:ascii="宋体" w:hAnsi="宋体" w:cstheme="minorEastAsia"/>
          <w:color w:val="000000" w:themeColor="text1"/>
          <w:kern w:val="0"/>
          <w:szCs w:val="21"/>
          <w14:textFill>
            <w14:solidFill>
              <w14:schemeClr w14:val="tx1"/>
            </w14:solidFill>
          </w14:textFill>
        </w:rPr>
        <w:t xml:space="preserve"> 台车应根据隧道长度和浇筑方法合理设置</w:t>
      </w:r>
      <w:r>
        <w:rPr>
          <w:rFonts w:hint="eastAsia" w:hAnsi="宋体"/>
          <w:color w:val="000000" w:themeColor="text1"/>
          <w:szCs w:val="21"/>
          <w14:textFill>
            <w14:solidFill>
              <w14:schemeClr w14:val="tx1"/>
            </w14:solidFill>
          </w14:textFill>
        </w:rPr>
        <w:t>灌注口及振捣窗</w:t>
      </w:r>
      <w:r>
        <w:rPr>
          <w:rFonts w:hint="eastAsia" w:ascii="宋体" w:hAnsi="宋体" w:cstheme="minorEastAsia"/>
          <w:color w:val="000000" w:themeColor="text1"/>
          <w:kern w:val="0"/>
          <w:szCs w:val="21"/>
          <w14:textFill>
            <w14:solidFill>
              <w14:schemeClr w14:val="tx1"/>
            </w14:solidFill>
          </w14:textFill>
        </w:rPr>
        <w:t>。</w:t>
      </w:r>
    </w:p>
    <w:p>
      <w:pPr>
        <w:spacing w:line="360" w:lineRule="auto"/>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13.3.3 </w:t>
      </w:r>
      <w:r>
        <w:rPr>
          <w:rFonts w:hint="eastAsia" w:hAnsi="宋体"/>
          <w:color w:val="000000" w:themeColor="text1"/>
          <w:szCs w:val="21"/>
          <w14:textFill>
            <w14:solidFill>
              <w14:schemeClr w14:val="tx1"/>
            </w14:solidFill>
          </w14:textFill>
        </w:rPr>
        <w:t>模板台车</w:t>
      </w:r>
      <w:r>
        <w:rPr>
          <w:rFonts w:hint="eastAsia" w:ascii="宋体" w:hAnsi="宋体" w:cstheme="minorEastAsia"/>
          <w:color w:val="000000" w:themeColor="text1"/>
          <w:kern w:val="0"/>
          <w:szCs w:val="21"/>
          <w14:textFill>
            <w14:solidFill>
              <w14:schemeClr w14:val="tx1"/>
            </w14:solidFill>
          </w14:textFill>
        </w:rPr>
        <w:t>轨道铺设应平整、直顺，与底板预埋件连接牢固，安装允许偏差为：中线10mm，轨面高程</w:t>
      </w:r>
      <w:r>
        <w:rPr>
          <w:rFonts w:hint="eastAsia" w:ascii="宋体" w:hAnsi="宋体" w:cs="宋体"/>
          <w:color w:val="000000" w:themeColor="text1"/>
          <w:kern w:val="0"/>
          <w:szCs w:val="21"/>
          <w14:textFill>
            <w14:solidFill>
              <w14:schemeClr w14:val="tx1"/>
            </w14:solidFill>
          </w14:textFill>
        </w:rPr>
        <w:t>±10mm</w:t>
      </w:r>
      <w:r>
        <w:rPr>
          <w:rFonts w:hint="eastAsia" w:ascii="宋体" w:hAnsi="宋体" w:cstheme="minorEastAsia"/>
          <w:color w:val="000000" w:themeColor="text1"/>
          <w:kern w:val="0"/>
          <w:szCs w:val="21"/>
          <w14:textFill>
            <w14:solidFill>
              <w14:schemeClr w14:val="tx1"/>
            </w14:solidFill>
          </w14:textFill>
        </w:rPr>
        <w:t>。</w:t>
      </w:r>
    </w:p>
    <w:p>
      <w:pPr>
        <w:spacing w:line="360" w:lineRule="auto"/>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13.3.4 </w:t>
      </w:r>
      <w:r>
        <w:rPr>
          <w:rFonts w:hint="eastAsia" w:hAnsi="宋体"/>
          <w:color w:val="000000" w:themeColor="text1"/>
          <w:szCs w:val="21"/>
          <w14:textFill>
            <w14:solidFill>
              <w14:schemeClr w14:val="tx1"/>
            </w14:solidFill>
          </w14:textFill>
        </w:rPr>
        <w:t>模板台车</w:t>
      </w:r>
      <w:r>
        <w:rPr>
          <w:rFonts w:hint="eastAsia" w:ascii="宋体" w:hAnsi="宋体" w:cstheme="minorEastAsia"/>
          <w:color w:val="000000" w:themeColor="text1"/>
          <w:kern w:val="0"/>
          <w:szCs w:val="21"/>
          <w14:textFill>
            <w14:solidFill>
              <w14:schemeClr w14:val="tx1"/>
            </w14:solidFill>
          </w14:textFill>
        </w:rPr>
        <w:t>应经试拼装验收合格后方可使用。台车移动前，应对导轨进行检查、调整。</w:t>
      </w:r>
    </w:p>
    <w:p>
      <w:pPr>
        <w:spacing w:line="360" w:lineRule="auto"/>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13.3.5 </w:t>
      </w:r>
      <w:r>
        <w:rPr>
          <w:rFonts w:hint="eastAsia" w:ascii="宋体" w:hAnsi="宋体" w:cstheme="minorEastAsia"/>
          <w:color w:val="000000" w:themeColor="text1"/>
          <w:kern w:val="0"/>
          <w:szCs w:val="21"/>
          <w14:textFill>
            <w14:solidFill>
              <w14:schemeClr w14:val="tx1"/>
            </w14:solidFill>
          </w14:textFill>
        </w:rPr>
        <w:t>台车就位后对其中线、高程进行检校，调整台车水平丝杆与竖向千斤顶，确保中线、高程完全满足设计要求，并应锁定台车，并切断驱动电源。</w:t>
      </w:r>
    </w:p>
    <w:p>
      <w:pPr>
        <w:spacing w:line="360" w:lineRule="auto"/>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13.3.6 </w:t>
      </w:r>
      <w:r>
        <w:rPr>
          <w:rFonts w:hint="eastAsia" w:ascii="宋体" w:hAnsi="宋体" w:cstheme="minorEastAsia"/>
          <w:color w:val="000000" w:themeColor="text1"/>
          <w:kern w:val="0"/>
          <w:szCs w:val="21"/>
          <w14:textFill>
            <w14:solidFill>
              <w14:schemeClr w14:val="tx1"/>
            </w14:solidFill>
          </w14:textFill>
        </w:rPr>
        <w:t>拱墙模板调整成型后应固定，模板接缝应严密、不漏浆。</w:t>
      </w:r>
    </w:p>
    <w:p>
      <w:pPr>
        <w:spacing w:line="360" w:lineRule="auto"/>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13.3.7</w:t>
      </w:r>
      <w:r>
        <w:rPr>
          <w:rFonts w:hint="eastAsia" w:ascii="宋体" w:hAnsi="宋体" w:cstheme="minorEastAsia"/>
          <w:color w:val="000000" w:themeColor="text1"/>
          <w:kern w:val="0"/>
          <w:szCs w:val="21"/>
          <w14:textFill>
            <w14:solidFill>
              <w14:schemeClr w14:val="tx1"/>
            </w14:solidFill>
          </w14:textFill>
        </w:rPr>
        <w:t xml:space="preserve"> 模板台车安装完成经检验合格后方可开始灌注二衬混凝土。</w:t>
      </w:r>
    </w:p>
    <w:p>
      <w:pPr>
        <w:spacing w:line="360" w:lineRule="auto"/>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13.3.8</w:t>
      </w:r>
      <w:r>
        <w:rPr>
          <w:rFonts w:hint="eastAsia" w:ascii="宋体" w:hAnsi="宋体" w:cstheme="minorEastAsia"/>
          <w:color w:val="000000" w:themeColor="text1"/>
          <w:kern w:val="0"/>
          <w:szCs w:val="21"/>
          <w14:textFill>
            <w14:solidFill>
              <w14:schemeClr w14:val="tx1"/>
            </w14:solidFill>
          </w14:textFill>
        </w:rPr>
        <w:t xml:space="preserve"> 台车混凝土浇筑应自下而上、分层、对称进行，应采取防止模板台车偏移措施；混凝土浇筑应连续进行，倾落自由高度不宜大于2.0m；在浇筑过程中，应观察模板、支架、钢筋、预埋件和预留孔洞的情况，发现变形、移位或其他异常情况时，以及时采取加固等措施。</w:t>
      </w:r>
    </w:p>
    <w:p>
      <w:pPr>
        <w:spacing w:line="360" w:lineRule="auto"/>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13.3.9 </w:t>
      </w:r>
      <w:r>
        <w:rPr>
          <w:rFonts w:hint="eastAsia" w:ascii="宋体" w:hAnsi="宋体" w:cstheme="minorEastAsia"/>
          <w:color w:val="000000" w:themeColor="text1"/>
          <w:kern w:val="0"/>
          <w:szCs w:val="21"/>
          <w14:textFill>
            <w14:solidFill>
              <w14:schemeClr w14:val="tx1"/>
            </w14:solidFill>
          </w14:textFill>
        </w:rPr>
        <w:t>台车应设专人维护，并应符合下列规定：</w:t>
      </w:r>
    </w:p>
    <w:p>
      <w:pPr>
        <w:spacing w:line="360" w:lineRule="auto"/>
        <w:ind w:firstLine="422" w:firstLineChars="200"/>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台车两端应设安全标志和警示灯。</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ascii="宋体" w:hAnsi="宋体" w:cstheme="minorEastAsia"/>
          <w:color w:val="000000" w:themeColor="text1"/>
          <w:kern w:val="0"/>
          <w:szCs w:val="21"/>
          <w14:textFill>
            <w14:solidFill>
              <w14:schemeClr w14:val="tx1"/>
            </w14:solidFill>
          </w14:textFill>
        </w:rPr>
        <w:t xml:space="preserve"> 人员作业处应设作业平台、防护栏杆，上下台车应走安全梯。</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theme="minorEastAsia"/>
          <w:color w:val="000000" w:themeColor="text1"/>
          <w:kern w:val="0"/>
          <w:szCs w:val="21"/>
          <w14:textFill>
            <w14:solidFill>
              <w14:schemeClr w14:val="tx1"/>
            </w14:solidFill>
          </w14:textFill>
        </w:rPr>
        <w:t>台车上不应堆放料具，非操作人员不应上车。</w:t>
      </w:r>
    </w:p>
    <w:p>
      <w:pPr>
        <w:pStyle w:val="2"/>
        <w:jc w:val="center"/>
        <w:rPr>
          <w:rFonts w:hAnsi="宋体"/>
          <w:bCs/>
          <w:color w:val="000000" w:themeColor="text1"/>
          <w:kern w:val="2"/>
          <w:sz w:val="21"/>
          <w:szCs w:val="21"/>
          <w14:textFill>
            <w14:solidFill>
              <w14:schemeClr w14:val="tx1"/>
            </w14:solidFill>
          </w14:textFill>
        </w:rPr>
      </w:pPr>
      <w:bookmarkStart w:id="362" w:name="_Toc9526"/>
      <w:bookmarkStart w:id="363" w:name="_Toc20989"/>
      <w:bookmarkStart w:id="364" w:name="_Toc5836"/>
      <w:bookmarkStart w:id="365" w:name="_Toc31509"/>
      <w:bookmarkStart w:id="366" w:name="_Toc2084"/>
      <w:r>
        <w:rPr>
          <w:rFonts w:hint="eastAsia" w:hAnsi="宋体"/>
          <w:color w:val="000000" w:themeColor="text1"/>
          <w:sz w:val="24"/>
          <w14:textFill>
            <w14:solidFill>
              <w14:schemeClr w14:val="tx1"/>
            </w14:solidFill>
          </w14:textFill>
        </w:rPr>
        <w:t>13.4  钢筋安装</w:t>
      </w:r>
      <w:bookmarkEnd w:id="362"/>
      <w:bookmarkEnd w:id="363"/>
      <w:bookmarkEnd w:id="364"/>
      <w:bookmarkEnd w:id="365"/>
      <w:bookmarkEnd w:id="366"/>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bookmarkStart w:id="367" w:name="_Toc1586"/>
      <w:r>
        <w:rPr>
          <w:rFonts w:hint="eastAsia" w:hAnsi="宋体"/>
          <w:b/>
          <w:bCs/>
          <w:color w:val="000000" w:themeColor="text1"/>
          <w:szCs w:val="21"/>
          <w14:textFill>
            <w14:solidFill>
              <w14:schemeClr w14:val="tx1"/>
            </w14:solidFill>
          </w14:textFill>
        </w:rPr>
        <w:t xml:space="preserve">13.4.1 </w:t>
      </w:r>
      <w:r>
        <w:rPr>
          <w:rFonts w:hint="eastAsia" w:hAnsi="宋体"/>
          <w:color w:val="000000" w:themeColor="text1"/>
          <w:szCs w:val="21"/>
          <w14:textFill>
            <w14:solidFill>
              <w14:schemeClr w14:val="tx1"/>
            </w14:solidFill>
          </w14:textFill>
        </w:rPr>
        <w:t>钢筋连接宜采用焊接、绑扎或机械连接。隧道钢筋连接宜优先采用电弧焊接。HRB335 和HRB400 带肋钢筋宜采用机械连接接头。钢筋直径小于或等于 22mm 时，在无焊接条件时，可采用绑扎连接，但主筋不得采用绑扎连接。</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13.4.2 </w:t>
      </w:r>
      <w:r>
        <w:rPr>
          <w:rFonts w:hint="eastAsia" w:hAnsi="宋体"/>
          <w:color w:val="000000" w:themeColor="text1"/>
          <w:szCs w:val="21"/>
          <w14:textFill>
            <w14:solidFill>
              <w14:schemeClr w14:val="tx1"/>
            </w14:solidFill>
          </w14:textFill>
        </w:rPr>
        <w:t>钢筋接头设置应符合设计要求和规范规定，焊接接头应符合现行行业标准《钢筋焊接及验收规范》JGJ18 的有关规定；机械连接接头应符合现行行业标准《钢筋机械连接通用技术规程》JGJ107和《带肋钢筋套筒挤压连接技术规程》JGJ108 的有关规定；</w:t>
      </w:r>
      <w:r>
        <w:rPr>
          <w:rFonts w:hint="eastAsia" w:ascii="宋体" w:hAnsi="宋体" w:cstheme="minorEastAsia"/>
          <w:color w:val="000000" w:themeColor="text1"/>
          <w:kern w:val="0"/>
          <w:szCs w:val="21"/>
          <w14:textFill>
            <w14:solidFill>
              <w14:schemeClr w14:val="tx1"/>
            </w14:solidFill>
          </w14:textFill>
        </w:rPr>
        <w:t>设计文件未明确时，环向钢筋接头位置在同一水平断面内钢筋接头数量不应超过总数量的 50%。</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13.4.3 </w:t>
      </w:r>
      <w:r>
        <w:rPr>
          <w:rFonts w:hint="eastAsia" w:hAnsi="宋体"/>
          <w:color w:val="000000" w:themeColor="text1"/>
          <w:szCs w:val="21"/>
          <w14:textFill>
            <w14:solidFill>
              <w14:schemeClr w14:val="tx1"/>
            </w14:solidFill>
          </w14:textFill>
        </w:rPr>
        <w:t>钢筋安装应符合下列规定：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钢筋交叉点应用绑丝绑牢；为确保侧墙钢筋骨架具有足够的刚度和稳定性，可在钢筋的部分交叉点处施焊或用辅助钢筋加固；</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钢筋网的端部两行钢筋交叉点应全部扎牢，中间部分交叉点可间隔交错扎牢；底板和侧墙的环向、纵向钢筋交叉点可间隔绑扎，拱部应全部绑扎；双向受力的钢筋网，钢筋交叉点应全部扎牢；所有绑丝的绑扣均应朝向内侧；</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theme="minorEastAsia"/>
          <w:color w:val="000000" w:themeColor="text1"/>
          <w:kern w:val="0"/>
          <w:szCs w:val="21"/>
          <w14:textFill>
            <w14:solidFill>
              <w14:schemeClr w14:val="tx1"/>
            </w14:solidFill>
          </w14:textFill>
        </w:rPr>
        <w:t>钢筋绑扎宜采用梯子筋固定主筋位置和排距，搭接位置应错开；</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4</w:t>
      </w:r>
      <w:r>
        <w:rPr>
          <w:rFonts w:hint="eastAsia" w:ascii="宋体" w:hAnsi="宋体" w:cstheme="minorEastAsia"/>
          <w:color w:val="000000" w:themeColor="text1"/>
          <w:kern w:val="0"/>
          <w:szCs w:val="21"/>
          <w14:textFill>
            <w14:solidFill>
              <w14:schemeClr w14:val="tx1"/>
            </w14:solidFill>
          </w14:textFill>
        </w:rPr>
        <w:t xml:space="preserve"> 除设计有特殊要求外，箍筋应与受力钢筋垂直设置；箍筋弯钩叠合处应位于受力主筋处，并错开设置；</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5 </w:t>
      </w:r>
      <w:r>
        <w:rPr>
          <w:rFonts w:hint="eastAsia" w:ascii="宋体" w:hAnsi="宋体" w:cstheme="minorEastAsia"/>
          <w:color w:val="000000" w:themeColor="text1"/>
          <w:kern w:val="0"/>
          <w:szCs w:val="21"/>
          <w14:textFill>
            <w14:solidFill>
              <w14:schemeClr w14:val="tx1"/>
            </w14:solidFill>
          </w14:textFill>
        </w:rPr>
        <w:t>应依据设计要求安装预埋件、预留管，节点处应进行加强处理；采用手工电弧焊接时，应防止烧伤主筋及咬边；穿孔塞焊应在内侧加焊角焊缝，以提高接头强度；</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6 </w:t>
      </w:r>
      <w:r>
        <w:rPr>
          <w:rFonts w:hint="eastAsia" w:ascii="宋体" w:hAnsi="宋体" w:cstheme="minorEastAsia"/>
          <w:color w:val="000000" w:themeColor="text1"/>
          <w:kern w:val="0"/>
          <w:szCs w:val="21"/>
          <w14:textFill>
            <w14:solidFill>
              <w14:schemeClr w14:val="tx1"/>
            </w14:solidFill>
          </w14:textFill>
        </w:rPr>
        <w:t>沉降缝、变形缝处钢筋应按设计要求绑扎，并固定好止水带，保证其在结构断面中间位置。</w:t>
      </w:r>
    </w:p>
    <w:p>
      <w:pPr>
        <w:spacing w:line="360" w:lineRule="auto"/>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13.4.4 </w:t>
      </w:r>
      <w:r>
        <w:rPr>
          <w:rFonts w:hint="eastAsia" w:ascii="宋体" w:hAnsi="宋体" w:cstheme="minorEastAsia"/>
          <w:color w:val="000000" w:themeColor="text1"/>
          <w:kern w:val="0"/>
          <w:szCs w:val="21"/>
          <w14:textFill>
            <w14:solidFill>
              <w14:schemeClr w14:val="tx1"/>
            </w14:solidFill>
          </w14:textFill>
        </w:rPr>
        <w:t>钢筋保护层应符合下列规定：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1</w:t>
      </w:r>
      <w:r>
        <w:rPr>
          <w:rFonts w:hint="eastAsia" w:ascii="宋体" w:hAnsi="宋体" w:cstheme="minorEastAsia"/>
          <w:color w:val="000000" w:themeColor="text1"/>
          <w:kern w:val="0"/>
          <w:szCs w:val="21"/>
          <w14:textFill>
            <w14:solidFill>
              <w14:schemeClr w14:val="tx1"/>
            </w14:solidFill>
          </w14:textFill>
        </w:rPr>
        <w:t xml:space="preserve"> 钢筋保护层垫块宜使用同标号砂浆垫块或专用垫块；</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ascii="宋体" w:hAnsi="宋体" w:cstheme="minorEastAsia"/>
          <w:color w:val="000000" w:themeColor="text1"/>
          <w:kern w:val="0"/>
          <w:szCs w:val="21"/>
          <w14:textFill>
            <w14:solidFill>
              <w14:schemeClr w14:val="tx1"/>
            </w14:solidFill>
          </w14:textFill>
        </w:rPr>
        <w:t xml:space="preserve"> 垫块应错开布置，并与钢筋绑扎牢固；重要部位宜适当加密垫块，间距不宜大于500mm；</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ascii="宋体" w:hAnsi="宋体" w:cstheme="minorEastAsia"/>
          <w:color w:val="000000" w:themeColor="text1"/>
          <w:kern w:val="0"/>
          <w:szCs w:val="21"/>
          <w14:textFill>
            <w14:solidFill>
              <w14:schemeClr w14:val="tx1"/>
            </w14:solidFill>
          </w14:textFill>
        </w:rPr>
        <w:t xml:space="preserve"> 保护层厚度应符合设计要求，钢筋机械连接接头的最小保护层厚度不宜小于 20mm；。</w:t>
      </w:r>
    </w:p>
    <w:p>
      <w:pPr>
        <w:pStyle w:val="22"/>
        <w:tabs>
          <w:tab w:val="left" w:pos="851"/>
        </w:tabs>
        <w:snapToGrid w:val="0"/>
        <w:spacing w:line="360" w:lineRule="auto"/>
        <w:ind w:firstLine="0" w:firstLineChars="0"/>
        <w:jc w:val="left"/>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13.4.5 </w:t>
      </w:r>
      <w:r>
        <w:rPr>
          <w:rFonts w:hint="eastAsia" w:ascii="宋体" w:hAnsi="宋体" w:cstheme="minorEastAsia"/>
          <w:color w:val="000000" w:themeColor="text1"/>
          <w:kern w:val="0"/>
          <w:szCs w:val="21"/>
          <w14:textFill>
            <w14:solidFill>
              <w14:schemeClr w14:val="tx1"/>
            </w14:solidFill>
          </w14:textFill>
        </w:rPr>
        <w:t>钢筋焊接应采取措施防止焊渣飞溅损坏防水层；钢筋绑扎完成后应采取成品保护，不应直接踩踏。</w:t>
      </w:r>
    </w:p>
    <w:p>
      <w:pPr>
        <w:pStyle w:val="2"/>
        <w:jc w:val="center"/>
        <w:rPr>
          <w:rFonts w:hAnsi="宋体"/>
          <w:color w:val="000000" w:themeColor="text1"/>
          <w:sz w:val="24"/>
          <w14:textFill>
            <w14:solidFill>
              <w14:schemeClr w14:val="tx1"/>
            </w14:solidFill>
          </w14:textFill>
        </w:rPr>
      </w:pPr>
      <w:bookmarkStart w:id="368" w:name="_Toc9946"/>
      <w:bookmarkStart w:id="369" w:name="_Toc16707"/>
      <w:bookmarkStart w:id="370" w:name="_Toc3850"/>
      <w:bookmarkStart w:id="371" w:name="_Toc19505"/>
      <w:bookmarkStart w:id="372" w:name="_Toc30956"/>
      <w:r>
        <w:rPr>
          <w:rFonts w:hint="eastAsia" w:hAnsi="宋体"/>
          <w:color w:val="000000" w:themeColor="text1"/>
          <w:sz w:val="24"/>
          <w14:textFill>
            <w14:solidFill>
              <w14:schemeClr w14:val="tx1"/>
            </w14:solidFill>
          </w14:textFill>
        </w:rPr>
        <w:t>13.5  混凝土浇筑</w:t>
      </w:r>
      <w:bookmarkEnd w:id="367"/>
      <w:bookmarkEnd w:id="368"/>
      <w:bookmarkEnd w:id="369"/>
      <w:bookmarkEnd w:id="370"/>
      <w:bookmarkEnd w:id="371"/>
      <w:bookmarkEnd w:id="372"/>
    </w:p>
    <w:p>
      <w:pPr>
        <w:pStyle w:val="22"/>
        <w:tabs>
          <w:tab w:val="left" w:pos="851"/>
        </w:tabs>
        <w:snapToGrid w:val="0"/>
        <w:spacing w:line="360" w:lineRule="auto"/>
        <w:ind w:firstLine="0" w:firstLineChars="0"/>
        <w:jc w:val="left"/>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13.5.1 </w:t>
      </w:r>
      <w:r>
        <w:rPr>
          <w:rFonts w:hint="eastAsia" w:ascii="宋体" w:hAnsi="宋体" w:cstheme="minorEastAsia"/>
          <w:color w:val="000000" w:themeColor="text1"/>
          <w:kern w:val="0"/>
          <w:szCs w:val="21"/>
          <w14:textFill>
            <w14:solidFill>
              <w14:schemeClr w14:val="tx1"/>
            </w14:solidFill>
          </w14:textFill>
        </w:rPr>
        <w:t>浇筑混凝土前，模板内的杂物应清理干净；木模板应浇水湿润，但模板内不应积水。</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13.5.2 </w:t>
      </w:r>
      <w:r>
        <w:rPr>
          <w:rFonts w:hint="eastAsia" w:hAnsi="宋体"/>
          <w:color w:val="000000" w:themeColor="text1"/>
          <w:szCs w:val="21"/>
          <w14:textFill>
            <w14:solidFill>
              <w14:schemeClr w14:val="tx1"/>
            </w14:solidFill>
          </w14:textFill>
        </w:rPr>
        <w:t>混凝土运输应符合下列规定：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运输应采用混凝土搅拌运输车，路途中应匀速缓慢转动罐体，防止混凝土发生离析；</w:t>
      </w:r>
    </w:p>
    <w:p>
      <w:pPr>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ascii="宋体" w:hAnsi="宋体" w:cstheme="minorEastAsia"/>
          <w:color w:val="000000" w:themeColor="text1"/>
          <w:kern w:val="0"/>
          <w:szCs w:val="21"/>
          <w14:textFill>
            <w14:solidFill>
              <w14:schemeClr w14:val="tx1"/>
            </w14:solidFill>
          </w14:textFill>
        </w:rPr>
        <w:t xml:space="preserve"> 混凝土供应应保证现场能够连续作业。</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13.5.3 </w:t>
      </w:r>
      <w:r>
        <w:rPr>
          <w:rFonts w:hint="eastAsia" w:hAnsi="宋体"/>
          <w:color w:val="000000" w:themeColor="text1"/>
          <w:szCs w:val="21"/>
          <w14:textFill>
            <w14:solidFill>
              <w14:schemeClr w14:val="tx1"/>
            </w14:solidFill>
          </w14:textFill>
        </w:rPr>
        <w:t xml:space="preserve">隧道二衬混凝土浇筑应符合下列规定： </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混凝土宜采用输送泵输送，塌落度宜为 150mm</w:t>
      </w:r>
      <w:r>
        <w:rPr>
          <w:rFonts w:hint="eastAsia" w:ascii="宋体" w:hAnsi="宋体" w:cs="宋体"/>
          <w:color w:val="000000" w:themeColor="text1"/>
          <w:kern w:val="0"/>
          <w:szCs w:val="21"/>
          <w14:textFill>
            <w14:solidFill>
              <w14:schemeClr w14:val="tx1"/>
            </w14:solidFill>
          </w14:textFill>
        </w:rPr>
        <w:t>～</w:t>
      </w:r>
      <w:r>
        <w:rPr>
          <w:rFonts w:hint="eastAsia" w:ascii="宋体" w:hAnsi="宋体" w:cstheme="minorEastAsia"/>
          <w:color w:val="000000" w:themeColor="text1"/>
          <w:kern w:val="0"/>
          <w:szCs w:val="21"/>
          <w14:textFill>
            <w14:solidFill>
              <w14:schemeClr w14:val="tx1"/>
            </w14:solidFill>
          </w14:textFill>
        </w:rPr>
        <w:t xml:space="preserve">180mm； </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 xml:space="preserve">两侧边墙应分层、对称浇筑，每层厚度宜为500mm； </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theme="minorEastAsia"/>
          <w:color w:val="000000" w:themeColor="text1"/>
          <w:kern w:val="0"/>
          <w:szCs w:val="21"/>
          <w14:textFill>
            <w14:solidFill>
              <w14:schemeClr w14:val="tx1"/>
            </w14:solidFill>
          </w14:textFill>
        </w:rPr>
        <w:t>混凝土浇筑至拱墙交界处，应间歇1h</w:t>
      </w:r>
      <w:r>
        <w:rPr>
          <w:rFonts w:hint="eastAsia" w:ascii="宋体" w:hAnsi="宋体" w:cs="宋体"/>
          <w:color w:val="000000" w:themeColor="text1"/>
          <w:kern w:val="0"/>
          <w:szCs w:val="21"/>
          <w14:textFill>
            <w14:solidFill>
              <w14:schemeClr w14:val="tx1"/>
            </w14:solidFill>
          </w14:textFill>
        </w:rPr>
        <w:t>～</w:t>
      </w:r>
      <w:r>
        <w:rPr>
          <w:rFonts w:hint="eastAsia" w:ascii="宋体" w:hAnsi="宋体" w:cstheme="minorEastAsia"/>
          <w:color w:val="000000" w:themeColor="text1"/>
          <w:kern w:val="0"/>
          <w:szCs w:val="21"/>
          <w14:textFill>
            <w14:solidFill>
              <w14:schemeClr w14:val="tx1"/>
            </w14:solidFill>
          </w14:textFill>
        </w:rPr>
        <w:t xml:space="preserve">1.5h后方可继续浇筑拱部混凝土。 </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ascii="宋体" w:hAnsi="宋体" w:cstheme="minorEastAsia"/>
          <w:color w:val="000000" w:themeColor="text1"/>
          <w:kern w:val="0"/>
          <w:szCs w:val="21"/>
          <w14:textFill>
            <w14:solidFill>
              <w14:schemeClr w14:val="tx1"/>
            </w14:solidFill>
          </w14:textFill>
        </w:rPr>
        <w:t>拱部混凝土浇筑结束前，输送泵宜保压3min；</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5 </w:t>
      </w:r>
      <w:r>
        <w:rPr>
          <w:rFonts w:hint="eastAsia" w:ascii="宋体" w:hAnsi="宋体" w:cstheme="minorEastAsia"/>
          <w:color w:val="000000" w:themeColor="text1"/>
          <w:kern w:val="0"/>
          <w:szCs w:val="21"/>
          <w14:textFill>
            <w14:solidFill>
              <w14:schemeClr w14:val="tx1"/>
            </w14:solidFill>
          </w14:textFill>
        </w:rPr>
        <w:t xml:space="preserve">边墙与拱部分别浇筑时，边墙浇筑宜采用插入式振捣器振捣；边墙与拱部一体挠筑时，宜采用模板外挂式振捣器，人工振捣配合；振捣不应触及防水层、钢筋、预埋件、封端模板。 </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13.5.4 </w:t>
      </w:r>
      <w:r>
        <w:rPr>
          <w:rFonts w:hint="eastAsia" w:hAnsi="宋体"/>
          <w:color w:val="000000" w:themeColor="text1"/>
          <w:szCs w:val="21"/>
          <w14:textFill>
            <w14:solidFill>
              <w14:schemeClr w14:val="tx1"/>
            </w14:solidFill>
          </w14:textFill>
        </w:rPr>
        <w:t>采用输送泵浇筑，应符合下列规定：</w:t>
      </w:r>
    </w:p>
    <w:p>
      <w:pPr>
        <w:spacing w:line="360" w:lineRule="auto"/>
        <w:ind w:firstLine="361" w:firstLineChars="171"/>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1</w:t>
      </w:r>
      <w:r>
        <w:rPr>
          <w:rFonts w:hint="eastAsia" w:ascii="宋体" w:hAnsi="宋体" w:cstheme="minorEastAsia"/>
          <w:color w:val="000000" w:themeColor="text1"/>
          <w:kern w:val="0"/>
          <w:szCs w:val="21"/>
          <w14:textFill>
            <w14:solidFill>
              <w14:schemeClr w14:val="tx1"/>
            </w14:solidFill>
          </w14:textFill>
        </w:rPr>
        <w:t xml:space="preserve"> 管路拐弯宜缓，接头应严密； </w:t>
      </w:r>
    </w:p>
    <w:p>
      <w:pPr>
        <w:spacing w:line="360" w:lineRule="auto"/>
        <w:ind w:firstLine="361" w:firstLineChars="171"/>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ascii="宋体" w:hAnsi="宋体" w:cstheme="minorEastAsia"/>
          <w:color w:val="000000" w:themeColor="text1"/>
          <w:kern w:val="0"/>
          <w:szCs w:val="21"/>
          <w14:textFill>
            <w14:solidFill>
              <w14:schemeClr w14:val="tx1"/>
            </w14:solidFill>
          </w14:textFill>
        </w:rPr>
        <w:t xml:space="preserve"> 受料斗内应保持足够数量的混凝土； </w:t>
      </w:r>
    </w:p>
    <w:p>
      <w:pPr>
        <w:spacing w:line="360" w:lineRule="auto"/>
        <w:ind w:firstLine="361" w:firstLineChars="171"/>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ascii="宋体" w:hAnsi="宋体" w:cstheme="minorEastAsia"/>
          <w:color w:val="000000" w:themeColor="text1"/>
          <w:kern w:val="0"/>
          <w:szCs w:val="21"/>
          <w14:textFill>
            <w14:solidFill>
              <w14:schemeClr w14:val="tx1"/>
            </w14:solidFill>
          </w14:textFill>
        </w:rPr>
        <w:t xml:space="preserve"> 不应发生离析现象； </w:t>
      </w:r>
    </w:p>
    <w:p>
      <w:pPr>
        <w:snapToGrid w:val="0"/>
        <w:spacing w:line="360" w:lineRule="auto"/>
        <w:ind w:firstLine="361" w:firstLineChars="171"/>
        <w:jc w:val="left"/>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ascii="宋体" w:hAnsi="宋体" w:cstheme="minorEastAsia"/>
          <w:color w:val="000000" w:themeColor="text1"/>
          <w:kern w:val="0"/>
          <w:szCs w:val="21"/>
          <w14:textFill>
            <w14:solidFill>
              <w14:schemeClr w14:val="tx1"/>
            </w14:solidFill>
          </w14:textFill>
        </w:rPr>
        <w:t>间歇时间不宜超过45min；出现堵管时，宜冲清理、洗管路后重新泵送。</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13.5.5 </w:t>
      </w:r>
      <w:r>
        <w:rPr>
          <w:rFonts w:hint="eastAsia" w:hAnsi="宋体"/>
          <w:color w:val="000000" w:themeColor="text1"/>
          <w:szCs w:val="21"/>
          <w14:textFill>
            <w14:solidFill>
              <w14:schemeClr w14:val="tx1"/>
            </w14:solidFill>
          </w14:textFill>
        </w:rPr>
        <w:t>变形缝混凝土灌注应符合下列规定：</w:t>
      </w:r>
    </w:p>
    <w:p>
      <w:pPr>
        <w:pStyle w:val="22"/>
        <w:tabs>
          <w:tab w:val="left" w:pos="851"/>
        </w:tabs>
        <w:snapToGrid w:val="0"/>
        <w:spacing w:line="360" w:lineRule="auto"/>
        <w:ind w:firstLine="422"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hAnsi="宋体"/>
          <w:color w:val="000000" w:themeColor="text1"/>
          <w:szCs w:val="21"/>
          <w14:textFill>
            <w14:solidFill>
              <w14:schemeClr w14:val="tx1"/>
            </w14:solidFill>
          </w14:textFill>
        </w:rPr>
        <w:t>灌注前应校正止水带位置，表面清理干净，止水带损坏处应修补；</w:t>
      </w:r>
    </w:p>
    <w:p>
      <w:pPr>
        <w:pStyle w:val="22"/>
        <w:tabs>
          <w:tab w:val="left" w:pos="851"/>
        </w:tabs>
        <w:snapToGrid w:val="0"/>
        <w:spacing w:line="360" w:lineRule="auto"/>
        <w:ind w:firstLine="422"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hAnsi="宋体"/>
          <w:color w:val="000000" w:themeColor="text1"/>
          <w:szCs w:val="21"/>
          <w14:textFill>
            <w14:solidFill>
              <w14:schemeClr w14:val="tx1"/>
            </w14:solidFill>
          </w14:textFill>
        </w:rPr>
        <w:t>顶、底板结构止水带下侧的混凝土应振捣密实，将止水带压紧后方可继续灌注混凝土；</w:t>
      </w:r>
    </w:p>
    <w:p>
      <w:pPr>
        <w:pStyle w:val="22"/>
        <w:tabs>
          <w:tab w:val="left" w:pos="851"/>
        </w:tabs>
        <w:snapToGrid w:val="0"/>
        <w:spacing w:line="360" w:lineRule="auto"/>
        <w:ind w:firstLine="422"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hAnsi="宋体"/>
          <w:color w:val="000000" w:themeColor="text1"/>
          <w:szCs w:val="21"/>
          <w14:textFill>
            <w14:solidFill>
              <w14:schemeClr w14:val="tx1"/>
            </w14:solidFill>
          </w14:textFill>
        </w:rPr>
        <w:t>边墙处止水带应固定，内外侧混凝土应均匀、水平灌注，保持止水带位置正确、平直、无卷曲现象。</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13.5.6 </w:t>
      </w:r>
      <w:r>
        <w:rPr>
          <w:rFonts w:hint="eastAsia" w:hAnsi="宋体"/>
          <w:color w:val="000000" w:themeColor="text1"/>
          <w:szCs w:val="21"/>
          <w14:textFill>
            <w14:solidFill>
              <w14:schemeClr w14:val="tx1"/>
            </w14:solidFill>
          </w14:textFill>
        </w:rPr>
        <w:t xml:space="preserve">结构变形缝、施工缝、穿墙管、不同工法间接口、 附属与主体预留接口等特殊部位应制定相应的技术措施，施工中应 加强振捣，不应漏振。 </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13.5.7 </w:t>
      </w:r>
      <w:r>
        <w:rPr>
          <w:rFonts w:hint="eastAsia" w:hAnsi="宋体"/>
          <w:color w:val="000000" w:themeColor="text1"/>
          <w:szCs w:val="21"/>
          <w14:textFill>
            <w14:solidFill>
              <w14:schemeClr w14:val="tx1"/>
            </w14:solidFill>
          </w14:textFill>
        </w:rPr>
        <w:t xml:space="preserve">暗挖车站混凝土浇筑入模应符合下列规定： </w:t>
      </w:r>
    </w:p>
    <w:p>
      <w:pPr>
        <w:spacing w:line="360" w:lineRule="auto"/>
        <w:ind w:firstLine="361" w:firstLineChars="171"/>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入模塌落度宜控制在 120mm</w:t>
      </w:r>
      <w:r>
        <w:rPr>
          <w:rFonts w:hint="eastAsia" w:ascii="宋体" w:hAnsi="宋体" w:cs="宋体"/>
          <w:color w:val="000000" w:themeColor="text1"/>
          <w:kern w:val="0"/>
          <w:szCs w:val="21"/>
          <w14:textFill>
            <w14:solidFill>
              <w14:schemeClr w14:val="tx1"/>
            </w14:solidFill>
          </w14:textFill>
        </w:rPr>
        <w:t>～</w:t>
      </w:r>
      <w:r>
        <w:rPr>
          <w:rFonts w:hint="eastAsia" w:ascii="宋体" w:hAnsi="宋体" w:cstheme="minorEastAsia"/>
          <w:color w:val="000000" w:themeColor="text1"/>
          <w:kern w:val="0"/>
          <w:szCs w:val="21"/>
          <w14:textFill>
            <w14:solidFill>
              <w14:schemeClr w14:val="tx1"/>
            </w14:solidFill>
          </w14:textFill>
        </w:rPr>
        <w:t>160mm；配筋密集的部位及隧道的拱部，不宜大于 200mm；检测塌落度时，应观察其和易性，不应存在泌水、离析、分层现象；</w:t>
      </w:r>
    </w:p>
    <w:p>
      <w:pPr>
        <w:spacing w:line="360" w:lineRule="auto"/>
        <w:ind w:firstLine="361" w:firstLineChars="171"/>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浇筑时如出现离析，应进行二次搅拌；塌落度损失后不能满足施工要求时，应加入原水胶比的水泥浆或掺加同品种的减水剂进行搅拌，不应直接加水；</w:t>
      </w:r>
    </w:p>
    <w:p>
      <w:pPr>
        <w:spacing w:line="360" w:lineRule="auto"/>
        <w:ind w:firstLine="361" w:firstLineChars="171"/>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theme="minorEastAsia"/>
          <w:color w:val="000000" w:themeColor="text1"/>
          <w:kern w:val="0"/>
          <w:szCs w:val="21"/>
          <w14:textFill>
            <w14:solidFill>
              <w14:schemeClr w14:val="tx1"/>
            </w14:solidFill>
          </w14:textFill>
        </w:rPr>
        <w:t xml:space="preserve">当浇筑结构的高度超过3m 时，应采用串筒、榴槽或振动溜管下落。 </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13.5.8 </w:t>
      </w:r>
      <w:r>
        <w:rPr>
          <w:rFonts w:hint="eastAsia" w:hAnsi="宋体"/>
          <w:color w:val="000000" w:themeColor="text1"/>
          <w:szCs w:val="21"/>
          <w14:textFill>
            <w14:solidFill>
              <w14:schemeClr w14:val="tx1"/>
            </w14:solidFill>
          </w14:textFill>
        </w:rPr>
        <w:t xml:space="preserve">暗挖车站混凝土浇筑应分层连续浇筑，层厚不应大于500mm，并应由低处向高处浇筑。如需间歇浇筑时，上层混凝土应在下层混凝土初凝前开始浇筑，否则应按施工缝处理。 </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13.5.9 </w:t>
      </w:r>
      <w:r>
        <w:rPr>
          <w:rFonts w:hint="eastAsia" w:hAnsi="宋体"/>
          <w:color w:val="000000" w:themeColor="text1"/>
          <w:szCs w:val="21"/>
          <w14:textFill>
            <w14:solidFill>
              <w14:schemeClr w14:val="tx1"/>
            </w14:solidFill>
          </w14:textFill>
        </w:rPr>
        <w:t>混凝土应采用机械振捣应符合下列规定：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1</w:t>
      </w:r>
      <w:r>
        <w:rPr>
          <w:rFonts w:hint="eastAsia" w:ascii="宋体" w:hAnsi="宋体" w:cstheme="minorEastAsia"/>
          <w:color w:val="000000" w:themeColor="text1"/>
          <w:kern w:val="0"/>
          <w:szCs w:val="21"/>
          <w14:textFill>
            <w14:solidFill>
              <w14:schemeClr w14:val="tx1"/>
            </w14:solidFill>
          </w14:textFill>
        </w:rPr>
        <w:t xml:space="preserve"> 应以混凝土表面泛浆和不冒气泡为准，应避免漏振、欠振和超振；</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ascii="宋体" w:hAnsi="宋体" w:cstheme="minorEastAsia"/>
          <w:color w:val="000000" w:themeColor="text1"/>
          <w:kern w:val="0"/>
          <w:szCs w:val="21"/>
          <w14:textFill>
            <w14:solidFill>
              <w14:schemeClr w14:val="tx1"/>
            </w14:solidFill>
          </w14:textFill>
        </w:rPr>
        <w:t xml:space="preserve"> 插入式振捣器移距不宜大于作用半径的1倍，插入下层混凝土深度不应小于 50mm。 表面振捣器移距应与巳振捣混凝土搭接100mm以上；</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theme="minorEastAsia"/>
          <w:color w:val="000000" w:themeColor="text1"/>
          <w:kern w:val="0"/>
          <w:szCs w:val="21"/>
          <w14:textFill>
            <w14:solidFill>
              <w14:schemeClr w14:val="tx1"/>
            </w14:solidFill>
          </w14:textFill>
        </w:rPr>
        <w:t>振捣时不应碰撞钢筋、模板、预留预埋件、止水带和防水层等；</w:t>
      </w:r>
    </w:p>
    <w:p>
      <w:pPr>
        <w:snapToGrid w:val="0"/>
        <w:spacing w:line="360" w:lineRule="auto"/>
        <w:ind w:firstLine="422" w:firstLineChars="20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ascii="宋体" w:hAnsi="宋体" w:cstheme="minorEastAsia"/>
          <w:color w:val="000000" w:themeColor="text1"/>
          <w:kern w:val="0"/>
          <w:szCs w:val="21"/>
          <w14:textFill>
            <w14:solidFill>
              <w14:schemeClr w14:val="tx1"/>
            </w14:solidFill>
          </w14:textFill>
        </w:rPr>
        <w:t xml:space="preserve">混凝土终凝前应进行压实赶光，并应及时覆盖。 </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13.5.10 </w:t>
      </w:r>
      <w:r>
        <w:rPr>
          <w:rFonts w:hint="eastAsia" w:hAnsi="宋体"/>
          <w:color w:val="000000" w:themeColor="text1"/>
          <w:szCs w:val="21"/>
          <w14:textFill>
            <w14:solidFill>
              <w14:schemeClr w14:val="tx1"/>
            </w14:solidFill>
          </w14:textFill>
        </w:rPr>
        <w:t>暗挖车站逆作法边墙结构施工缝混凝土浇筑应符合现行国家标准《建筑工程逆作法技术标准》JGJ432的规定。</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13.5.11 </w:t>
      </w:r>
      <w:r>
        <w:rPr>
          <w:rFonts w:hint="eastAsia" w:hAnsi="宋体"/>
          <w:color w:val="000000" w:themeColor="text1"/>
          <w:szCs w:val="21"/>
          <w14:textFill>
            <w14:solidFill>
              <w14:schemeClr w14:val="tx1"/>
            </w14:solidFill>
          </w14:textFill>
        </w:rPr>
        <w:t>混凝土运输、浇筑及间歇的全部时间不应超过混凝土的初凝时间，同一施工段的混凝土应连 续浇筑，并应在底层混凝土初凝之前将上一层混凝土浇筑完毕，当底层混凝土初凝后浇筑上一层混凝土时，应按施工缝进行处理。</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13.5.12 </w:t>
      </w:r>
      <w:r>
        <w:rPr>
          <w:rFonts w:hint="eastAsia" w:hAnsi="宋体"/>
          <w:color w:val="000000" w:themeColor="text1"/>
          <w:szCs w:val="21"/>
          <w14:textFill>
            <w14:solidFill>
              <w14:schemeClr w14:val="tx1"/>
            </w14:solidFill>
          </w14:textFill>
        </w:rPr>
        <w:t xml:space="preserve">冬期混凝土浇筑的入模温度不应低5℃，并应采取保温防冻措施，防止混凝土受冻。 </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13.5.13 </w:t>
      </w:r>
      <w:r>
        <w:rPr>
          <w:rFonts w:hint="eastAsia" w:hAnsi="宋体"/>
          <w:color w:val="000000" w:themeColor="text1"/>
          <w:szCs w:val="21"/>
          <w14:textFill>
            <w14:solidFill>
              <w14:schemeClr w14:val="tx1"/>
            </w14:solidFill>
          </w14:textFill>
        </w:rPr>
        <w:t>现浇混凝土养护应符合下列规定：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混凝土终凝后应立即进行养护，并应保持湿润，养护期不应少于14d；</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 xml:space="preserve">冬期浇筑应采用综合蓄热法、暖棚法等方法保温养护，不应采用电热法或蒸气直接加热法； </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ascii="宋体" w:hAnsi="宋体" w:cstheme="minorEastAsia"/>
          <w:color w:val="000000" w:themeColor="text1"/>
          <w:kern w:val="0"/>
          <w:szCs w:val="21"/>
          <w14:textFill>
            <w14:solidFill>
              <w14:schemeClr w14:val="tx1"/>
            </w14:solidFill>
          </w14:textFill>
        </w:rPr>
        <w:t xml:space="preserve"> 养护期间混凝土浇筑体的里表温差不宜超过25℃ ，表面与大气温差不宜超过20℃；</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ascii="宋体" w:hAnsi="宋体" w:cstheme="minorEastAsia"/>
          <w:color w:val="000000" w:themeColor="text1"/>
          <w:kern w:val="0"/>
          <w:szCs w:val="21"/>
          <w14:textFill>
            <w14:solidFill>
              <w14:schemeClr w14:val="tx1"/>
            </w14:solidFill>
          </w14:textFill>
        </w:rPr>
        <w:t xml:space="preserve">拆模时间不应早于3d，拆模后应采取措施继续养护。 </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373" w:name="_Toc9975"/>
      <w:bookmarkStart w:id="374" w:name="_Toc7253"/>
      <w:bookmarkStart w:id="375" w:name="_Toc11332"/>
      <w:bookmarkStart w:id="376" w:name="_Toc26207"/>
      <w:bookmarkStart w:id="377" w:name="_Toc1433"/>
      <w:bookmarkStart w:id="378" w:name="_Toc7502"/>
      <w:r>
        <w:rPr>
          <w:rFonts w:hint="eastAsia" w:hAnsi="宋体"/>
          <w:b/>
          <w:color w:val="000000" w:themeColor="text1"/>
          <w:sz w:val="24"/>
          <w14:textFill>
            <w14:solidFill>
              <w14:schemeClr w14:val="tx1"/>
            </w14:solidFill>
          </w14:textFill>
        </w:rPr>
        <w:t>13.6  二衬背后回填注浆</w:t>
      </w:r>
      <w:bookmarkEnd w:id="373"/>
      <w:bookmarkEnd w:id="374"/>
      <w:bookmarkEnd w:id="375"/>
      <w:bookmarkEnd w:id="376"/>
      <w:bookmarkEnd w:id="377"/>
      <w:bookmarkEnd w:id="378"/>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13.6.1 </w:t>
      </w:r>
      <w:r>
        <w:rPr>
          <w:rFonts w:hint="eastAsia" w:hAnsi="宋体"/>
          <w:color w:val="000000" w:themeColor="text1"/>
          <w:szCs w:val="21"/>
          <w14:textFill>
            <w14:solidFill>
              <w14:schemeClr w14:val="tx1"/>
            </w14:solidFill>
          </w14:textFill>
        </w:rPr>
        <w:t>回填注浆应在二次衬砌混凝土达到设计强度75%后进行。</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13.6.2 </w:t>
      </w:r>
      <w:r>
        <w:rPr>
          <w:rFonts w:hint="eastAsia" w:hAnsi="宋体"/>
          <w:color w:val="000000" w:themeColor="text1"/>
          <w:szCs w:val="21"/>
          <w14:textFill>
            <w14:solidFill>
              <w14:schemeClr w14:val="tx1"/>
            </w14:solidFill>
          </w14:textFill>
        </w:rPr>
        <w:t>当二次衬砌结构施工时，应在拱部预留注浆管，注浆管宜采用Φ42</w:t>
      </w:r>
      <w:r>
        <w:rPr>
          <w:rFonts w:ascii="Arial" w:hAnsi="Arial" w:cs="Arial"/>
          <w:color w:val="000000" w:themeColor="text1"/>
          <w:szCs w:val="21"/>
          <w14:textFill>
            <w14:solidFill>
              <w14:schemeClr w14:val="tx1"/>
            </w14:solidFill>
          </w14:textFill>
        </w:rPr>
        <w:t>×</w:t>
      </w:r>
      <w:r>
        <w:rPr>
          <w:rFonts w:hint="eastAsia" w:hAnsi="宋体"/>
          <w:color w:val="000000" w:themeColor="text1"/>
          <w:szCs w:val="21"/>
          <w14:textFill>
            <w14:solidFill>
              <w14:schemeClr w14:val="tx1"/>
            </w14:solidFill>
          </w14:textFill>
        </w:rPr>
        <w:t>3.5mm钢管，注浆管端部距离防水层宜为10mm</w:t>
      </w:r>
      <w:r>
        <w:rPr>
          <w:rFonts w:hint="eastAsia" w:ascii="宋体" w:hAnsi="宋体" w:cs="宋体"/>
          <w:color w:val="000000" w:themeColor="text1"/>
          <w:szCs w:val="21"/>
          <w14:textFill>
            <w14:solidFill>
              <w14:schemeClr w14:val="tx1"/>
            </w14:solidFill>
          </w14:textFill>
        </w:rPr>
        <w:t>～20mm，</w:t>
      </w:r>
      <w:r>
        <w:rPr>
          <w:rFonts w:hint="eastAsia" w:hAnsi="宋体"/>
          <w:color w:val="000000" w:themeColor="text1"/>
          <w:szCs w:val="21"/>
          <w14:textFill>
            <w14:solidFill>
              <w14:schemeClr w14:val="tx1"/>
            </w14:solidFill>
          </w14:textFill>
        </w:rPr>
        <w:t>外露长度宜为200mm。</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13.6.3 </w:t>
      </w:r>
      <w:r>
        <w:rPr>
          <w:rFonts w:hint="eastAsia" w:hAnsi="宋体"/>
          <w:color w:val="000000" w:themeColor="text1"/>
          <w:szCs w:val="21"/>
          <w14:textFill>
            <w14:solidFill>
              <w14:schemeClr w14:val="tx1"/>
            </w14:solidFill>
          </w14:textFill>
        </w:rPr>
        <w:t>二衬背后回填注浆管宜在隧道顶端，纵向间距宜为10m～15m。</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13.6.4 </w:t>
      </w:r>
      <w:r>
        <w:rPr>
          <w:rFonts w:hint="eastAsia" w:hAnsi="宋体"/>
          <w:color w:val="000000" w:themeColor="text1"/>
          <w:szCs w:val="21"/>
          <w14:textFill>
            <w14:solidFill>
              <w14:schemeClr w14:val="tx1"/>
            </w14:solidFill>
          </w14:textFill>
        </w:rPr>
        <w:t>回填注浆压力不宜大于0.2MPa。</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13.6.5 </w:t>
      </w:r>
      <w:r>
        <w:rPr>
          <w:rFonts w:hint="eastAsia" w:hAnsi="宋体"/>
          <w:color w:val="000000" w:themeColor="text1"/>
          <w:szCs w:val="21"/>
          <w14:textFill>
            <w14:solidFill>
              <w14:schemeClr w14:val="tx1"/>
            </w14:solidFill>
          </w14:textFill>
        </w:rPr>
        <w:t>注浆宜从低处压注，端部冒浆为止，注浆过程中应观察、记录注浆压力和流量。</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13.6.6 </w:t>
      </w:r>
      <w:r>
        <w:rPr>
          <w:rFonts w:hint="eastAsia" w:hAnsi="宋体"/>
          <w:color w:val="000000" w:themeColor="text1"/>
          <w:szCs w:val="21"/>
          <w14:textFill>
            <w14:solidFill>
              <w14:schemeClr w14:val="tx1"/>
            </w14:solidFill>
          </w14:textFill>
        </w:rPr>
        <w:t>当注浆压力达到0.2MPa或相邻孔出现冒浆时，即可结束本次注浆。</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379" w:name="_Toc1331"/>
      <w:bookmarkStart w:id="380" w:name="_Toc28234"/>
      <w:bookmarkStart w:id="381" w:name="_Toc6677"/>
      <w:bookmarkStart w:id="382" w:name="_Toc13677"/>
      <w:bookmarkStart w:id="383" w:name="_Toc28548"/>
      <w:bookmarkStart w:id="384" w:name="_Toc19595"/>
      <w:r>
        <w:rPr>
          <w:rFonts w:hint="eastAsia" w:hAnsi="宋体"/>
          <w:b/>
          <w:color w:val="000000" w:themeColor="text1"/>
          <w:sz w:val="24"/>
          <w14:textFill>
            <w14:solidFill>
              <w14:schemeClr w14:val="tx1"/>
            </w14:solidFill>
          </w14:textFill>
        </w:rPr>
        <w:t>13.7  临时中隔壁（支撑）拆除和体系转换</w:t>
      </w:r>
      <w:bookmarkEnd w:id="379"/>
      <w:bookmarkEnd w:id="380"/>
      <w:bookmarkEnd w:id="381"/>
      <w:bookmarkEnd w:id="382"/>
      <w:bookmarkEnd w:id="383"/>
      <w:bookmarkEnd w:id="384"/>
    </w:p>
    <w:p>
      <w:pPr>
        <w:pStyle w:val="22"/>
        <w:tabs>
          <w:tab w:val="left" w:pos="851"/>
        </w:tabs>
        <w:snapToGrid w:val="0"/>
        <w:spacing w:line="360" w:lineRule="auto"/>
        <w:ind w:firstLine="0" w:firstLineChars="0"/>
        <w:jc w:val="left"/>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13.7.1</w:t>
      </w:r>
      <w:r>
        <w:rPr>
          <w:rFonts w:hint="eastAsia" w:hAnsi="宋体"/>
          <w:color w:val="000000" w:themeColor="text1"/>
          <w:szCs w:val="21"/>
          <w14:textFill>
            <w14:solidFill>
              <w14:schemeClr w14:val="tx1"/>
            </w14:solidFill>
          </w14:textFill>
        </w:rPr>
        <w:t xml:space="preserve"> 竖井内支撑拆除应根据二衬结构施工分层进行，底部第一道支撑应在底板混凝土浇筑完成，且达到设计强度的80%方可拆除。</w:t>
      </w:r>
    </w:p>
    <w:p>
      <w:pPr>
        <w:pStyle w:val="22"/>
        <w:tabs>
          <w:tab w:val="left" w:pos="851"/>
        </w:tabs>
        <w:snapToGrid w:val="0"/>
        <w:spacing w:line="360" w:lineRule="auto"/>
        <w:ind w:firstLine="0" w:firstLineChars="0"/>
        <w:jc w:val="left"/>
        <w:rPr>
          <w:rFonts w:ascii="宋体" w:hAnsi="宋体" w:cstheme="minorEastAsia"/>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13.7.2 </w:t>
      </w:r>
      <w:r>
        <w:rPr>
          <w:rFonts w:hint="eastAsia" w:hAnsi="宋体" w:cstheme="minorEastAsia"/>
          <w:color w:val="000000" w:themeColor="text1"/>
          <w:szCs w:val="21"/>
          <w14:textFill>
            <w14:solidFill>
              <w14:schemeClr w14:val="tx1"/>
            </w14:solidFill>
          </w14:textFill>
        </w:rPr>
        <w:t>隧道</w:t>
      </w:r>
      <w:r>
        <w:rPr>
          <w:rFonts w:hint="eastAsia" w:hAnsi="宋体"/>
          <w:color w:val="000000" w:themeColor="text1"/>
          <w:szCs w:val="21"/>
          <w14:textFill>
            <w14:solidFill>
              <w14:schemeClr w14:val="tx1"/>
            </w14:solidFill>
          </w14:textFill>
        </w:rPr>
        <w:t>侧壁、中隔壁（板）、临时仰拱</w:t>
      </w:r>
      <w:r>
        <w:rPr>
          <w:rFonts w:hint="eastAsia" w:hAnsi="宋体" w:cstheme="minorEastAsia"/>
          <w:color w:val="000000" w:themeColor="text1"/>
          <w:szCs w:val="21"/>
          <w14:textFill>
            <w14:solidFill>
              <w14:schemeClr w14:val="tx1"/>
            </w14:solidFill>
          </w14:textFill>
        </w:rPr>
        <w:t>应分</w:t>
      </w:r>
      <w:r>
        <w:rPr>
          <w:rFonts w:hint="eastAsia" w:ascii="宋体" w:hAnsi="宋体" w:cstheme="minorEastAsia"/>
          <w:color w:val="000000" w:themeColor="text1"/>
          <w:szCs w:val="21"/>
          <w14:textFill>
            <w14:solidFill>
              <w14:schemeClr w14:val="tx1"/>
            </w14:solidFill>
          </w14:textFill>
        </w:rPr>
        <w:t>段拆除，分段长度应根据设计要求和监测数据确定，并</w:t>
      </w:r>
      <w:r>
        <w:rPr>
          <w:rFonts w:hint="eastAsia" w:hAnsi="宋体"/>
          <w:color w:val="000000" w:themeColor="text1"/>
          <w:szCs w:val="21"/>
          <w14:textFill>
            <w14:solidFill>
              <w14:schemeClr w14:val="tx1"/>
            </w14:solidFill>
          </w14:textFill>
        </w:rPr>
        <w:t>应符合下列规定：</w:t>
      </w:r>
    </w:p>
    <w:p>
      <w:pPr>
        <w:spacing w:line="360" w:lineRule="auto"/>
        <w:ind w:firstLine="422" w:firstLineChars="200"/>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hAnsi="宋体" w:cstheme="minorEastAsia"/>
          <w:color w:val="000000" w:themeColor="text1"/>
          <w:kern w:val="0"/>
          <w:szCs w:val="21"/>
          <w14:textFill>
            <w14:solidFill>
              <w14:schemeClr w14:val="tx1"/>
            </w14:solidFill>
          </w14:textFill>
        </w:rPr>
        <w:t>初期支护已形成封闭结构后方可进行拆除临时支撑；</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ascii="宋体" w:hAnsi="宋体" w:cstheme="minorEastAsia"/>
          <w:color w:val="000000" w:themeColor="text1"/>
          <w:kern w:val="0"/>
          <w:szCs w:val="21"/>
          <w14:textFill>
            <w14:solidFill>
              <w14:schemeClr w14:val="tx1"/>
            </w14:solidFill>
          </w14:textFill>
        </w:rPr>
        <w:t xml:space="preserve"> 拆除部位与开挖工作面距离不应小于50m，临时支撑拆除后应及时</w:t>
      </w:r>
      <w:r>
        <w:rPr>
          <w:rFonts w:hint="eastAsia" w:hAnsi="宋体" w:cstheme="minorEastAsia"/>
          <w:color w:val="000000" w:themeColor="text1"/>
          <w:szCs w:val="21"/>
          <w14:textFill>
            <w14:solidFill>
              <w14:schemeClr w14:val="tx1"/>
            </w14:solidFill>
          </w14:textFill>
        </w:rPr>
        <w:t>铺防水层、</w:t>
      </w:r>
      <w:r>
        <w:rPr>
          <w:rFonts w:hint="eastAsia" w:ascii="宋体" w:hAnsi="宋体" w:cstheme="minorEastAsia"/>
          <w:color w:val="000000" w:themeColor="text1"/>
          <w:kern w:val="0"/>
          <w:szCs w:val="21"/>
          <w14:textFill>
            <w14:solidFill>
              <w14:schemeClr w14:val="tx1"/>
            </w14:solidFill>
          </w14:textFill>
        </w:rPr>
        <w:t>施工二衬结构；</w:t>
      </w:r>
      <w:r>
        <w:rPr>
          <w:rFonts w:hint="eastAsia" w:hAnsi="宋体" w:cstheme="minorEastAsia"/>
          <w:color w:val="000000" w:themeColor="text1"/>
          <w:szCs w:val="21"/>
          <w14:textFill>
            <w14:solidFill>
              <w14:schemeClr w14:val="tx1"/>
            </w14:solidFill>
          </w14:textFill>
        </w:rPr>
        <w:t>钢筋、防水层接头预留形式、尺寸应符合设计要求；</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theme="minorEastAsia"/>
          <w:color w:val="000000" w:themeColor="text1"/>
          <w:kern w:val="0"/>
          <w:szCs w:val="21"/>
          <w14:textFill>
            <w14:solidFill>
              <w14:schemeClr w14:val="tx1"/>
            </w14:solidFill>
          </w14:textFill>
        </w:rPr>
        <w:t>宜采用“隔3拆1”和“隔1拆1”的方法，拆除前应进行试验，监测隧道变形，优化拆除技术参数；</w:t>
      </w:r>
    </w:p>
    <w:p>
      <w:pPr>
        <w:spacing w:line="360" w:lineRule="auto"/>
        <w:ind w:firstLine="422" w:firstLineChars="200"/>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hAnsi="宋体" w:cstheme="minorEastAsia"/>
          <w:color w:val="000000" w:themeColor="text1"/>
          <w:szCs w:val="21"/>
          <w14:textFill>
            <w14:solidFill>
              <w14:schemeClr w14:val="tx1"/>
            </w14:solidFill>
          </w14:textFill>
        </w:rPr>
        <w:t>中隔板横向支撑、撑竖向支撑分段拆除的长度应符合设计要求，</w:t>
      </w:r>
      <w:r>
        <w:rPr>
          <w:rFonts w:hint="eastAsia" w:hAnsi="宋体"/>
          <w:color w:val="000000" w:themeColor="text1"/>
          <w:szCs w:val="21"/>
          <w14:textFill>
            <w14:solidFill>
              <w14:schemeClr w14:val="tx1"/>
            </w14:solidFill>
          </w14:textFill>
        </w:rPr>
        <w:t>应根据</w:t>
      </w:r>
      <w:r>
        <w:rPr>
          <w:rFonts w:hint="eastAsia" w:hAnsi="宋体" w:cstheme="minorEastAsia"/>
          <w:color w:val="000000" w:themeColor="text1"/>
          <w:szCs w:val="21"/>
          <w14:textFill>
            <w14:solidFill>
              <w14:schemeClr w14:val="tx1"/>
            </w14:solidFill>
          </w14:textFill>
        </w:rPr>
        <w:t>变形</w:t>
      </w:r>
      <w:r>
        <w:rPr>
          <w:rFonts w:hint="eastAsia" w:hAnsi="宋体"/>
          <w:color w:val="000000" w:themeColor="text1"/>
          <w:szCs w:val="21"/>
          <w14:textFill>
            <w14:solidFill>
              <w14:schemeClr w14:val="tx1"/>
            </w14:solidFill>
          </w14:textFill>
        </w:rPr>
        <w:t>监测</w:t>
      </w:r>
      <w:r>
        <w:rPr>
          <w:rFonts w:hint="eastAsia" w:hAnsi="宋体" w:cstheme="minorEastAsia"/>
          <w:color w:val="000000" w:themeColor="text1"/>
          <w:szCs w:val="21"/>
          <w14:textFill>
            <w14:solidFill>
              <w14:schemeClr w14:val="tx1"/>
            </w14:solidFill>
          </w14:textFill>
        </w:rPr>
        <w:t>情况及时进行调整，</w:t>
      </w:r>
      <w:r>
        <w:rPr>
          <w:rFonts w:hint="eastAsia" w:hAnsi="宋体"/>
          <w:color w:val="000000" w:themeColor="text1"/>
          <w:szCs w:val="21"/>
          <w14:textFill>
            <w14:solidFill>
              <w14:schemeClr w14:val="tx1"/>
            </w14:solidFill>
          </w14:textFill>
        </w:rPr>
        <w:t>确定是否进行换撑</w:t>
      </w:r>
      <w:r>
        <w:rPr>
          <w:rFonts w:hint="eastAsia" w:hAnsi="宋体" w:cstheme="minorEastAsia"/>
          <w:color w:val="000000" w:themeColor="text1"/>
          <w:szCs w:val="21"/>
          <w14:textFill>
            <w14:solidFill>
              <w14:schemeClr w14:val="tx1"/>
            </w14:solidFill>
          </w14:textFill>
        </w:rPr>
        <w:t>；</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5</w:t>
      </w:r>
      <w:r>
        <w:rPr>
          <w:rFonts w:hint="eastAsia" w:ascii="宋体" w:hAnsi="宋体" w:cstheme="minorEastAsia"/>
          <w:color w:val="000000" w:themeColor="text1"/>
          <w:kern w:val="0"/>
          <w:szCs w:val="21"/>
          <w14:textFill>
            <w14:solidFill>
              <w14:schemeClr w14:val="tx1"/>
            </w14:solidFill>
          </w14:textFill>
        </w:rPr>
        <w:t xml:space="preserve"> 各导洞临时支撑应从上至下、逐榀拆除，顺序宜为：上部中隔壁钢架→临时仰拱钢架→下部中隔壁钢架；</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6 </w:t>
      </w:r>
      <w:r>
        <w:rPr>
          <w:rFonts w:hint="eastAsia" w:ascii="宋体" w:hAnsi="宋体" w:cstheme="minorEastAsia"/>
          <w:color w:val="000000" w:themeColor="text1"/>
          <w:kern w:val="0"/>
          <w:szCs w:val="21"/>
          <w14:textFill>
            <w14:solidFill>
              <w14:schemeClr w14:val="tx1"/>
            </w14:solidFill>
          </w14:textFill>
        </w:rPr>
        <w:t>临时支撑拆除应与二衬结构施工相配合，一次拆除长度不宜大于衬砌台车的工作长度，且不宜大于6m；</w:t>
      </w:r>
    </w:p>
    <w:p>
      <w:pPr>
        <w:pStyle w:val="22"/>
        <w:tabs>
          <w:tab w:val="left" w:pos="851"/>
        </w:tabs>
        <w:snapToGrid w:val="0"/>
        <w:spacing w:line="360" w:lineRule="auto"/>
        <w:ind w:firstLine="422"/>
        <w:jc w:val="left"/>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 </w:t>
      </w:r>
      <w:r>
        <w:rPr>
          <w:rFonts w:hint="eastAsia" w:ascii="宋体" w:hAnsi="宋体" w:cstheme="minorEastAsia"/>
          <w:color w:val="000000" w:themeColor="text1"/>
          <w:kern w:val="0"/>
          <w:szCs w:val="21"/>
          <w14:textFill>
            <w14:solidFill>
              <w14:schemeClr w14:val="tx1"/>
            </w14:solidFill>
          </w14:textFill>
        </w:rPr>
        <w:t>拆除施工现场应配备相应的应急物资。</w:t>
      </w:r>
    </w:p>
    <w:p>
      <w:pPr>
        <w:pStyle w:val="21"/>
        <w:snapToGrid w:val="0"/>
        <w:spacing w:line="360" w:lineRule="auto"/>
        <w:jc w:val="both"/>
        <w:rPr>
          <w:rFonts w:ascii="Times New Roman" w:hAnsi="宋体" w:cstheme="minorEastAsia"/>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13.7.3 </w:t>
      </w:r>
      <w:r>
        <w:rPr>
          <w:rFonts w:hint="eastAsia" w:ascii="Times New Roman" w:hAnsi="宋体" w:cstheme="minorEastAsia"/>
          <w:color w:val="000000" w:themeColor="text1"/>
          <w:kern w:val="2"/>
          <w:sz w:val="21"/>
          <w:szCs w:val="21"/>
          <w14:textFill>
            <w14:solidFill>
              <w14:schemeClr w14:val="tx1"/>
            </w14:solidFill>
          </w14:textFill>
        </w:rPr>
        <w:t>中隔壁（CD）法支撑拆除宜分段、分步进行，中隔板横撑宜先拆除；竖向支撑宜在底板、边墙下部混凝土浇筑完成，达到设计强度后拆除，并应及时浇筑拱墙混凝土。</w:t>
      </w:r>
    </w:p>
    <w:p>
      <w:pPr>
        <w:pStyle w:val="21"/>
        <w:snapToGrid w:val="0"/>
        <w:spacing w:line="360" w:lineRule="auto"/>
        <w:jc w:val="both"/>
        <w:rPr>
          <w:rFonts w:ascii="Times New Roman" w:hAnsi="宋体" w:cstheme="minorEastAsia"/>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13.7.4  </w:t>
      </w:r>
      <w:r>
        <w:rPr>
          <w:rFonts w:hint="eastAsia" w:ascii="Times New Roman" w:hAnsi="宋体" w:cstheme="minorEastAsia"/>
          <w:color w:val="000000" w:themeColor="text1"/>
          <w:kern w:val="2"/>
          <w:sz w:val="21"/>
          <w:szCs w:val="21"/>
          <w14:textFill>
            <w14:solidFill>
              <w14:schemeClr w14:val="tx1"/>
            </w14:solidFill>
          </w14:textFill>
        </w:rPr>
        <w:t>交叉中隔壁（CRD）法支撑拆除应由下到上、分层、分段进行，各层支撑应跳仓拆除，顺序宜为：底层中隔墙竖向支撑</w:t>
      </w:r>
      <w:r>
        <w:rPr>
          <w:rFonts w:hint="eastAsia" w:hAnsi="宋体"/>
          <w:color w:val="000000" w:themeColor="text1"/>
          <w:kern w:val="2"/>
          <w:sz w:val="21"/>
          <w:szCs w:val="21"/>
          <w14:textFill>
            <w14:solidFill>
              <w14:schemeClr w14:val="tx1"/>
            </w14:solidFill>
          </w14:textFill>
        </w:rPr>
        <w:t>→</w:t>
      </w:r>
      <w:r>
        <w:rPr>
          <w:rFonts w:hint="eastAsia" w:ascii="Times New Roman" w:hAnsi="宋体" w:cstheme="minorEastAsia"/>
          <w:color w:val="000000" w:themeColor="text1"/>
          <w:kern w:val="2"/>
          <w:sz w:val="21"/>
          <w:szCs w:val="21"/>
          <w14:textFill>
            <w14:solidFill>
              <w14:schemeClr w14:val="tx1"/>
            </w14:solidFill>
          </w14:textFill>
        </w:rPr>
        <w:t>中部临时支撑（包括中隔墙竖向支撑和中隔板横向支撑）</w:t>
      </w:r>
      <w:r>
        <w:rPr>
          <w:rFonts w:hint="eastAsia" w:hAnsi="宋体"/>
          <w:color w:val="000000" w:themeColor="text1"/>
          <w:kern w:val="2"/>
          <w:sz w:val="21"/>
          <w:szCs w:val="21"/>
          <w14:textFill>
            <w14:solidFill>
              <w14:schemeClr w14:val="tx1"/>
            </w14:solidFill>
          </w14:textFill>
        </w:rPr>
        <w:t>→</w:t>
      </w:r>
      <w:r>
        <w:rPr>
          <w:rFonts w:hint="eastAsia" w:ascii="Times New Roman" w:hAnsi="宋体" w:cstheme="minorEastAsia"/>
          <w:color w:val="000000" w:themeColor="text1"/>
          <w:kern w:val="2"/>
          <w:sz w:val="21"/>
          <w:szCs w:val="21"/>
          <w14:textFill>
            <w14:solidFill>
              <w14:schemeClr w14:val="tx1"/>
            </w14:solidFill>
          </w14:textFill>
        </w:rPr>
        <w:t>上部临时支撑，中部、上部支撑拆除应在底层导洞二衬结构施工完成后方可进行。</w:t>
      </w: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13.7.5 </w:t>
      </w:r>
      <w:r>
        <w:rPr>
          <w:rFonts w:hint="eastAsia" w:hAnsi="宋体" w:cstheme="minorEastAsia"/>
          <w:color w:val="000000" w:themeColor="text1"/>
          <w:sz w:val="21"/>
          <w:szCs w:val="21"/>
          <w14:textFill>
            <w14:solidFill>
              <w14:schemeClr w14:val="tx1"/>
            </w14:solidFill>
          </w14:textFill>
        </w:rPr>
        <w:t>双侧壁导坑法支撑拆除和体系转换应符合下列规定：</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 </w:t>
      </w:r>
      <w:r>
        <w:rPr>
          <w:rFonts w:hint="eastAsia" w:hAnsi="宋体" w:cstheme="minorEastAsia"/>
          <w:color w:val="000000" w:themeColor="text1"/>
          <w:sz w:val="21"/>
          <w:szCs w:val="21"/>
          <w14:textFill>
            <w14:solidFill>
              <w14:schemeClr w14:val="tx1"/>
            </w14:solidFill>
          </w14:textFill>
        </w:rPr>
        <w:t>初期支护已形成封闭结构时，临时支撑逐段拆除顺序宜为：底层临时竖向支撑</w:t>
      </w:r>
      <w:r>
        <w:rPr>
          <w:rFonts w:hint="eastAsia" w:hAnsi="宋体"/>
          <w:color w:val="000000" w:themeColor="text1"/>
          <w:sz w:val="21"/>
          <w:szCs w:val="21"/>
          <w14:textFill>
            <w14:solidFill>
              <w14:schemeClr w14:val="tx1"/>
            </w14:solidFill>
          </w14:textFill>
        </w:rPr>
        <w:t>→</w:t>
      </w:r>
      <w:r>
        <w:rPr>
          <w:rFonts w:hint="eastAsia" w:hAnsi="宋体" w:cstheme="minorEastAsia"/>
          <w:color w:val="000000" w:themeColor="text1"/>
          <w:sz w:val="21"/>
          <w:szCs w:val="21"/>
          <w14:textFill>
            <w14:solidFill>
              <w14:schemeClr w14:val="tx1"/>
            </w14:solidFill>
          </w14:textFill>
        </w:rPr>
        <w:t>上部临时支撑（</w:t>
      </w:r>
      <w:r>
        <w:rPr>
          <w:rFonts w:hint="eastAsia" w:ascii="Times New Roman" w:hAnsi="宋体" w:cstheme="minorEastAsia"/>
          <w:color w:val="000000" w:themeColor="text1"/>
          <w:kern w:val="2"/>
          <w:sz w:val="21"/>
          <w:szCs w:val="21"/>
          <w14:textFill>
            <w14:solidFill>
              <w14:schemeClr w14:val="tx1"/>
            </w14:solidFill>
          </w14:textFill>
        </w:rPr>
        <w:t>包括中隔墙竖向支撑和中隔板横向支撑</w:t>
      </w:r>
      <w:r>
        <w:rPr>
          <w:rFonts w:hint="eastAsia" w:hAnsi="宋体" w:cstheme="minorEastAsia"/>
          <w:color w:val="000000" w:themeColor="text1"/>
          <w:sz w:val="21"/>
          <w:szCs w:val="21"/>
          <w14:textFill>
            <w14:solidFill>
              <w14:schemeClr w14:val="tx1"/>
            </w14:solidFill>
          </w14:textFill>
        </w:rPr>
        <w:t>），应逐段拆除临时支撑，按设计工序逐段施工二衬结构的底板、边墙和拱顶，二衬封闭成环。</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2 </w:t>
      </w:r>
      <w:r>
        <w:rPr>
          <w:rFonts w:hint="eastAsia" w:hAnsi="宋体" w:cstheme="minorEastAsia"/>
          <w:color w:val="000000" w:themeColor="text1"/>
          <w:sz w:val="21"/>
          <w:szCs w:val="21"/>
          <w14:textFill>
            <w14:solidFill>
              <w14:schemeClr w14:val="tx1"/>
            </w14:solidFill>
          </w14:textFill>
        </w:rPr>
        <w:t>当中洞初期支护底部未封闭时，侧洞内临时仰拱（中隔板临时支撑）应先分段拆除，并分段施工两侧洞内二衬结构的边墙、拱和底板；中洞上部竖向支撑应在侧洞二衬结构施工完成，并达到设计强度后分段拆除，并分段施工中洞二衬结构拱部；中洞中间土体应在中洞二衬拱部结构完成、达到设计强度后开挖，随开挖、随初期支护封闭成环，中洞初期支护贯通后，剩余临时支撑应分段拆除，中洞二衬结构底板应配合分段施作，二衬结构逐段封闭成环。</w:t>
      </w: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13.7.6 </w:t>
      </w:r>
      <w:r>
        <w:rPr>
          <w:rFonts w:hint="eastAsia" w:hAnsi="宋体" w:cstheme="minorEastAsia"/>
          <w:color w:val="000000" w:themeColor="text1"/>
          <w:sz w:val="21"/>
          <w:szCs w:val="21"/>
          <w14:textFill>
            <w14:solidFill>
              <w14:schemeClr w14:val="tx1"/>
            </w14:solidFill>
          </w14:textFill>
        </w:rPr>
        <w:t>中洞法施工双连拱隧道，体系转换应符合下列规定：</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 </w:t>
      </w:r>
      <w:r>
        <w:rPr>
          <w:rFonts w:hint="eastAsia" w:hAnsi="宋体" w:cstheme="minorEastAsia"/>
          <w:color w:val="000000" w:themeColor="text1"/>
          <w:sz w:val="21"/>
          <w:szCs w:val="21"/>
          <w14:textFill>
            <w14:solidFill>
              <w14:schemeClr w14:val="tx1"/>
            </w14:solidFill>
          </w14:textFill>
        </w:rPr>
        <w:t>中洞二衬结构墙体完成后，原临时仰拱位置应在恢复支撑，侧洞开挖应在中洞支撑恢复后进行；</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2 </w:t>
      </w:r>
      <w:r>
        <w:rPr>
          <w:rFonts w:hint="eastAsia" w:hAnsi="宋体" w:cstheme="minorEastAsia"/>
          <w:color w:val="000000" w:themeColor="text1"/>
          <w:sz w:val="21"/>
          <w:szCs w:val="21"/>
          <w14:textFill>
            <w14:solidFill>
              <w14:schemeClr w14:val="tx1"/>
            </w14:solidFill>
          </w14:textFill>
        </w:rPr>
        <w:t>中洞二衬结构墙体顶部应与初期支护密贴，墙体顶部浇筑振捣应密实，墙体与初期支护的空隙应采用注浆方法填充密实，并经检查合格方可进行两侧洞的开挖、支护；</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3 </w:t>
      </w:r>
      <w:r>
        <w:rPr>
          <w:rFonts w:hint="eastAsia" w:hAnsi="宋体" w:cstheme="minorEastAsia"/>
          <w:color w:val="000000" w:themeColor="text1"/>
          <w:sz w:val="21"/>
          <w:szCs w:val="21"/>
          <w14:textFill>
            <w14:solidFill>
              <w14:schemeClr w14:val="tx1"/>
            </w14:solidFill>
          </w14:textFill>
        </w:rPr>
        <w:t>两侧洞中隔壁及临时仰拱应分段拆除，分段施工侧洞二衬结构。</w:t>
      </w: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13.7.7 </w:t>
      </w:r>
      <w:r>
        <w:rPr>
          <w:rFonts w:hint="eastAsia" w:hAnsi="宋体" w:cstheme="minorEastAsia"/>
          <w:color w:val="000000" w:themeColor="text1"/>
          <w:sz w:val="21"/>
          <w:szCs w:val="21"/>
          <w14:textFill>
            <w14:solidFill>
              <w14:schemeClr w14:val="tx1"/>
            </w14:solidFill>
          </w14:textFill>
        </w:rPr>
        <w:t>暗挖车站中洞法体系转换应符合下列规定：</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 </w:t>
      </w:r>
      <w:r>
        <w:rPr>
          <w:rFonts w:hint="eastAsia" w:hAnsi="宋体" w:cstheme="minorEastAsia"/>
          <w:color w:val="000000" w:themeColor="text1"/>
          <w:sz w:val="21"/>
          <w:szCs w:val="21"/>
          <w14:textFill>
            <w14:solidFill>
              <w14:schemeClr w14:val="tx1"/>
            </w14:solidFill>
          </w14:textFill>
        </w:rPr>
        <w:t>中洞二次衬砌和梁、柱应在中洞初期支护完成后分段施工；</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ascii="Times New Roman" w:hAnsi="宋体" w:cs="Times New Roman"/>
          <w:b/>
          <w:bCs/>
          <w:color w:val="000000" w:themeColor="text1"/>
          <w:kern w:val="2"/>
          <w:sz w:val="21"/>
          <w:szCs w:val="21"/>
          <w14:textFill>
            <w14:solidFill>
              <w14:schemeClr w14:val="tx1"/>
            </w14:solidFill>
          </w14:textFill>
        </w:rPr>
        <w:t>2</w:t>
      </w:r>
      <w:r>
        <w:rPr>
          <w:rFonts w:hint="eastAsia" w:hAnsi="宋体" w:cstheme="minorEastAsia"/>
          <w:color w:val="000000" w:themeColor="text1"/>
          <w:sz w:val="21"/>
          <w:szCs w:val="21"/>
          <w14:textFill>
            <w14:solidFill>
              <w14:schemeClr w14:val="tx1"/>
            </w14:solidFill>
          </w14:textFill>
        </w:rPr>
        <w:t xml:space="preserve"> 中洞支撑拆除、体系转换应符合本标准中隔壁法法（CD）、交叉中隔壁法（CRD ）的有关规定；</w:t>
      </w:r>
    </w:p>
    <w:p>
      <w:pPr>
        <w:pStyle w:val="21"/>
        <w:snapToGrid w:val="0"/>
        <w:spacing w:line="360" w:lineRule="auto"/>
        <w:ind w:firstLine="422"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3 </w:t>
      </w:r>
      <w:r>
        <w:rPr>
          <w:rFonts w:hint="eastAsia" w:hAnsi="宋体" w:cstheme="minorEastAsia"/>
          <w:color w:val="000000" w:themeColor="text1"/>
          <w:sz w:val="21"/>
          <w:szCs w:val="21"/>
          <w14:textFill>
            <w14:solidFill>
              <w14:schemeClr w14:val="tx1"/>
            </w14:solidFill>
          </w14:textFill>
        </w:rPr>
        <w:t>侧洞应在中洞二次衬砌达到设计强度后，横向支撑安装后方可开挖。</w:t>
      </w:r>
    </w:p>
    <w:p>
      <w:pPr>
        <w:pStyle w:val="22"/>
        <w:tabs>
          <w:tab w:val="left" w:pos="851"/>
          <w:tab w:val="left" w:pos="5835"/>
        </w:tabs>
        <w:snapToGrid w:val="0"/>
        <w:spacing w:line="360" w:lineRule="auto"/>
        <w:ind w:firstLine="0" w:firstLineChars="0"/>
        <w:jc w:val="left"/>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13.7.8</w:t>
      </w:r>
      <w:r>
        <w:rPr>
          <w:rFonts w:hint="eastAsia"/>
          <w:b/>
          <w:bCs/>
          <w:color w:val="000000" w:themeColor="text1"/>
          <w14:textFill>
            <w14:solidFill>
              <w14:schemeClr w14:val="tx1"/>
            </w14:solidFill>
          </w14:textFill>
        </w:rPr>
        <w:t xml:space="preserve"> </w:t>
      </w:r>
      <w:r>
        <w:rPr>
          <w:rFonts w:hint="eastAsia" w:ascii="宋体" w:hAnsi="宋体" w:cstheme="minorEastAsia"/>
          <w:color w:val="000000" w:themeColor="text1"/>
          <w:kern w:val="0"/>
          <w:szCs w:val="21"/>
          <w14:textFill>
            <w14:solidFill>
              <w14:schemeClr w14:val="tx1"/>
            </w14:solidFill>
          </w14:textFill>
        </w:rPr>
        <w:t>暗挖车站</w:t>
      </w:r>
      <w:r>
        <w:rPr>
          <w:rFonts w:hint="eastAsia"/>
          <w:color w:val="000000" w:themeColor="text1"/>
          <w14:textFill>
            <w14:solidFill>
              <w14:schemeClr w14:val="tx1"/>
            </w14:solidFill>
          </w14:textFill>
        </w:rPr>
        <w:t>侧洞法</w:t>
      </w:r>
      <w:r>
        <w:rPr>
          <w:rFonts w:hint="eastAsia" w:hAnsi="宋体" w:cstheme="minorEastAsia"/>
          <w:color w:val="000000" w:themeColor="text1"/>
          <w:kern w:val="0"/>
          <w:szCs w:val="21"/>
          <w14:textFill>
            <w14:solidFill>
              <w14:schemeClr w14:val="tx1"/>
            </w14:solidFill>
          </w14:textFill>
        </w:rPr>
        <w:t>体系转换应符合下列规定：</w:t>
      </w:r>
    </w:p>
    <w:p>
      <w:pPr>
        <w:pStyle w:val="22"/>
        <w:tabs>
          <w:tab w:val="left" w:pos="851"/>
          <w:tab w:val="left" w:pos="5835"/>
        </w:tabs>
        <w:snapToGrid w:val="0"/>
        <w:spacing w:line="360" w:lineRule="auto"/>
        <w:ind w:firstLine="422"/>
        <w:jc w:val="left"/>
        <w:rPr>
          <w:rFonts w:hAnsi="宋体" w:cstheme="minorEastAsia"/>
          <w:color w:val="000000" w:themeColor="text1"/>
          <w:szCs w:val="21"/>
          <w14:textFill>
            <w14:solidFill>
              <w14:schemeClr w14:val="tx1"/>
            </w14:solidFill>
          </w14:textFill>
        </w:rPr>
      </w:pPr>
      <w:r>
        <w:rPr>
          <w:rFonts w:hint="eastAsia"/>
          <w:b/>
          <w:bCs/>
          <w:color w:val="000000" w:themeColor="text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侧洞内二次衬砌和梁、柱结构应先行施工，并应在中洞开挖前完成，侧洞支撑拆除、体</w:t>
      </w:r>
      <w:r>
        <w:rPr>
          <w:rFonts w:hint="eastAsia" w:hAnsi="宋体" w:cstheme="minorEastAsia"/>
          <w:color w:val="000000" w:themeColor="text1"/>
          <w:szCs w:val="21"/>
          <w14:textFill>
            <w14:solidFill>
              <w14:schemeClr w14:val="tx1"/>
            </w14:solidFill>
          </w14:textFill>
        </w:rPr>
        <w:t>系转换应符合本标准中隔壁法（CD）、交叉中隔壁法（CRD）的有关规定；</w:t>
      </w:r>
    </w:p>
    <w:p>
      <w:pPr>
        <w:pStyle w:val="22"/>
        <w:tabs>
          <w:tab w:val="left" w:pos="851"/>
          <w:tab w:val="left" w:pos="5835"/>
        </w:tabs>
        <w:snapToGrid w:val="0"/>
        <w:spacing w:line="360" w:lineRule="auto"/>
        <w:ind w:firstLine="422"/>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2 </w:t>
      </w:r>
      <w:r>
        <w:rPr>
          <w:rFonts w:hint="eastAsia"/>
          <w:color w:val="000000" w:themeColor="text1"/>
          <w14:textFill>
            <w14:solidFill>
              <w14:schemeClr w14:val="tx1"/>
            </w14:solidFill>
          </w14:textFill>
        </w:rPr>
        <w:t>中洞施工时，侧洞的梁柱结构应设置临时钢支撑，确保结构稳定；</w:t>
      </w:r>
    </w:p>
    <w:p>
      <w:pPr>
        <w:pStyle w:val="22"/>
        <w:tabs>
          <w:tab w:val="left" w:pos="851"/>
          <w:tab w:val="left" w:pos="5835"/>
        </w:tabs>
        <w:snapToGrid w:val="0"/>
        <w:spacing w:line="360" w:lineRule="auto"/>
        <w:ind w:firstLine="422"/>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3 </w:t>
      </w:r>
      <w:r>
        <w:rPr>
          <w:rFonts w:hint="eastAsia"/>
          <w:color w:val="000000" w:themeColor="text1"/>
          <w14:textFill>
            <w14:solidFill>
              <w14:schemeClr w14:val="tx1"/>
            </w14:solidFill>
          </w14:textFill>
        </w:rPr>
        <w:t>中洞二次衬砌应在贯通后施工，中洞临时支撑应分段拆除，分段完成车站二衬结构。</w:t>
      </w:r>
    </w:p>
    <w:p>
      <w:pPr>
        <w:pStyle w:val="22"/>
        <w:tabs>
          <w:tab w:val="left" w:pos="851"/>
          <w:tab w:val="left" w:pos="5835"/>
        </w:tabs>
        <w:snapToGrid w:val="0"/>
        <w:spacing w:line="360" w:lineRule="auto"/>
        <w:ind w:firstLine="0" w:firstLineChars="0"/>
        <w:jc w:val="left"/>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13.7.9 </w:t>
      </w:r>
      <w:r>
        <w:rPr>
          <w:rFonts w:hint="eastAsia" w:ascii="宋体" w:hAnsi="宋体" w:cstheme="minorEastAsia"/>
          <w:color w:val="000000" w:themeColor="text1"/>
          <w:kern w:val="0"/>
          <w:szCs w:val="21"/>
          <w14:textFill>
            <w14:solidFill>
              <w14:schemeClr w14:val="tx1"/>
            </w14:solidFill>
          </w14:textFill>
        </w:rPr>
        <w:t>暗挖车站</w:t>
      </w:r>
      <w:r>
        <w:rPr>
          <w:rFonts w:hint="eastAsia"/>
          <w:color w:val="000000" w:themeColor="text1"/>
          <w14:textFill>
            <w14:solidFill>
              <w14:schemeClr w14:val="tx1"/>
            </w14:solidFill>
          </w14:textFill>
        </w:rPr>
        <w:t>柱洞法</w:t>
      </w:r>
      <w:r>
        <w:rPr>
          <w:rFonts w:hint="eastAsia" w:hAnsi="宋体" w:cstheme="minorEastAsia"/>
          <w:color w:val="000000" w:themeColor="text1"/>
          <w:kern w:val="0"/>
          <w:szCs w:val="21"/>
          <w14:textFill>
            <w14:solidFill>
              <w14:schemeClr w14:val="tx1"/>
            </w14:solidFill>
          </w14:textFill>
        </w:rPr>
        <w:t>体系转换应符合下列规定：</w:t>
      </w:r>
    </w:p>
    <w:p>
      <w:pPr>
        <w:pStyle w:val="22"/>
        <w:tabs>
          <w:tab w:val="left" w:pos="851"/>
          <w:tab w:val="left" w:pos="5835"/>
        </w:tabs>
        <w:snapToGrid w:val="0"/>
        <w:spacing w:line="360" w:lineRule="auto"/>
        <w:ind w:firstLine="422"/>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1 </w:t>
      </w:r>
      <w:r>
        <w:rPr>
          <w:rFonts w:hint="eastAsia"/>
          <w:color w:val="000000" w:themeColor="text1"/>
          <w14:textFill>
            <w14:solidFill>
              <w14:schemeClr w14:val="tx1"/>
            </w14:solidFill>
          </w14:textFill>
        </w:rPr>
        <w:t>柱洞初期支护应先自上而下对称施工，柱洞二次衬砌应由下而上施作，柱洞梁、柱支撑体系应完整，符合设计要求；</w:t>
      </w:r>
    </w:p>
    <w:p>
      <w:pPr>
        <w:pStyle w:val="22"/>
        <w:tabs>
          <w:tab w:val="left" w:pos="851"/>
          <w:tab w:val="left" w:pos="5835"/>
        </w:tabs>
        <w:snapToGrid w:val="0"/>
        <w:spacing w:line="360" w:lineRule="auto"/>
        <w:ind w:firstLine="422"/>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2 </w:t>
      </w:r>
      <w:r>
        <w:rPr>
          <w:rFonts w:hint="eastAsia"/>
          <w:color w:val="000000" w:themeColor="text1"/>
          <w14:textFill>
            <w14:solidFill>
              <w14:schemeClr w14:val="tx1"/>
            </w14:solidFill>
          </w14:textFill>
        </w:rPr>
        <w:t>柱洞完成后，应施工相邻柱洞间的中洞初期支护和二次衬砌，形成整个中洞稳定体系；</w:t>
      </w:r>
    </w:p>
    <w:p>
      <w:pPr>
        <w:pStyle w:val="22"/>
        <w:tabs>
          <w:tab w:val="left" w:pos="851"/>
          <w:tab w:val="left" w:pos="5835"/>
        </w:tabs>
        <w:snapToGrid w:val="0"/>
        <w:spacing w:line="360" w:lineRule="auto"/>
        <w:ind w:firstLine="422"/>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3</w:t>
      </w:r>
      <w:r>
        <w:rPr>
          <w:rFonts w:hint="eastAsia"/>
          <w:color w:val="000000" w:themeColor="text1"/>
          <w14:textFill>
            <w14:solidFill>
              <w14:schemeClr w14:val="tx1"/>
            </w14:solidFill>
          </w14:textFill>
        </w:rPr>
        <w:t xml:space="preserve"> 侧洞初期支护应自上而下施工，侧洞二次衬砌应纵向分段、自下而上对称施作，二衬结构应逐段闭合成环；</w:t>
      </w:r>
    </w:p>
    <w:p>
      <w:pPr>
        <w:pStyle w:val="22"/>
        <w:tabs>
          <w:tab w:val="left" w:pos="851"/>
          <w:tab w:val="left" w:pos="5835"/>
        </w:tabs>
        <w:snapToGrid w:val="0"/>
        <w:spacing w:line="360" w:lineRule="auto"/>
        <w:ind w:firstLine="422"/>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4 </w:t>
      </w:r>
      <w:r>
        <w:rPr>
          <w:rFonts w:hint="eastAsia"/>
          <w:color w:val="000000" w:themeColor="text1"/>
          <w14:textFill>
            <w14:solidFill>
              <w14:schemeClr w14:val="tx1"/>
            </w14:solidFill>
          </w14:textFill>
        </w:rPr>
        <w:t>拱部初期支护应在车站中柱、边桩和纵横梁等框架结构受力体系形成后采用台阶法施工；</w:t>
      </w:r>
    </w:p>
    <w:p>
      <w:pPr>
        <w:pStyle w:val="22"/>
        <w:tabs>
          <w:tab w:val="left" w:pos="851"/>
          <w:tab w:val="left" w:pos="5835"/>
        </w:tabs>
        <w:snapToGrid w:val="0"/>
        <w:spacing w:line="360" w:lineRule="auto"/>
        <w:ind w:firstLine="422"/>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5 </w:t>
      </w:r>
      <w:r>
        <w:rPr>
          <w:rFonts w:hint="eastAsia"/>
          <w:color w:val="000000" w:themeColor="text1"/>
          <w14:textFill>
            <w14:solidFill>
              <w14:schemeClr w14:val="tx1"/>
            </w14:solidFill>
          </w14:textFill>
        </w:rPr>
        <w:t>在拱部初支完成后，应按逆筑法施工车站结构至底板。</w:t>
      </w:r>
    </w:p>
    <w:p>
      <w:pPr>
        <w:pStyle w:val="22"/>
        <w:tabs>
          <w:tab w:val="left" w:pos="851"/>
        </w:tabs>
        <w:snapToGrid w:val="0"/>
        <w:spacing w:line="360" w:lineRule="auto"/>
        <w:ind w:firstLine="0" w:firstLineChars="0"/>
        <w:jc w:val="left"/>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13.7.10 </w:t>
      </w:r>
      <w:r>
        <w:rPr>
          <w:rFonts w:hint="eastAsia" w:ascii="宋体" w:hAnsi="宋体" w:cstheme="minorEastAsia"/>
          <w:color w:val="000000" w:themeColor="text1"/>
          <w:kern w:val="0"/>
          <w:szCs w:val="21"/>
          <w14:textFill>
            <w14:solidFill>
              <w14:schemeClr w14:val="tx1"/>
            </w14:solidFill>
          </w14:textFill>
        </w:rPr>
        <w:t>暗挖车站</w:t>
      </w:r>
      <w:r>
        <w:rPr>
          <w:rFonts w:hint="eastAsia" w:hAnsi="宋体" w:cstheme="minorEastAsia"/>
          <w:color w:val="000000" w:themeColor="text1"/>
          <w:kern w:val="0"/>
          <w:szCs w:val="21"/>
          <w14:textFill>
            <w14:solidFill>
              <w14:schemeClr w14:val="tx1"/>
            </w14:solidFill>
          </w14:textFill>
        </w:rPr>
        <w:t>洞桩法（PBA法）</w:t>
      </w:r>
      <w:r>
        <w:rPr>
          <w:rFonts w:hint="eastAsia" w:hAnsi="宋体"/>
          <w:color w:val="000000" w:themeColor="text1"/>
          <w:szCs w:val="21"/>
          <w14:textFill>
            <w14:solidFill>
              <w14:schemeClr w14:val="tx1"/>
            </w14:solidFill>
          </w14:textFill>
        </w:rPr>
        <w:t>初期支护扣拱</w:t>
      </w:r>
      <w:r>
        <w:rPr>
          <w:rFonts w:hint="eastAsia" w:hAnsi="宋体" w:cstheme="minorEastAsia"/>
          <w:color w:val="000000" w:themeColor="text1"/>
          <w:kern w:val="0"/>
          <w:szCs w:val="21"/>
          <w14:textFill>
            <w14:solidFill>
              <w14:schemeClr w14:val="tx1"/>
            </w14:solidFill>
          </w14:textFill>
        </w:rPr>
        <w:t>应符合下列规定：</w:t>
      </w:r>
      <w:r>
        <w:rPr>
          <w:rFonts w:hint="eastAsia" w:hAnsi="宋体"/>
          <w:b/>
          <w:bCs/>
          <w:color w:val="000000" w:themeColor="text1"/>
          <w:szCs w:val="21"/>
          <w14:textFill>
            <w14:solidFill>
              <w14:schemeClr w14:val="tx1"/>
            </w14:solidFill>
          </w14:textFill>
        </w:rPr>
        <w:t xml:space="preserve"> </w:t>
      </w:r>
    </w:p>
    <w:p>
      <w:pPr>
        <w:spacing w:line="360" w:lineRule="auto"/>
        <w:ind w:firstLine="422" w:firstLineChars="200"/>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hAnsi="宋体"/>
          <w:color w:val="000000" w:themeColor="text1"/>
          <w:szCs w:val="21"/>
          <w14:textFill>
            <w14:solidFill>
              <w14:schemeClr w14:val="tx1"/>
            </w14:solidFill>
          </w14:textFill>
        </w:rPr>
        <w:t>初期支护扣拱应采用台阶法分部开挖，</w:t>
      </w:r>
      <w:r>
        <w:rPr>
          <w:rFonts w:hint="eastAsia" w:hAnsi="宋体" w:cstheme="minorEastAsia"/>
          <w:color w:val="000000" w:themeColor="text1"/>
          <w:kern w:val="0"/>
          <w:szCs w:val="21"/>
          <w14:textFill>
            <w14:solidFill>
              <w14:schemeClr w14:val="tx1"/>
            </w14:solidFill>
          </w14:textFill>
        </w:rPr>
        <w:t>应在导洞二衬拱部和梁柱等结构完成、达到设计强度后开挖，随开挖、随初期支护封闭成环，</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应采用分段跳槽破除导洞边墙，破除过程中应进行监测，及时调整分段破除长度，确保结构稳定；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theme="minorEastAsia"/>
          <w:color w:val="000000" w:themeColor="text1"/>
          <w:kern w:val="0"/>
          <w:szCs w:val="21"/>
          <w14:textFill>
            <w14:solidFill>
              <w14:schemeClr w14:val="tx1"/>
            </w14:solidFill>
          </w14:textFill>
        </w:rPr>
        <w:t>导洞侧壁及仰拱宜采用风镐等机械方法分段、分块破除，导洞格栅钢架应在每段混凝土破除完成后切割；钢筋切割时，应在防水卷材表面设置石棉布等保护措施。</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13.7.11 </w:t>
      </w:r>
      <w:r>
        <w:rPr>
          <w:rFonts w:hint="eastAsia" w:ascii="宋体" w:hAnsi="宋体" w:cstheme="minorEastAsia"/>
          <w:color w:val="000000" w:themeColor="text1"/>
          <w:kern w:val="0"/>
          <w:szCs w:val="21"/>
          <w14:textFill>
            <w14:solidFill>
              <w14:schemeClr w14:val="tx1"/>
            </w14:solidFill>
          </w14:textFill>
        </w:rPr>
        <w:t>暗挖车站</w:t>
      </w:r>
      <w:r>
        <w:rPr>
          <w:rFonts w:hint="eastAsia" w:hAnsi="宋体" w:cstheme="minorEastAsia"/>
          <w:color w:val="000000" w:themeColor="text1"/>
          <w:kern w:val="0"/>
          <w:szCs w:val="21"/>
          <w14:textFill>
            <w14:solidFill>
              <w14:schemeClr w14:val="tx1"/>
            </w14:solidFill>
          </w14:textFill>
        </w:rPr>
        <w:t>洞桩法（PBA法）</w:t>
      </w:r>
      <w:r>
        <w:rPr>
          <w:rFonts w:hint="eastAsia" w:hAnsi="宋体"/>
          <w:color w:val="000000" w:themeColor="text1"/>
          <w:szCs w:val="21"/>
          <w14:textFill>
            <w14:solidFill>
              <w14:schemeClr w14:val="tx1"/>
            </w14:solidFill>
          </w14:textFill>
        </w:rPr>
        <w:t>二衬扣拱</w:t>
      </w:r>
      <w:r>
        <w:rPr>
          <w:rFonts w:hint="eastAsia" w:hAnsi="宋体" w:cstheme="minorEastAsia"/>
          <w:color w:val="000000" w:themeColor="text1"/>
          <w:kern w:val="0"/>
          <w:szCs w:val="21"/>
          <w14:textFill>
            <w14:solidFill>
              <w14:schemeClr w14:val="tx1"/>
            </w14:solidFill>
          </w14:textFill>
        </w:rPr>
        <w:t>应符合下列规定：</w:t>
      </w:r>
    </w:p>
    <w:p>
      <w:pPr>
        <w:spacing w:line="360" w:lineRule="auto"/>
        <w:ind w:firstLine="422" w:firstLineChars="200"/>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hAnsi="宋体"/>
          <w:color w:val="000000" w:themeColor="text1"/>
          <w:szCs w:val="21"/>
          <w14:textFill>
            <w14:solidFill>
              <w14:schemeClr w14:val="tx1"/>
            </w14:solidFill>
          </w14:textFill>
        </w:rPr>
        <w:t>扣拱施工应分段拆除中隔壁，根据地层条件和监测情况每段拆除距离宜为6～8m，分段浇筑拱部二次衬砌，宜采用模板台车浇筑二衬，循环进行，分段完成扣拱二衬结构；</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拆除临时支撑过程中，应将拱顶沉降点、收敛点转移到钢管柱上，根据监控量测和巡视，指导现场作业；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theme="minorEastAsia"/>
          <w:color w:val="000000" w:themeColor="text1"/>
          <w:kern w:val="0"/>
          <w:szCs w:val="21"/>
          <w14:textFill>
            <w14:solidFill>
              <w14:schemeClr w14:val="tx1"/>
            </w14:solidFill>
          </w14:textFill>
        </w:rPr>
        <w:t>导洞中隔壁应分段跳拆，宜先拆除中拱部位初期支护，再拆除边拱部位初期支护。边拱拆除应对称进行，应根据导洞初期支护高度，由上而下、分段破除，中隔壁拆除高度应满足施工需要为宜，不应一次性拆除至导洞底部；</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ascii="宋体" w:hAnsi="宋体" w:cstheme="minorEastAsia"/>
          <w:color w:val="000000" w:themeColor="text1"/>
          <w:kern w:val="0"/>
          <w:szCs w:val="21"/>
          <w14:textFill>
            <w14:solidFill>
              <w14:schemeClr w14:val="tx1"/>
            </w14:solidFill>
          </w14:textFill>
        </w:rPr>
        <w:t>导洞初期支护拆除长度应经现场试验确定；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5 </w:t>
      </w:r>
      <w:r>
        <w:rPr>
          <w:rFonts w:hint="eastAsia" w:ascii="宋体" w:hAnsi="宋体" w:cstheme="minorEastAsia"/>
          <w:color w:val="000000" w:themeColor="text1"/>
          <w:kern w:val="0"/>
          <w:szCs w:val="21"/>
          <w14:textFill>
            <w14:solidFill>
              <w14:schemeClr w14:val="tx1"/>
            </w14:solidFill>
          </w14:textFill>
        </w:rPr>
        <w:t>拆除过程中，应对防水和预埋拱顶钢筋接驳器采取保护措施，应检查防水破损情况，及时修补；</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6 </w:t>
      </w:r>
      <w:r>
        <w:rPr>
          <w:rFonts w:hint="eastAsia" w:ascii="宋体" w:hAnsi="宋体" w:cstheme="minorEastAsia"/>
          <w:color w:val="000000" w:themeColor="text1"/>
          <w:kern w:val="0"/>
          <w:szCs w:val="21"/>
          <w14:textFill>
            <w14:solidFill>
              <w14:schemeClr w14:val="tx1"/>
            </w14:solidFill>
          </w14:textFill>
        </w:rPr>
        <w:t>二衬结构扣顶纵梁的混凝土面应进行凿毛处理；</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 </w:t>
      </w:r>
      <w:r>
        <w:rPr>
          <w:rFonts w:hint="eastAsia" w:ascii="宋体" w:hAnsi="宋体" w:cstheme="minorEastAsia"/>
          <w:color w:val="000000" w:themeColor="text1"/>
          <w:kern w:val="0"/>
          <w:szCs w:val="21"/>
          <w14:textFill>
            <w14:solidFill>
              <w14:schemeClr w14:val="tx1"/>
            </w14:solidFill>
          </w14:textFill>
        </w:rPr>
        <w:t>边拱与墙接口部位应预留斜向坡口，迎水面坡口应低于背水面。</w:t>
      </w:r>
    </w:p>
    <w:p>
      <w:pPr>
        <w:snapToGrid w:val="0"/>
        <w:spacing w:line="360" w:lineRule="auto"/>
        <w:rPr>
          <w:rFonts w:ascii="宋体" w:hAnsi="宋体" w:cstheme="minorEastAsia"/>
          <w:strike/>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13.7.12 </w:t>
      </w:r>
      <w:r>
        <w:rPr>
          <w:rFonts w:hint="eastAsia" w:ascii="宋体" w:hAnsi="宋体" w:cstheme="minorEastAsia"/>
          <w:color w:val="000000" w:themeColor="text1"/>
          <w:kern w:val="0"/>
          <w:szCs w:val="21"/>
          <w14:textFill>
            <w14:solidFill>
              <w14:schemeClr w14:val="tx1"/>
            </w14:solidFill>
          </w14:textFill>
        </w:rPr>
        <w:t>暗挖车站</w:t>
      </w:r>
      <w:r>
        <w:rPr>
          <w:rFonts w:hint="eastAsia" w:hAnsi="宋体" w:cstheme="minorEastAsia"/>
          <w:color w:val="000000" w:themeColor="text1"/>
          <w:kern w:val="0"/>
          <w:szCs w:val="21"/>
          <w14:textFill>
            <w14:solidFill>
              <w14:schemeClr w14:val="tx1"/>
            </w14:solidFill>
          </w14:textFill>
        </w:rPr>
        <w:t>洞桩法（PBA法）主体结构逆作法施工体系转换应</w:t>
      </w:r>
      <w:r>
        <w:rPr>
          <w:rFonts w:hint="eastAsia" w:hAnsi="宋体"/>
          <w:color w:val="000000" w:themeColor="text1"/>
          <w:szCs w:val="21"/>
          <w14:textFill>
            <w14:solidFill>
              <w14:schemeClr w14:val="tx1"/>
            </w14:solidFill>
          </w14:textFill>
        </w:rPr>
        <w:t>符合现行国家标准《建筑工程逆作法技术标准》JGJ432</w:t>
      </w:r>
      <w:r>
        <w:rPr>
          <w:rFonts w:hint="eastAsia" w:hAnsi="宋体" w:cstheme="minorEastAsia"/>
          <w:color w:val="000000" w:themeColor="text1"/>
          <w:kern w:val="0"/>
          <w:szCs w:val="21"/>
          <w14:textFill>
            <w14:solidFill>
              <w14:schemeClr w14:val="tx1"/>
            </w14:solidFill>
          </w14:textFill>
        </w:rPr>
        <w:t>的有关规定。</w:t>
      </w:r>
      <w:r>
        <w:rPr>
          <w:rFonts w:hint="eastAsia" w:ascii="宋体" w:hAnsi="宋体" w:cstheme="minorEastAsia"/>
          <w:color w:val="000000" w:themeColor="text1"/>
          <w:kern w:val="0"/>
          <w:szCs w:val="21"/>
          <w14:textFill>
            <w14:solidFill>
              <w14:schemeClr w14:val="tx1"/>
            </w14:solidFill>
          </w14:textFill>
        </w:rPr>
        <w:t>并</w:t>
      </w:r>
      <w:r>
        <w:rPr>
          <w:rFonts w:hint="eastAsia" w:hAnsi="宋体" w:cstheme="minorEastAsia"/>
          <w:color w:val="000000" w:themeColor="text1"/>
          <w:kern w:val="0"/>
          <w:szCs w:val="21"/>
          <w14:textFill>
            <w14:solidFill>
              <w14:schemeClr w14:val="tx1"/>
            </w14:solidFill>
          </w14:textFill>
        </w:rPr>
        <w:t>应符合下列规定：</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 xml:space="preserve">1 </w:t>
      </w:r>
      <w:r>
        <w:rPr>
          <w:rFonts w:hint="eastAsia" w:hAnsi="宋体" w:cstheme="minorEastAsia"/>
          <w:color w:val="000000" w:themeColor="text1"/>
          <w:sz w:val="21"/>
          <w:szCs w:val="21"/>
          <w14:textFill>
            <w14:solidFill>
              <w14:schemeClr w14:val="tx1"/>
            </w14:solidFill>
          </w14:textFill>
        </w:rPr>
        <w:t>基坑开挖完成后，顺做法施工车站二衬的仰拱、边墙和中板；</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 xml:space="preserve">2 </w:t>
      </w:r>
      <w:r>
        <w:rPr>
          <w:rFonts w:hint="eastAsia" w:hAnsi="宋体" w:cstheme="minorEastAsia"/>
          <w:color w:val="000000" w:themeColor="text1"/>
          <w:sz w:val="21"/>
          <w:szCs w:val="21"/>
          <w14:textFill>
            <w14:solidFill>
              <w14:schemeClr w14:val="tx1"/>
            </w14:solidFill>
          </w14:textFill>
        </w:rPr>
        <w:t>仰拱宜先行分段施工，分段长度宜为</w:t>
      </w:r>
      <w:r>
        <w:rPr>
          <w:rFonts w:hAnsi="宋体" w:cstheme="minorEastAsia"/>
          <w:color w:val="000000" w:themeColor="text1"/>
          <w:sz w:val="21"/>
          <w:szCs w:val="21"/>
          <w14:textFill>
            <w14:solidFill>
              <w14:schemeClr w14:val="tx1"/>
            </w14:solidFill>
          </w14:textFill>
        </w:rPr>
        <w:t>30m</w:t>
      </w:r>
      <w:r>
        <w:rPr>
          <w:rFonts w:hint="eastAsia" w:hAnsi="宋体" w:cstheme="minorEastAsia"/>
          <w:color w:val="000000" w:themeColor="text1"/>
          <w:sz w:val="21"/>
          <w:szCs w:val="21"/>
          <w14:textFill>
            <w14:solidFill>
              <w14:schemeClr w14:val="tx1"/>
            </w14:solidFill>
          </w14:textFill>
        </w:rPr>
        <w:t>；</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 xml:space="preserve">3 </w:t>
      </w:r>
      <w:r>
        <w:rPr>
          <w:rFonts w:hint="eastAsia" w:hAnsi="宋体" w:cstheme="minorEastAsia"/>
          <w:color w:val="000000" w:themeColor="text1"/>
          <w:sz w:val="21"/>
          <w:szCs w:val="21"/>
          <w14:textFill>
            <w14:solidFill>
              <w14:schemeClr w14:val="tx1"/>
            </w14:solidFill>
          </w14:textFill>
        </w:rPr>
        <w:t>边墙和中板（含立柱）宜在仰拱完成长度不少于</w:t>
      </w:r>
      <w:r>
        <w:rPr>
          <w:rFonts w:hAnsi="宋体" w:cstheme="minorEastAsia"/>
          <w:color w:val="000000" w:themeColor="text1"/>
          <w:sz w:val="21"/>
          <w:szCs w:val="21"/>
          <w14:textFill>
            <w14:solidFill>
              <w14:schemeClr w14:val="tx1"/>
            </w14:solidFill>
          </w14:textFill>
        </w:rPr>
        <w:t xml:space="preserve"> 60m </w:t>
      </w:r>
      <w:r>
        <w:rPr>
          <w:rFonts w:hint="eastAsia" w:hAnsi="宋体" w:cstheme="minorEastAsia"/>
          <w:color w:val="000000" w:themeColor="text1"/>
          <w:sz w:val="21"/>
          <w:szCs w:val="21"/>
          <w14:textFill>
            <w14:solidFill>
              <w14:schemeClr w14:val="tx1"/>
            </w14:solidFill>
          </w14:textFill>
        </w:rPr>
        <w:t>后开始分段施工，分段长度宜为</w:t>
      </w:r>
      <w:r>
        <w:rPr>
          <w:rFonts w:hAnsi="宋体" w:cstheme="minorEastAsia"/>
          <w:color w:val="000000" w:themeColor="text1"/>
          <w:sz w:val="21"/>
          <w:szCs w:val="21"/>
          <w14:textFill>
            <w14:solidFill>
              <w14:schemeClr w14:val="tx1"/>
            </w14:solidFill>
          </w14:textFill>
        </w:rPr>
        <w:t>30m</w:t>
      </w:r>
      <w:r>
        <w:rPr>
          <w:rFonts w:hint="eastAsia" w:hAnsi="宋体" w:cstheme="minorEastAsia"/>
          <w:color w:val="000000" w:themeColor="text1"/>
          <w:sz w:val="21"/>
          <w:szCs w:val="21"/>
          <w14:textFill>
            <w14:solidFill>
              <w14:schemeClr w14:val="tx1"/>
            </w14:solidFill>
          </w14:textFill>
        </w:rPr>
        <w:t>；</w:t>
      </w:r>
    </w:p>
    <w:p>
      <w:pPr>
        <w:pStyle w:val="21"/>
        <w:snapToGrid w:val="0"/>
        <w:spacing w:line="360" w:lineRule="auto"/>
        <w:ind w:firstLine="361" w:firstLineChars="171"/>
        <w:jc w:val="both"/>
        <w:rPr>
          <w:rFonts w:hAnsi="宋体" w:cstheme="minorEastAsia"/>
          <w:color w:val="000000" w:themeColor="text1"/>
          <w:sz w:val="21"/>
          <w:szCs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 xml:space="preserve">4 </w:t>
      </w:r>
      <w:r>
        <w:rPr>
          <w:rFonts w:hint="eastAsia" w:hAnsi="宋体" w:cstheme="minorEastAsia"/>
          <w:color w:val="000000" w:themeColor="text1"/>
          <w:sz w:val="21"/>
          <w:szCs w:val="21"/>
          <w14:textFill>
            <w14:solidFill>
              <w14:schemeClr w14:val="tx1"/>
            </w14:solidFill>
          </w14:textFill>
        </w:rPr>
        <w:t>施工至中板以上时分段与顶拱二衬闭合，并应做好预留钢筋和防水板的衔接。</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13.7.13 </w:t>
      </w:r>
      <w:r>
        <w:rPr>
          <w:rFonts w:hint="eastAsia" w:hAnsi="宋体"/>
          <w:color w:val="000000" w:themeColor="text1"/>
          <w:szCs w:val="21"/>
          <w14:textFill>
            <w14:solidFill>
              <w14:schemeClr w14:val="tx1"/>
            </w14:solidFill>
          </w14:textFill>
        </w:rPr>
        <w:t>采用PBA工法扩挖盾构隧道修建地铁车站，支撑拆除和受力体系转换应符合下列规定：</w:t>
      </w:r>
    </w:p>
    <w:p>
      <w:pPr>
        <w:widowControl/>
        <w:spacing w:line="360" w:lineRule="auto"/>
        <w:ind w:firstLine="422" w:firstLineChars="20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hAnsi="宋体"/>
          <w:color w:val="000000" w:themeColor="text1"/>
          <w:szCs w:val="21"/>
          <w14:textFill>
            <w14:solidFill>
              <w14:schemeClr w14:val="tx1"/>
            </w14:solidFill>
          </w14:textFill>
        </w:rPr>
        <w:t>初支扣拱方法、初支结构与封顶块的连接应符合设计要求，封顶块宜采用钢管片，初支扣拱应与管片焊接牢固；</w:t>
      </w:r>
    </w:p>
    <w:p>
      <w:pPr>
        <w:widowControl/>
        <w:spacing w:line="360" w:lineRule="auto"/>
        <w:ind w:firstLine="422" w:firstLineChars="20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hAnsi="宋体"/>
          <w:color w:val="000000" w:themeColor="text1"/>
          <w:szCs w:val="21"/>
          <w14:textFill>
            <w14:solidFill>
              <w14:schemeClr w14:val="tx1"/>
            </w14:solidFill>
          </w14:textFill>
        </w:rPr>
        <w:t xml:space="preserve"> 扣拱施工中，临时中隔壁应分段、分块拆除，扣拱应保持对称安装； </w:t>
      </w:r>
    </w:p>
    <w:p>
      <w:pPr>
        <w:widowControl/>
        <w:spacing w:line="360" w:lineRule="auto"/>
        <w:ind w:firstLine="422" w:firstLineChars="20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hAnsi="宋体"/>
          <w:color w:val="000000" w:themeColor="text1"/>
          <w:szCs w:val="21"/>
          <w14:textFill>
            <w14:solidFill>
              <w14:schemeClr w14:val="tx1"/>
            </w14:solidFill>
          </w14:textFill>
        </w:rPr>
        <w:t>盾构拆除应配合初期支护、二衬结构、和下部结构施工分段、分部进行，</w:t>
      </w:r>
      <w:r>
        <w:rPr>
          <w:rFonts w:hint="eastAsia" w:hAnsi="宋体" w:cstheme="minorEastAsia"/>
          <w:color w:val="000000" w:themeColor="text1"/>
          <w:szCs w:val="21"/>
          <w14:textFill>
            <w14:solidFill>
              <w14:schemeClr w14:val="tx1"/>
            </w14:solidFill>
          </w14:textFill>
        </w:rPr>
        <w:t>并按设计要求及时换撑，加强监测，保证受力构件稳定</w:t>
      </w:r>
      <w:r>
        <w:rPr>
          <w:rFonts w:hint="eastAsia" w:hAnsi="宋体"/>
          <w:color w:val="000000" w:themeColor="text1"/>
          <w:szCs w:val="21"/>
          <w14:textFill>
            <w14:solidFill>
              <w14:schemeClr w14:val="tx1"/>
            </w14:solidFill>
          </w14:textFill>
        </w:rPr>
        <w:t>。盾构内支撑应与初期支护中隔壁相对应，管片拆除长度、顺序应符合设计要求，单侧一次拆除长度不应超过设计要求；</w:t>
      </w:r>
    </w:p>
    <w:p>
      <w:pPr>
        <w:widowControl/>
        <w:spacing w:line="360" w:lineRule="auto"/>
        <w:ind w:firstLine="422" w:firstLineChars="20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hAnsi="宋体"/>
          <w:color w:val="000000" w:themeColor="text1"/>
          <w:szCs w:val="21"/>
          <w14:textFill>
            <w14:solidFill>
              <w14:schemeClr w14:val="tx1"/>
            </w14:solidFill>
          </w14:textFill>
        </w:rPr>
        <w:t>中柱与盾构管片连接应按设计要求设置剪力键，保证中柱结构与管片连成整体。</w:t>
      </w:r>
    </w:p>
    <w:p>
      <w:pPr>
        <w:pStyle w:val="22"/>
        <w:tabs>
          <w:tab w:val="left" w:pos="851"/>
        </w:tabs>
        <w:snapToGrid w:val="0"/>
        <w:spacing w:line="360" w:lineRule="auto"/>
        <w:jc w:val="left"/>
        <w:rPr>
          <w:rFonts w:hAnsi="宋体" w:cstheme="minorEastAsia"/>
          <w:color w:val="000000" w:themeColor="text1"/>
          <w:kern w:val="0"/>
          <w:szCs w:val="21"/>
          <w14:textFill>
            <w14:solidFill>
              <w14:schemeClr w14:val="tx1"/>
            </w14:solidFill>
          </w14:textFill>
        </w:rPr>
      </w:pPr>
    </w:p>
    <w:p>
      <w:pPr>
        <w:spacing w:line="360" w:lineRule="auto"/>
        <w:ind w:firstLine="359" w:firstLineChars="171"/>
        <w:rPr>
          <w:rFonts w:ascii="宋体" w:hAnsi="宋体" w:cstheme="minorEastAsia"/>
          <w:color w:val="000000" w:themeColor="text1"/>
          <w:kern w:val="0"/>
          <w:szCs w:val="21"/>
          <w14:textFill>
            <w14:solidFill>
              <w14:schemeClr w14:val="tx1"/>
            </w14:solidFill>
          </w14:textFill>
        </w:rPr>
      </w:pPr>
    </w:p>
    <w:p>
      <w:pPr>
        <w:pageBreakBefore/>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385" w:name="_Toc3738"/>
      <w:bookmarkStart w:id="386" w:name="_Toc2413"/>
      <w:bookmarkStart w:id="387" w:name="_Toc21915"/>
      <w:bookmarkStart w:id="388" w:name="_Toc29290"/>
      <w:bookmarkStart w:id="389" w:name="_Toc12822"/>
      <w:bookmarkStart w:id="390" w:name="_Toc23319"/>
      <w:r>
        <w:rPr>
          <w:rFonts w:hint="eastAsia"/>
          <w:b/>
          <w:color w:val="000000" w:themeColor="text1"/>
          <w:sz w:val="28"/>
          <w:szCs w:val="28"/>
          <w14:textFill>
            <w14:solidFill>
              <w14:schemeClr w14:val="tx1"/>
            </w14:solidFill>
          </w14:textFill>
        </w:rPr>
        <w:t>14  防水</w:t>
      </w:r>
      <w:bookmarkEnd w:id="385"/>
      <w:bookmarkEnd w:id="386"/>
      <w:bookmarkEnd w:id="387"/>
      <w:bookmarkEnd w:id="388"/>
      <w:bookmarkEnd w:id="389"/>
      <w:bookmarkEnd w:id="390"/>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391" w:name="_Toc6913"/>
      <w:bookmarkStart w:id="392" w:name="_Toc27370"/>
      <w:bookmarkStart w:id="393" w:name="_Toc29903"/>
      <w:bookmarkStart w:id="394" w:name="_Toc13509"/>
      <w:bookmarkStart w:id="395" w:name="_Toc278"/>
      <w:bookmarkStart w:id="396" w:name="_Toc30992"/>
      <w:r>
        <w:rPr>
          <w:rFonts w:hint="eastAsia" w:hAnsi="宋体"/>
          <w:b/>
          <w:color w:val="000000" w:themeColor="text1"/>
          <w:sz w:val="24"/>
          <w14:textFill>
            <w14:solidFill>
              <w14:schemeClr w14:val="tx1"/>
            </w14:solidFill>
          </w14:textFill>
        </w:rPr>
        <w:t>14.1  一般规定</w:t>
      </w:r>
      <w:bookmarkEnd w:id="391"/>
      <w:bookmarkEnd w:id="392"/>
      <w:bookmarkEnd w:id="393"/>
      <w:bookmarkEnd w:id="394"/>
      <w:bookmarkEnd w:id="395"/>
      <w:bookmarkEnd w:id="396"/>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14.1.1 </w:t>
      </w:r>
      <w:r>
        <w:rPr>
          <w:rFonts w:hint="eastAsia" w:hAnsi="宋体"/>
          <w:color w:val="000000" w:themeColor="text1"/>
          <w:szCs w:val="21"/>
          <w14:textFill>
            <w14:solidFill>
              <w14:schemeClr w14:val="tx1"/>
            </w14:solidFill>
          </w14:textFill>
        </w:rPr>
        <w:t xml:space="preserve">防水应在初期支护结构变形趋于稳定，并经检验合格后方可进行施工。 </w:t>
      </w:r>
    </w:p>
    <w:p>
      <w:pPr>
        <w:pStyle w:val="22"/>
        <w:tabs>
          <w:tab w:val="left" w:pos="851"/>
        </w:tabs>
        <w:snapToGrid w:val="0"/>
        <w:spacing w:line="360" w:lineRule="auto"/>
        <w:ind w:firstLine="0" w:firstLineChars="0"/>
        <w:jc w:val="left"/>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14.1.2</w:t>
      </w:r>
      <w:r>
        <w:rPr>
          <w:rFonts w:hint="eastAsia" w:hAnsi="宋体"/>
          <w:color w:val="000000" w:themeColor="text1"/>
          <w:szCs w:val="21"/>
          <w14:textFill>
            <w14:solidFill>
              <w14:schemeClr w14:val="tx1"/>
            </w14:solidFill>
          </w14:textFill>
        </w:rPr>
        <w:t xml:space="preserve"> 防水原材料、制品和配件应符合现行国家标准《地下工程防水技术规范》GB50108的规定。</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14.1.3 </w:t>
      </w:r>
      <w:r>
        <w:rPr>
          <w:rFonts w:hint="eastAsia" w:hAnsi="宋体"/>
          <w:color w:val="000000" w:themeColor="text1"/>
          <w:szCs w:val="21"/>
          <w14:textFill>
            <w14:solidFill>
              <w14:schemeClr w14:val="tx1"/>
            </w14:solidFill>
          </w14:textFill>
        </w:rPr>
        <w:t>结构变形缝、施工缝、穿墙管、后浇带、埋设件、桩头、孔口等特殊部位防水措施应符合设计要求。</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14.1.4 </w:t>
      </w:r>
      <w:r>
        <w:rPr>
          <w:rFonts w:hint="eastAsia" w:hAnsi="宋体"/>
          <w:color w:val="000000" w:themeColor="text1"/>
          <w:szCs w:val="21"/>
          <w14:textFill>
            <w14:solidFill>
              <w14:schemeClr w14:val="tx1"/>
            </w14:solidFill>
          </w14:textFill>
        </w:rPr>
        <w:t>钢筋工程、模板支护完成，混凝土浇筑前应对防水层和细部防水施工质量进行检查验收，确保无变形和损坏。</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14.1.5 </w:t>
      </w:r>
      <w:r>
        <w:rPr>
          <w:rFonts w:hint="eastAsia" w:hAnsi="宋体"/>
          <w:color w:val="000000" w:themeColor="text1"/>
          <w:szCs w:val="21"/>
          <w14:textFill>
            <w14:solidFill>
              <w14:schemeClr w14:val="tx1"/>
            </w14:solidFill>
          </w14:textFill>
        </w:rPr>
        <w:t>施工缝应设置在结构受剪力较小且便于施工的部位，逆作法施工缝宜留成台阶形或斜缝；施工缝处可设置遇水膨胀嵌缝胶、安装止水条或预埋回填注浆管等防水措施。</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14.1.6 </w:t>
      </w:r>
      <w:r>
        <w:rPr>
          <w:rFonts w:hint="eastAsia" w:hAnsi="宋体"/>
          <w:color w:val="000000" w:themeColor="text1"/>
          <w:szCs w:val="21"/>
          <w14:textFill>
            <w14:solidFill>
              <w14:schemeClr w14:val="tx1"/>
            </w14:solidFill>
          </w14:textFill>
        </w:rPr>
        <w:t>防水施工完成，应对采取成品保护措施，发现损坏及时修补。</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397" w:name="_Toc12297"/>
      <w:bookmarkStart w:id="398" w:name="_Toc6053"/>
      <w:bookmarkStart w:id="399" w:name="_Toc10460"/>
      <w:bookmarkStart w:id="400" w:name="_Toc31271"/>
      <w:bookmarkStart w:id="401" w:name="_Toc31467"/>
      <w:bookmarkStart w:id="402" w:name="_Toc15919"/>
      <w:r>
        <w:rPr>
          <w:rFonts w:hint="eastAsia" w:hAnsi="宋体"/>
          <w:b/>
          <w:color w:val="000000" w:themeColor="text1"/>
          <w:sz w:val="24"/>
          <w14:textFill>
            <w14:solidFill>
              <w14:schemeClr w14:val="tx1"/>
            </w14:solidFill>
          </w14:textFill>
        </w:rPr>
        <w:t>14.2  卷材防水层</w:t>
      </w:r>
      <w:bookmarkEnd w:id="397"/>
      <w:bookmarkEnd w:id="398"/>
      <w:bookmarkEnd w:id="399"/>
      <w:bookmarkEnd w:id="400"/>
      <w:bookmarkEnd w:id="401"/>
      <w:bookmarkEnd w:id="402"/>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14.2.1 </w:t>
      </w:r>
      <w:r>
        <w:rPr>
          <w:rFonts w:hint="eastAsia" w:hAnsi="宋体"/>
          <w:color w:val="000000" w:themeColor="text1"/>
          <w:szCs w:val="21"/>
          <w14:textFill>
            <w14:solidFill>
              <w14:schemeClr w14:val="tx1"/>
            </w14:solidFill>
          </w14:textFill>
        </w:rPr>
        <w:t>卷材防水层应采用与卷材相适应的胶粘剂，涂刷应符合设计和产品技术文件的规定。</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14.2.2 </w:t>
      </w:r>
      <w:r>
        <w:rPr>
          <w:rFonts w:hint="eastAsia" w:hAnsi="宋体"/>
          <w:color w:val="000000" w:themeColor="text1"/>
          <w:szCs w:val="21"/>
          <w14:textFill>
            <w14:solidFill>
              <w14:schemeClr w14:val="tx1"/>
            </w14:solidFill>
          </w14:textFill>
        </w:rPr>
        <w:t>卷材防水层应在基层验收合格后方可铺贴，铺贴完成经验收合格后应及时施工保护层。</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14.2.3 </w:t>
      </w:r>
      <w:r>
        <w:rPr>
          <w:rFonts w:hint="eastAsia" w:hAnsi="宋体"/>
          <w:color w:val="000000" w:themeColor="text1"/>
          <w:szCs w:val="21"/>
          <w14:textFill>
            <w14:solidFill>
              <w14:schemeClr w14:val="tx1"/>
            </w14:solidFill>
          </w14:textFill>
        </w:rPr>
        <w:t>卷材铺贴的基层应符合下列规定：</w:t>
      </w:r>
    </w:p>
    <w:p>
      <w:pPr>
        <w:spacing w:line="360" w:lineRule="auto"/>
        <w:ind w:firstLine="422" w:firstLineChars="200"/>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hAnsi="宋体"/>
          <w:color w:val="000000" w:themeColor="text1"/>
          <w:szCs w:val="21"/>
          <w14:textFill>
            <w14:solidFill>
              <w14:schemeClr w14:val="tx1"/>
            </w14:solidFill>
          </w14:textFill>
        </w:rPr>
        <w:t>基层应</w:t>
      </w:r>
      <w:r>
        <w:rPr>
          <w:rFonts w:hint="eastAsia" w:ascii="宋体" w:hAnsi="宋体" w:cstheme="minorEastAsia"/>
          <w:color w:val="000000" w:themeColor="text1"/>
          <w:kern w:val="0"/>
          <w:szCs w:val="21"/>
          <w14:textFill>
            <w14:solidFill>
              <w14:schemeClr w14:val="tx1"/>
            </w14:solidFill>
          </w14:textFill>
        </w:rPr>
        <w:t>坚实</w:t>
      </w:r>
      <w:r>
        <w:rPr>
          <w:rFonts w:hint="eastAsia" w:hAnsi="宋体"/>
          <w:color w:val="000000" w:themeColor="text1"/>
          <w:szCs w:val="21"/>
          <w14:textFill>
            <w14:solidFill>
              <w14:schemeClr w14:val="tx1"/>
            </w14:solidFill>
          </w14:textFill>
        </w:rPr>
        <w:t>，表面应洁净、平整，</w:t>
      </w:r>
      <w:r>
        <w:rPr>
          <w:rFonts w:hint="eastAsia" w:ascii="宋体" w:hAnsi="宋体" w:cstheme="minorEastAsia"/>
          <w:color w:val="000000" w:themeColor="text1"/>
          <w:kern w:val="0"/>
          <w:szCs w:val="21"/>
          <w14:textFill>
            <w14:solidFill>
              <w14:schemeClr w14:val="tx1"/>
            </w14:solidFill>
          </w14:textFill>
        </w:rPr>
        <w:t>其平整度允许偏差为3mm，</w:t>
      </w:r>
      <w:r>
        <w:rPr>
          <w:rFonts w:hint="eastAsia" w:hAnsi="宋体"/>
          <w:color w:val="000000" w:themeColor="text1"/>
          <w:szCs w:val="21"/>
          <w14:textFill>
            <w14:solidFill>
              <w14:schemeClr w14:val="tx1"/>
            </w14:solidFill>
          </w14:textFill>
        </w:rPr>
        <w:t>不得有空鼓、松动、起砂和脱皮现象；</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hAnsi="宋体"/>
          <w:color w:val="000000" w:themeColor="text1"/>
          <w:szCs w:val="21"/>
          <w14:textFill>
            <w14:solidFill>
              <w14:schemeClr w14:val="tx1"/>
            </w14:solidFill>
          </w14:textFill>
        </w:rPr>
        <w:t>基层阴阳角处应做成圆弧形或钝角</w:t>
      </w:r>
      <w:r>
        <w:rPr>
          <w:rFonts w:hint="eastAsia" w:ascii="宋体" w:hAnsi="宋体" w:cstheme="minorEastAsia"/>
          <w:color w:val="000000" w:themeColor="text1"/>
          <w:kern w:val="0"/>
          <w:szCs w:val="21"/>
          <w14:textFill>
            <w14:solidFill>
              <w14:schemeClr w14:val="tx1"/>
            </w14:solidFill>
          </w14:textFill>
        </w:rPr>
        <w:t xml:space="preserve">，宜做成直径100mm圆弧或50×50mm钝角； </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ascii="宋体" w:hAnsi="宋体" w:cstheme="minorEastAsia"/>
          <w:color w:val="000000" w:themeColor="text1"/>
          <w:kern w:val="0"/>
          <w:szCs w:val="21"/>
          <w14:textFill>
            <w14:solidFill>
              <w14:schemeClr w14:val="tx1"/>
            </w14:solidFill>
          </w14:textFill>
        </w:rPr>
        <w:t xml:space="preserve"> 保护墙找平层，应采用水泥砂浆抹面，配合比宜为1:3，厚度宜为15mm～20mm；</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ascii="宋体" w:hAnsi="宋体" w:cstheme="minorEastAsia"/>
          <w:color w:val="000000" w:themeColor="text1"/>
          <w:kern w:val="0"/>
          <w:szCs w:val="21"/>
          <w14:textFill>
            <w14:solidFill>
              <w14:schemeClr w14:val="tx1"/>
            </w14:solidFill>
          </w14:textFill>
        </w:rPr>
        <w:t>基层应干燥，含水率不宜大于9％。</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14.2.4 </w:t>
      </w:r>
      <w:r>
        <w:rPr>
          <w:rFonts w:hint="eastAsia" w:hAnsi="宋体"/>
          <w:color w:val="000000" w:themeColor="text1"/>
          <w:szCs w:val="21"/>
          <w14:textFill>
            <w14:solidFill>
              <w14:schemeClr w14:val="tx1"/>
            </w14:solidFill>
          </w14:textFill>
        </w:rPr>
        <w:t>卷材防水层的搭接缝应粘（焊）结牢固，密封严密，不得有皱折、翘边和空鼓等缺陷，搭接宽度应符合表</w:t>
      </w:r>
      <w:r>
        <w:rPr>
          <w:rFonts w:hint="eastAsia" w:hAnsi="宋体"/>
          <w:b/>
          <w:bCs/>
          <w:color w:val="000000" w:themeColor="text1"/>
          <w:szCs w:val="21"/>
          <w14:textFill>
            <w14:solidFill>
              <w14:schemeClr w14:val="tx1"/>
            </w14:solidFill>
          </w14:textFill>
        </w:rPr>
        <w:t>14.2.4</w:t>
      </w:r>
      <w:r>
        <w:rPr>
          <w:rFonts w:hint="eastAsia" w:hAnsi="宋体"/>
          <w:color w:val="000000" w:themeColor="text1"/>
          <w:szCs w:val="21"/>
          <w14:textFill>
            <w14:solidFill>
              <w14:schemeClr w14:val="tx1"/>
            </w14:solidFill>
          </w14:textFill>
        </w:rPr>
        <w:t>的规定。</w:t>
      </w:r>
    </w:p>
    <w:p>
      <w:pPr>
        <w:tabs>
          <w:tab w:val="left" w:pos="851"/>
        </w:tabs>
        <w:spacing w:line="360" w:lineRule="auto"/>
        <w:jc w:val="center"/>
        <w:rPr>
          <w:bCs/>
          <w:color w:val="000000" w:themeColor="text1"/>
          <w14:textFill>
            <w14:solidFill>
              <w14:schemeClr w14:val="tx1"/>
            </w14:solidFill>
          </w14:textFill>
        </w:rPr>
      </w:pPr>
      <w:r>
        <w:rPr>
          <w:rFonts w:hint="eastAsia"/>
          <w:bCs/>
          <w:color w:val="000000" w:themeColor="text1"/>
          <w14:textFill>
            <w14:solidFill>
              <w14:schemeClr w14:val="tx1"/>
            </w14:solidFill>
          </w14:textFill>
        </w:rPr>
        <w:t>表</w:t>
      </w:r>
      <w:r>
        <w:rPr>
          <w:rFonts w:hint="eastAsia" w:hAnsi="宋体"/>
          <w:b/>
          <w:bCs/>
          <w:color w:val="000000" w:themeColor="text1"/>
          <w:szCs w:val="21"/>
          <w14:textFill>
            <w14:solidFill>
              <w14:schemeClr w14:val="tx1"/>
            </w14:solidFill>
          </w14:textFill>
        </w:rPr>
        <w:t xml:space="preserve">14.2.4 </w:t>
      </w:r>
      <w:r>
        <w:rPr>
          <w:rFonts w:hint="eastAsia"/>
          <w:bCs/>
          <w:color w:val="000000" w:themeColor="text1"/>
          <w14:textFill>
            <w14:solidFill>
              <w14:schemeClr w14:val="tx1"/>
            </w14:solidFill>
          </w14:textFill>
        </w:rPr>
        <w:t xml:space="preserve"> 卷材搭接宽度（m</w:t>
      </w:r>
      <w:r>
        <w:rPr>
          <w:bCs/>
          <w:color w:val="000000" w:themeColor="text1"/>
          <w14:textFill>
            <w14:solidFill>
              <w14:schemeClr w14:val="tx1"/>
            </w14:solidFill>
          </w14:textFill>
        </w:rPr>
        <w:t>m</w:t>
      </w:r>
      <w:r>
        <w:rPr>
          <w:rFonts w:hint="eastAsia"/>
          <w:bCs/>
          <w:color w:val="000000" w:themeColor="text1"/>
          <w14:textFill>
            <w14:solidFill>
              <w14:schemeClr w14:val="tx1"/>
            </w14:solidFill>
          </w14:textFill>
        </w:rPr>
        <w:t>）</w:t>
      </w:r>
    </w:p>
    <w:tbl>
      <w:tblPr>
        <w:tblStyle w:val="12"/>
        <w:tblpPr w:leftFromText="180" w:rightFromText="180" w:vertAnchor="text" w:tblpY="7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0"/>
        <w:gridCol w:w="1503"/>
        <w:gridCol w:w="1454"/>
        <w:gridCol w:w="1415"/>
        <w:gridCol w:w="1415"/>
        <w:gridCol w:w="1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3" w:type="dxa"/>
            <w:gridSpan w:val="2"/>
            <w:vMerge w:val="restart"/>
            <w:tcBorders>
              <w:tl2br w:val="single" w:color="auto" w:sz="4" w:space="0"/>
            </w:tcBorders>
            <w:shd w:val="clear" w:color="auto" w:fill="auto"/>
          </w:tcPr>
          <w:p>
            <w:pPr>
              <w:tabs>
                <w:tab w:val="left" w:pos="851"/>
              </w:tabs>
              <w:ind w:firstLine="42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 xml:space="preserve"> </w:t>
            </w:r>
            <w:r>
              <w:rPr>
                <w:rFonts w:ascii="宋体" w:hAnsi="宋体"/>
                <w:color w:val="000000" w:themeColor="text1"/>
                <w14:textFill>
                  <w14:solidFill>
                    <w14:schemeClr w14:val="tx1"/>
                  </w14:solidFill>
                </w14:textFill>
              </w:rPr>
              <w:t xml:space="preserve">          </w:t>
            </w:r>
            <w:r>
              <w:rPr>
                <w:rFonts w:hint="eastAsia" w:ascii="宋体" w:hAnsi="宋体"/>
                <w:color w:val="000000" w:themeColor="text1"/>
                <w14:textFill>
                  <w14:solidFill>
                    <w14:schemeClr w14:val="tx1"/>
                  </w14:solidFill>
                </w14:textFill>
              </w:rPr>
              <w:t>搭接宽度</w:t>
            </w:r>
          </w:p>
          <w:p>
            <w:pPr>
              <w:tabs>
                <w:tab w:val="left" w:pos="851"/>
              </w:tabs>
              <w:ind w:firstLine="42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 xml:space="preserve"> </w:t>
            </w:r>
            <w:r>
              <w:rPr>
                <w:rFonts w:ascii="宋体" w:hAnsi="宋体"/>
                <w:color w:val="000000" w:themeColor="text1"/>
                <w14:textFill>
                  <w14:solidFill>
                    <w14:schemeClr w14:val="tx1"/>
                  </w14:solidFill>
                </w14:textFill>
              </w:rPr>
              <w:t xml:space="preserve">          </w:t>
            </w:r>
            <w:r>
              <w:rPr>
                <w:rFonts w:hint="eastAsia" w:ascii="宋体" w:hAnsi="宋体"/>
                <w:color w:val="000000" w:themeColor="text1"/>
                <w14:textFill>
                  <w14:solidFill>
                    <w14:schemeClr w14:val="tx1"/>
                  </w14:solidFill>
                </w14:textFill>
              </w:rPr>
              <w:t>铺贴方法</w:t>
            </w:r>
          </w:p>
          <w:p>
            <w:pPr>
              <w:tabs>
                <w:tab w:val="left" w:pos="851"/>
              </w:tabs>
              <w:ind w:firstLine="420" w:firstLineChars="200"/>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 xml:space="preserve">  </w:t>
            </w:r>
          </w:p>
          <w:p>
            <w:pPr>
              <w:tabs>
                <w:tab w:val="left" w:pos="851"/>
              </w:tabs>
              <w:ind w:firstLine="42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卷材种类</w:t>
            </w:r>
            <w:r>
              <w:rPr>
                <w:rFonts w:ascii="宋体" w:hAnsi="宋体"/>
                <w:color w:val="000000" w:themeColor="text1"/>
                <w14:textFill>
                  <w14:solidFill>
                    <w14:schemeClr w14:val="tx1"/>
                  </w14:solidFill>
                </w14:textFill>
              </w:rPr>
              <w:t xml:space="preserve">     </w:t>
            </w:r>
          </w:p>
        </w:tc>
        <w:tc>
          <w:tcPr>
            <w:tcW w:w="2869" w:type="dxa"/>
            <w:gridSpan w:val="2"/>
            <w:shd w:val="clear" w:color="auto" w:fill="auto"/>
          </w:tcPr>
          <w:p>
            <w:pPr>
              <w:tabs>
                <w:tab w:val="left" w:pos="851"/>
              </w:tabs>
              <w:ind w:firstLine="840" w:firstLineChars="4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短边搭接</w:t>
            </w:r>
          </w:p>
        </w:tc>
        <w:tc>
          <w:tcPr>
            <w:tcW w:w="2830" w:type="dxa"/>
            <w:gridSpan w:val="2"/>
            <w:shd w:val="clear" w:color="auto" w:fill="auto"/>
          </w:tcPr>
          <w:p>
            <w:pPr>
              <w:tabs>
                <w:tab w:val="left" w:pos="851"/>
              </w:tabs>
              <w:ind w:firstLine="840" w:firstLineChars="4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长边搭接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7" w:hRule="atLeast"/>
        </w:trPr>
        <w:tc>
          <w:tcPr>
            <w:tcW w:w="2823" w:type="dxa"/>
            <w:gridSpan w:val="2"/>
            <w:vMerge w:val="continue"/>
            <w:tcBorders>
              <w:tl2br w:val="single" w:color="auto" w:sz="4" w:space="0"/>
            </w:tcBorders>
            <w:shd w:val="clear" w:color="auto" w:fill="auto"/>
          </w:tcPr>
          <w:p>
            <w:pPr>
              <w:tabs>
                <w:tab w:val="left" w:pos="851"/>
              </w:tabs>
              <w:ind w:firstLine="420" w:firstLineChars="200"/>
              <w:rPr>
                <w:rFonts w:ascii="宋体" w:hAnsi="宋体"/>
                <w:color w:val="000000" w:themeColor="text1"/>
                <w14:textFill>
                  <w14:solidFill>
                    <w14:schemeClr w14:val="tx1"/>
                  </w14:solidFill>
                </w14:textFill>
              </w:rPr>
            </w:pPr>
          </w:p>
        </w:tc>
        <w:tc>
          <w:tcPr>
            <w:tcW w:w="1454" w:type="dxa"/>
            <w:shd w:val="clear" w:color="auto" w:fill="auto"/>
          </w:tcPr>
          <w:p>
            <w:pPr>
              <w:tabs>
                <w:tab w:val="left" w:pos="851"/>
              </w:tabs>
              <w:ind w:firstLine="420" w:firstLineChars="200"/>
              <w:rPr>
                <w:rFonts w:ascii="宋体" w:hAnsi="宋体"/>
                <w:color w:val="000000" w:themeColor="text1"/>
                <w14:textFill>
                  <w14:solidFill>
                    <w14:schemeClr w14:val="tx1"/>
                  </w14:solidFill>
                </w14:textFill>
              </w:rPr>
            </w:pPr>
          </w:p>
          <w:p>
            <w:pPr>
              <w:tabs>
                <w:tab w:val="left" w:pos="851"/>
              </w:tabs>
              <w:ind w:firstLine="420" w:firstLineChars="200"/>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满粘法</w:t>
            </w:r>
          </w:p>
        </w:tc>
        <w:tc>
          <w:tcPr>
            <w:tcW w:w="1415" w:type="dxa"/>
            <w:shd w:val="clear" w:color="auto" w:fill="auto"/>
          </w:tcPr>
          <w:p>
            <w:pPr>
              <w:tabs>
                <w:tab w:val="left" w:pos="851"/>
              </w:tabs>
              <w:ind w:firstLine="210" w:firstLineChars="1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空铺法</w:t>
            </w:r>
          </w:p>
          <w:p>
            <w:pPr>
              <w:tabs>
                <w:tab w:val="left" w:pos="851"/>
              </w:tabs>
              <w:ind w:firstLine="210" w:firstLineChars="1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点粘法</w:t>
            </w:r>
          </w:p>
          <w:p>
            <w:pPr>
              <w:tabs>
                <w:tab w:val="left" w:pos="851"/>
              </w:tabs>
              <w:ind w:firstLine="210" w:firstLineChars="1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条粘法</w:t>
            </w:r>
          </w:p>
        </w:tc>
        <w:tc>
          <w:tcPr>
            <w:tcW w:w="1415" w:type="dxa"/>
            <w:shd w:val="clear" w:color="auto" w:fill="auto"/>
          </w:tcPr>
          <w:p>
            <w:pPr>
              <w:tabs>
                <w:tab w:val="left" w:pos="851"/>
              </w:tabs>
              <w:ind w:firstLine="420" w:firstLineChars="200"/>
              <w:rPr>
                <w:rFonts w:ascii="宋体" w:hAnsi="宋体"/>
                <w:color w:val="000000" w:themeColor="text1"/>
                <w14:textFill>
                  <w14:solidFill>
                    <w14:schemeClr w14:val="tx1"/>
                  </w14:solidFill>
                </w14:textFill>
              </w:rPr>
            </w:pPr>
          </w:p>
          <w:p>
            <w:pPr>
              <w:tabs>
                <w:tab w:val="left" w:pos="851"/>
              </w:tabs>
              <w:ind w:firstLine="210" w:firstLineChars="100"/>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满粘法</w:t>
            </w:r>
          </w:p>
          <w:p>
            <w:pPr>
              <w:tabs>
                <w:tab w:val="left" w:pos="851"/>
              </w:tabs>
              <w:ind w:firstLine="420" w:firstLineChars="200"/>
              <w:rPr>
                <w:rFonts w:ascii="宋体" w:hAnsi="宋体"/>
                <w:color w:val="000000" w:themeColor="text1"/>
                <w14:textFill>
                  <w14:solidFill>
                    <w14:schemeClr w14:val="tx1"/>
                  </w14:solidFill>
                </w14:textFill>
              </w:rPr>
            </w:pPr>
          </w:p>
        </w:tc>
        <w:tc>
          <w:tcPr>
            <w:tcW w:w="1415" w:type="dxa"/>
            <w:shd w:val="clear" w:color="auto" w:fill="auto"/>
          </w:tcPr>
          <w:p>
            <w:pPr>
              <w:tabs>
                <w:tab w:val="left" w:pos="851"/>
              </w:tabs>
              <w:ind w:firstLine="210" w:firstLineChars="1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空铺法</w:t>
            </w:r>
          </w:p>
          <w:p>
            <w:pPr>
              <w:tabs>
                <w:tab w:val="left" w:pos="851"/>
              </w:tabs>
              <w:ind w:firstLine="210" w:firstLineChars="1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点粘法</w:t>
            </w:r>
          </w:p>
          <w:p>
            <w:pPr>
              <w:tabs>
                <w:tab w:val="left" w:pos="851"/>
              </w:tabs>
              <w:ind w:firstLine="210" w:firstLineChars="1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条粘法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23" w:type="dxa"/>
            <w:gridSpan w:val="2"/>
            <w:tcBorders>
              <w:tl2br w:val="nil"/>
            </w:tcBorders>
            <w:shd w:val="clear" w:color="auto" w:fill="auto"/>
            <w:vAlign w:val="bottom"/>
          </w:tcPr>
          <w:p>
            <w:pPr>
              <w:tabs>
                <w:tab w:val="left" w:pos="851"/>
              </w:tabs>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高聚物改性沥青防水卷材</w:t>
            </w:r>
          </w:p>
        </w:tc>
        <w:tc>
          <w:tcPr>
            <w:tcW w:w="1454" w:type="dxa"/>
            <w:shd w:val="clear" w:color="auto" w:fill="auto"/>
          </w:tcPr>
          <w:p>
            <w:pPr>
              <w:tabs>
                <w:tab w:val="left" w:pos="851"/>
              </w:tabs>
              <w:ind w:firstLine="42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8</w:t>
            </w:r>
            <w:r>
              <w:rPr>
                <w:rFonts w:ascii="宋体" w:hAnsi="宋体"/>
                <w:color w:val="000000" w:themeColor="text1"/>
                <w14:textFill>
                  <w14:solidFill>
                    <w14:schemeClr w14:val="tx1"/>
                  </w14:solidFill>
                </w14:textFill>
              </w:rPr>
              <w:t>0</w:t>
            </w:r>
          </w:p>
        </w:tc>
        <w:tc>
          <w:tcPr>
            <w:tcW w:w="1415" w:type="dxa"/>
            <w:shd w:val="clear" w:color="auto" w:fill="auto"/>
          </w:tcPr>
          <w:p>
            <w:pPr>
              <w:tabs>
                <w:tab w:val="left" w:pos="851"/>
              </w:tabs>
              <w:ind w:firstLine="42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1</w:t>
            </w:r>
            <w:r>
              <w:rPr>
                <w:rFonts w:ascii="宋体" w:hAnsi="宋体"/>
                <w:color w:val="000000" w:themeColor="text1"/>
                <w14:textFill>
                  <w14:solidFill>
                    <w14:schemeClr w14:val="tx1"/>
                  </w14:solidFill>
                </w14:textFill>
              </w:rPr>
              <w:t>00</w:t>
            </w:r>
          </w:p>
        </w:tc>
        <w:tc>
          <w:tcPr>
            <w:tcW w:w="1415" w:type="dxa"/>
            <w:shd w:val="clear" w:color="auto" w:fill="auto"/>
          </w:tcPr>
          <w:p>
            <w:pPr>
              <w:tabs>
                <w:tab w:val="left" w:pos="851"/>
              </w:tabs>
              <w:ind w:firstLine="42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8</w:t>
            </w:r>
            <w:r>
              <w:rPr>
                <w:rFonts w:ascii="宋体" w:hAnsi="宋体"/>
                <w:color w:val="000000" w:themeColor="text1"/>
                <w14:textFill>
                  <w14:solidFill>
                    <w14:schemeClr w14:val="tx1"/>
                  </w14:solidFill>
                </w14:textFill>
              </w:rPr>
              <w:t>0</w:t>
            </w:r>
          </w:p>
        </w:tc>
        <w:tc>
          <w:tcPr>
            <w:tcW w:w="1415" w:type="dxa"/>
            <w:shd w:val="clear" w:color="auto" w:fill="auto"/>
          </w:tcPr>
          <w:p>
            <w:pPr>
              <w:tabs>
                <w:tab w:val="left" w:pos="851"/>
              </w:tabs>
              <w:ind w:firstLine="42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1</w:t>
            </w:r>
            <w:r>
              <w:rPr>
                <w:rFonts w:ascii="宋体" w:hAnsi="宋体"/>
                <w:color w:val="000000" w:themeColor="text1"/>
                <w14:textFill>
                  <w14:solidFill>
                    <w14:schemeClr w14:val="tx1"/>
                  </w14:solidFill>
                </w14:textFill>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vMerge w:val="restart"/>
            <w:tcBorders>
              <w:tl2br w:val="nil"/>
            </w:tcBorders>
            <w:shd w:val="clear" w:color="auto" w:fill="auto"/>
            <w:vAlign w:val="bottom"/>
          </w:tcPr>
          <w:p>
            <w:pPr>
              <w:tabs>
                <w:tab w:val="left" w:pos="851"/>
              </w:tabs>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合成高分子防水卷材</w:t>
            </w:r>
          </w:p>
        </w:tc>
        <w:tc>
          <w:tcPr>
            <w:tcW w:w="1503" w:type="dxa"/>
            <w:tcBorders>
              <w:tl2br w:val="nil"/>
            </w:tcBorders>
            <w:shd w:val="clear" w:color="auto" w:fill="auto"/>
            <w:vAlign w:val="bottom"/>
          </w:tcPr>
          <w:p>
            <w:pPr>
              <w:tabs>
                <w:tab w:val="left" w:pos="851"/>
              </w:tabs>
              <w:ind w:firstLine="420" w:firstLineChars="200"/>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粘结法</w:t>
            </w:r>
          </w:p>
        </w:tc>
        <w:tc>
          <w:tcPr>
            <w:tcW w:w="1454" w:type="dxa"/>
            <w:shd w:val="clear" w:color="auto" w:fill="auto"/>
            <w:vAlign w:val="bottom"/>
          </w:tcPr>
          <w:p>
            <w:pPr>
              <w:tabs>
                <w:tab w:val="left" w:pos="851"/>
              </w:tabs>
              <w:ind w:firstLine="42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8</w:t>
            </w:r>
            <w:r>
              <w:rPr>
                <w:rFonts w:ascii="宋体" w:hAnsi="宋体"/>
                <w:color w:val="000000" w:themeColor="text1"/>
                <w14:textFill>
                  <w14:solidFill>
                    <w14:schemeClr w14:val="tx1"/>
                  </w14:solidFill>
                </w14:textFill>
              </w:rPr>
              <w:t>0</w:t>
            </w:r>
          </w:p>
        </w:tc>
        <w:tc>
          <w:tcPr>
            <w:tcW w:w="1415" w:type="dxa"/>
            <w:shd w:val="clear" w:color="auto" w:fill="auto"/>
          </w:tcPr>
          <w:p>
            <w:pPr>
              <w:tabs>
                <w:tab w:val="left" w:pos="851"/>
              </w:tabs>
              <w:ind w:firstLine="42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1</w:t>
            </w:r>
            <w:r>
              <w:rPr>
                <w:rFonts w:ascii="宋体" w:hAnsi="宋体"/>
                <w:color w:val="000000" w:themeColor="text1"/>
                <w14:textFill>
                  <w14:solidFill>
                    <w14:schemeClr w14:val="tx1"/>
                  </w14:solidFill>
                </w14:textFill>
              </w:rPr>
              <w:t>00</w:t>
            </w:r>
          </w:p>
        </w:tc>
        <w:tc>
          <w:tcPr>
            <w:tcW w:w="1415" w:type="dxa"/>
            <w:shd w:val="clear" w:color="auto" w:fill="auto"/>
          </w:tcPr>
          <w:p>
            <w:pPr>
              <w:tabs>
                <w:tab w:val="left" w:pos="851"/>
              </w:tabs>
              <w:ind w:firstLine="42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8</w:t>
            </w:r>
            <w:r>
              <w:rPr>
                <w:rFonts w:ascii="宋体" w:hAnsi="宋体"/>
                <w:color w:val="000000" w:themeColor="text1"/>
                <w14:textFill>
                  <w14:solidFill>
                    <w14:schemeClr w14:val="tx1"/>
                  </w14:solidFill>
                </w14:textFill>
              </w:rPr>
              <w:t>0</w:t>
            </w:r>
          </w:p>
        </w:tc>
        <w:tc>
          <w:tcPr>
            <w:tcW w:w="1415" w:type="dxa"/>
            <w:shd w:val="clear" w:color="auto" w:fill="auto"/>
          </w:tcPr>
          <w:p>
            <w:pPr>
              <w:tabs>
                <w:tab w:val="left" w:pos="851"/>
              </w:tabs>
              <w:ind w:firstLine="420" w:firstLineChars="200"/>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1</w:t>
            </w:r>
            <w:r>
              <w:rPr>
                <w:rFonts w:ascii="宋体" w:hAnsi="宋体"/>
                <w:color w:val="000000" w:themeColor="text1"/>
                <w14:textFill>
                  <w14:solidFill>
                    <w14:schemeClr w14:val="tx1"/>
                  </w14:solidFill>
                </w14:textFill>
              </w:rPr>
              <w:t>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20" w:type="dxa"/>
            <w:vMerge w:val="continue"/>
            <w:tcBorders>
              <w:tl2br w:val="nil"/>
            </w:tcBorders>
            <w:shd w:val="clear" w:color="auto" w:fill="auto"/>
            <w:vAlign w:val="bottom"/>
          </w:tcPr>
          <w:p>
            <w:pPr>
              <w:tabs>
                <w:tab w:val="left" w:pos="851"/>
              </w:tabs>
              <w:ind w:firstLine="420" w:firstLineChars="200"/>
              <w:rPr>
                <w:rFonts w:ascii="宋体" w:hAnsi="宋体"/>
                <w:color w:val="000000" w:themeColor="text1"/>
                <w14:textFill>
                  <w14:solidFill>
                    <w14:schemeClr w14:val="tx1"/>
                  </w14:solidFill>
                </w14:textFill>
              </w:rPr>
            </w:pPr>
          </w:p>
        </w:tc>
        <w:tc>
          <w:tcPr>
            <w:tcW w:w="1503" w:type="dxa"/>
            <w:tcBorders>
              <w:tl2br w:val="nil"/>
            </w:tcBorders>
            <w:shd w:val="clear" w:color="auto" w:fill="auto"/>
          </w:tcPr>
          <w:p>
            <w:pPr>
              <w:tabs>
                <w:tab w:val="left" w:pos="851"/>
              </w:tabs>
              <w:ind w:firstLine="420" w:firstLineChars="200"/>
              <w:rPr>
                <w:rFonts w:ascii="宋体" w:hAnsi="宋体"/>
                <w:color w:val="000000" w:themeColor="text1"/>
                <w14:textFill>
                  <w14:solidFill>
                    <w14:schemeClr w14:val="tx1"/>
                  </w14:solidFill>
                </w14:textFill>
              </w:rPr>
            </w:pPr>
            <w:r>
              <w:rPr>
                <w:rFonts w:ascii="宋体" w:hAnsi="宋体"/>
                <w:color w:val="000000" w:themeColor="text1"/>
                <w14:textFill>
                  <w14:solidFill>
                    <w14:schemeClr w14:val="tx1"/>
                  </w14:solidFill>
                </w14:textFill>
              </w:rPr>
              <w:t>焊接法</w:t>
            </w:r>
          </w:p>
        </w:tc>
        <w:tc>
          <w:tcPr>
            <w:tcW w:w="5699" w:type="dxa"/>
            <w:gridSpan w:val="4"/>
            <w:shd w:val="clear" w:color="auto" w:fill="auto"/>
          </w:tcPr>
          <w:p>
            <w:pPr>
              <w:tabs>
                <w:tab w:val="left" w:pos="851"/>
              </w:tabs>
              <w:rPr>
                <w:rFonts w:ascii="宋体" w:hAnsi="宋体"/>
                <w:color w:val="000000" w:themeColor="text1"/>
                <w14:textFill>
                  <w14:solidFill>
                    <w14:schemeClr w14:val="tx1"/>
                  </w14:solidFill>
                </w14:textFill>
              </w:rPr>
            </w:pPr>
            <w:r>
              <w:rPr>
                <w:rFonts w:hint="eastAsia" w:ascii="宋体" w:hAnsi="宋体"/>
                <w:color w:val="000000" w:themeColor="text1"/>
                <w14:textFill>
                  <w14:solidFill>
                    <w14:schemeClr w14:val="tx1"/>
                  </w14:solidFill>
                </w14:textFill>
              </w:rPr>
              <w:t xml:space="preserve"> </w:t>
            </w:r>
            <w:r>
              <w:rPr>
                <w:rFonts w:ascii="宋体" w:hAnsi="宋体"/>
                <w:color w:val="000000" w:themeColor="text1"/>
                <w14:textFill>
                  <w14:solidFill>
                    <w14:schemeClr w14:val="tx1"/>
                  </w14:solidFill>
                </w14:textFill>
              </w:rPr>
              <w:t xml:space="preserve">             </w:t>
            </w:r>
            <w:r>
              <w:rPr>
                <w:rFonts w:hint="eastAsia" w:ascii="宋体" w:hAnsi="宋体"/>
                <w:color w:val="000000" w:themeColor="text1"/>
                <w14:textFill>
                  <w14:solidFill>
                    <w14:schemeClr w14:val="tx1"/>
                  </w14:solidFill>
                </w14:textFill>
              </w:rPr>
              <w:t>有效焊接不小于5</w:t>
            </w:r>
            <w:r>
              <w:rPr>
                <w:rFonts w:ascii="宋体" w:hAnsi="宋体"/>
                <w:color w:val="000000" w:themeColor="text1"/>
                <w14:textFill>
                  <w14:solidFill>
                    <w14:schemeClr w14:val="tx1"/>
                  </w14:solidFill>
                </w14:textFill>
              </w:rPr>
              <w:t>0</w:t>
            </w:r>
          </w:p>
        </w:tc>
      </w:tr>
    </w:tbl>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14.2.5 </w:t>
      </w:r>
      <w:r>
        <w:rPr>
          <w:rFonts w:hint="eastAsia" w:hAnsi="宋体"/>
          <w:color w:val="000000" w:themeColor="text1"/>
          <w:szCs w:val="21"/>
          <w14:textFill>
            <w14:solidFill>
              <w14:schemeClr w14:val="tx1"/>
            </w14:solidFill>
          </w14:textFill>
        </w:rPr>
        <w:t>采用多层卷材时，上下两层卷材不应相互垂直铺贴。</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14.2.6 </w:t>
      </w:r>
      <w:r>
        <w:rPr>
          <w:rFonts w:hint="eastAsia" w:hAnsi="宋体"/>
          <w:color w:val="000000" w:themeColor="text1"/>
          <w:szCs w:val="21"/>
          <w14:textFill>
            <w14:solidFill>
              <w14:schemeClr w14:val="tx1"/>
            </w14:solidFill>
          </w14:textFill>
        </w:rPr>
        <w:t>在</w:t>
      </w:r>
      <w:r>
        <w:rPr>
          <w:rFonts w:hint="eastAsia" w:ascii="宋体" w:hAnsi="宋体" w:cstheme="minorEastAsia"/>
          <w:color w:val="000000" w:themeColor="text1"/>
          <w:kern w:val="0"/>
          <w:szCs w:val="21"/>
          <w14:textFill>
            <w14:solidFill>
              <w14:schemeClr w14:val="tx1"/>
            </w14:solidFill>
          </w14:textFill>
        </w:rPr>
        <w:t>阴阳角、变形缝和穿墙管等</w:t>
      </w:r>
      <w:r>
        <w:rPr>
          <w:rFonts w:hint="eastAsia" w:hAnsi="宋体"/>
          <w:color w:val="000000" w:themeColor="text1"/>
          <w:szCs w:val="21"/>
          <w14:textFill>
            <w14:solidFill>
              <w14:schemeClr w14:val="tx1"/>
            </w14:solidFill>
          </w14:textFill>
        </w:rPr>
        <w:t xml:space="preserve">部位，防水卷材应铺设附加层，并应符合下列规定： </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1</w:t>
      </w:r>
      <w:r>
        <w:rPr>
          <w:rFonts w:hint="eastAsia" w:ascii="宋体" w:hAnsi="宋体" w:cstheme="minorEastAsia"/>
          <w:color w:val="000000" w:themeColor="text1"/>
          <w:kern w:val="0"/>
          <w:szCs w:val="21"/>
          <w14:textFill>
            <w14:solidFill>
              <w14:schemeClr w14:val="tx1"/>
            </w14:solidFill>
          </w14:textFill>
        </w:rPr>
        <w:t xml:space="preserve"> 阴阳角处附加层宽度不应小于500mm； </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ascii="宋体" w:hAnsi="宋体" w:cstheme="minorEastAsia"/>
          <w:color w:val="000000" w:themeColor="text1"/>
          <w:kern w:val="0"/>
          <w:szCs w:val="21"/>
          <w14:textFill>
            <w14:solidFill>
              <w14:schemeClr w14:val="tx1"/>
            </w14:solidFill>
          </w14:textFill>
        </w:rPr>
        <w:t xml:space="preserve"> 变形缝处附加层宽度不应小于600mm，并应上下各设一层。 </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theme="minorEastAsia"/>
          <w:color w:val="000000" w:themeColor="text1"/>
          <w:kern w:val="0"/>
          <w:szCs w:val="21"/>
          <w14:textFill>
            <w14:solidFill>
              <w14:schemeClr w14:val="tx1"/>
            </w14:solidFill>
          </w14:textFill>
        </w:rPr>
        <w:t xml:space="preserve">穿墙管周围附加层宽度不应小于300mm幅宽，长度不应小于150mm。 </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14.2.7 </w:t>
      </w:r>
      <w:r>
        <w:rPr>
          <w:rFonts w:hint="eastAsia" w:hAnsi="宋体"/>
          <w:color w:val="000000" w:themeColor="text1"/>
          <w:szCs w:val="21"/>
          <w14:textFill>
            <w14:solidFill>
              <w14:schemeClr w14:val="tx1"/>
            </w14:solidFill>
          </w14:textFill>
        </w:rPr>
        <w:t>卷材防水层铺贴应符合下列规定：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卷材胶粘剂应涂满铺匀；</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ascii="宋体" w:hAnsi="宋体" w:cstheme="minorEastAsia"/>
          <w:color w:val="000000" w:themeColor="text1"/>
          <w:kern w:val="0"/>
          <w:szCs w:val="21"/>
          <w14:textFill>
            <w14:solidFill>
              <w14:schemeClr w14:val="tx1"/>
            </w14:solidFill>
          </w14:textFill>
        </w:rPr>
        <w:t xml:space="preserve"> 卷材铺贴长边应与结构纵向垂直，两幅搭接长度应符合本规程第</w:t>
      </w:r>
      <w:r>
        <w:rPr>
          <w:rFonts w:hint="eastAsia" w:hAnsi="宋体"/>
          <w:b/>
          <w:bCs/>
          <w:color w:val="000000" w:themeColor="text1"/>
          <w:szCs w:val="21"/>
          <w14:textFill>
            <w14:solidFill>
              <w14:schemeClr w14:val="tx1"/>
            </w14:solidFill>
          </w14:textFill>
        </w:rPr>
        <w:t>14.2.4</w:t>
      </w:r>
      <w:r>
        <w:rPr>
          <w:rFonts w:hint="eastAsia" w:ascii="宋体" w:hAnsi="宋体" w:cstheme="minorEastAsia"/>
          <w:color w:val="000000" w:themeColor="text1"/>
          <w:kern w:val="0"/>
          <w:szCs w:val="21"/>
          <w14:textFill>
            <w14:solidFill>
              <w14:schemeClr w14:val="tx1"/>
            </w14:solidFill>
          </w14:textFill>
        </w:rPr>
        <w:t>条的规定，上下两层卷材搭接缝应错开1／2幅宽；</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ascii="宋体" w:hAnsi="宋体" w:cstheme="minorEastAsia"/>
          <w:color w:val="000000" w:themeColor="text1"/>
          <w:kern w:val="0"/>
          <w:szCs w:val="21"/>
          <w14:textFill>
            <w14:solidFill>
              <w14:schemeClr w14:val="tx1"/>
            </w14:solidFill>
          </w14:textFill>
        </w:rPr>
        <w:t xml:space="preserve"> 卷材粘贴：底板底部卷材与基层宜采用点粘法、条粘法或满粘法粘贴；立面和顶板的卷材与基层、附加层与基层、附加层与卷材及卷材之间应采用满粘法粘贴；</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ascii="宋体" w:hAnsi="宋体" w:cstheme="minorEastAsia"/>
          <w:color w:val="000000" w:themeColor="text1"/>
          <w:kern w:val="0"/>
          <w:szCs w:val="21"/>
          <w14:textFill>
            <w14:solidFill>
              <w14:schemeClr w14:val="tx1"/>
            </w14:solidFill>
          </w14:textFill>
        </w:rPr>
        <w:t>卷材应由平面到立面、由下向上铺贴，接缝应留置在平面内，距立面不应小于 600mm；</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5 </w:t>
      </w:r>
      <w:r>
        <w:rPr>
          <w:rFonts w:hint="eastAsia" w:ascii="宋体" w:hAnsi="宋体" w:cstheme="minorEastAsia"/>
          <w:color w:val="000000" w:themeColor="text1"/>
          <w:kern w:val="0"/>
          <w:szCs w:val="21"/>
          <w14:textFill>
            <w14:solidFill>
              <w14:schemeClr w14:val="tx1"/>
            </w14:solidFill>
          </w14:textFill>
        </w:rPr>
        <w:t>卷材应随胶粘剂边涂边贴，展平压实，卷材之间、卷材与基层之间应粘贴紧密，无空鼓、气泡等现象，粘贴缝应粘贴封严；</w:t>
      </w:r>
    </w:p>
    <w:p>
      <w:pPr>
        <w:spacing w:line="360" w:lineRule="auto"/>
        <w:ind w:firstLine="422" w:firstLineChars="200"/>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6 </w:t>
      </w:r>
      <w:r>
        <w:rPr>
          <w:rFonts w:hint="eastAsia" w:hAnsi="宋体"/>
          <w:color w:val="000000" w:themeColor="text1"/>
          <w:szCs w:val="21"/>
          <w14:textFill>
            <w14:solidFill>
              <w14:schemeClr w14:val="tx1"/>
            </w14:solidFill>
          </w14:textFill>
        </w:rPr>
        <w:t>侧墙卷材防水层的保护层与防水层应粘结牢固，结合紧密、厚度均匀一致。</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14.2.8 </w:t>
      </w:r>
      <w:r>
        <w:rPr>
          <w:rFonts w:hint="eastAsia" w:hAnsi="宋体"/>
          <w:color w:val="000000" w:themeColor="text1"/>
          <w:szCs w:val="21"/>
          <w14:textFill>
            <w14:solidFill>
              <w14:schemeClr w14:val="tx1"/>
            </w14:solidFill>
          </w14:textFill>
        </w:rPr>
        <w:t>暗挖隧道夹层卷材防水层宜采用空铺法施工。</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14.2.9 </w:t>
      </w:r>
      <w:r>
        <w:rPr>
          <w:rFonts w:hint="eastAsia" w:hAnsi="宋体"/>
          <w:color w:val="000000" w:themeColor="text1"/>
          <w:szCs w:val="21"/>
          <w14:textFill>
            <w14:solidFill>
              <w14:schemeClr w14:val="tx1"/>
            </w14:solidFill>
          </w14:textFill>
        </w:rPr>
        <w:t>卷材防水层冷粘法铺贴应符合下列规定：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胶粘剂涂刷应均匀，不露底，不堆积；</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 xml:space="preserve">铺贴卷材时应控制胶粘剂涂刷与卷材铺贴的间隔时间，应排除空气，并辊压粘结牢固，无空鼓、气泡等现象； </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theme="minorEastAsia"/>
          <w:color w:val="000000" w:themeColor="text1"/>
          <w:kern w:val="0"/>
          <w:szCs w:val="21"/>
          <w14:textFill>
            <w14:solidFill>
              <w14:schemeClr w14:val="tx1"/>
            </w14:solidFill>
          </w14:textFill>
        </w:rPr>
        <w:t>铺贴卷材应平整、顺直，搭接宽度应符合设计要求，无扭曲、皱折等现象；</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ascii="宋体" w:hAnsi="宋体" w:cstheme="minorEastAsia"/>
          <w:color w:val="000000" w:themeColor="text1"/>
          <w:kern w:val="0"/>
          <w:szCs w:val="21"/>
          <w14:textFill>
            <w14:solidFill>
              <w14:schemeClr w14:val="tx1"/>
            </w14:solidFill>
          </w14:textFill>
        </w:rPr>
        <w:t>接缝应用密封材料封严，宽度不应小于10mm。</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14.2.10 </w:t>
      </w:r>
      <w:r>
        <w:rPr>
          <w:rFonts w:hint="eastAsia" w:hAnsi="宋体"/>
          <w:color w:val="000000" w:themeColor="text1"/>
          <w:szCs w:val="21"/>
          <w14:textFill>
            <w14:solidFill>
              <w14:schemeClr w14:val="tx1"/>
            </w14:solidFill>
          </w14:textFill>
        </w:rPr>
        <w:t>卷材防水层热熔法铺贴应符合下列规定：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卷材加热应均匀，不得过分加热或烧穿卷材；厚度小于3mm的高聚物改性沥青防水卷材，不应采用热熔法施工；</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卷材表面热熔后应及时滚铺卷材，应排除空气，并辊压粘结牢固，无空鼓、皱折等现象；</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theme="minorEastAsia"/>
          <w:color w:val="000000" w:themeColor="text1"/>
          <w:kern w:val="0"/>
          <w:szCs w:val="21"/>
          <w14:textFill>
            <w14:solidFill>
              <w14:schemeClr w14:val="tx1"/>
            </w14:solidFill>
          </w14:textFill>
        </w:rPr>
        <w:t xml:space="preserve">滚铺卷材时接缝部位应溢出沥青热熔胶，均匀顺直，宽度宜为2mm； </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ascii="宋体" w:hAnsi="宋体" w:cstheme="minorEastAsia"/>
          <w:color w:val="000000" w:themeColor="text1"/>
          <w:kern w:val="0"/>
          <w:szCs w:val="21"/>
          <w14:textFill>
            <w14:solidFill>
              <w14:schemeClr w14:val="tx1"/>
            </w14:solidFill>
          </w14:textFill>
        </w:rPr>
        <w:t>铺贴后的卷材应平整、顺直，搭接宽度应符合设计要求，无扭曲、皱折等现象。</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14.2.11 </w:t>
      </w:r>
      <w:r>
        <w:rPr>
          <w:rFonts w:hint="eastAsia" w:hAnsi="宋体"/>
          <w:color w:val="000000" w:themeColor="text1"/>
          <w:szCs w:val="21"/>
          <w14:textFill>
            <w14:solidFill>
              <w14:schemeClr w14:val="tx1"/>
            </w14:solidFill>
          </w14:textFill>
        </w:rPr>
        <w:t>卷材防水层保护层施工应符合下列规定：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 xml:space="preserve">顶板的细石混凝土保护层与防水层之间宜设置隔离层； </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 xml:space="preserve">底板的细石混凝土保护层厚度应大于50mm； </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theme="minorEastAsia"/>
          <w:color w:val="000000" w:themeColor="text1"/>
          <w:kern w:val="0"/>
          <w:szCs w:val="21"/>
          <w14:textFill>
            <w14:solidFill>
              <w14:schemeClr w14:val="tx1"/>
            </w14:solidFill>
          </w14:textFill>
        </w:rPr>
        <w:t>侧墙宜采用聚苯乙烯泡沫塑料保护层或保护墙。</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403" w:name="_Toc1549"/>
      <w:bookmarkStart w:id="404" w:name="_Toc23451"/>
      <w:bookmarkStart w:id="405" w:name="_Toc7129"/>
      <w:bookmarkStart w:id="406" w:name="_Toc6997"/>
      <w:bookmarkStart w:id="407" w:name="_Toc2071"/>
      <w:bookmarkStart w:id="408" w:name="_Toc23811"/>
      <w:r>
        <w:rPr>
          <w:rFonts w:hint="eastAsia" w:hAnsi="宋体"/>
          <w:b/>
          <w:color w:val="000000" w:themeColor="text1"/>
          <w:sz w:val="24"/>
          <w14:textFill>
            <w14:solidFill>
              <w14:schemeClr w14:val="tx1"/>
            </w14:solidFill>
          </w14:textFill>
        </w:rPr>
        <w:t>14.3  塑料板防水层</w:t>
      </w:r>
      <w:bookmarkEnd w:id="403"/>
      <w:bookmarkEnd w:id="404"/>
      <w:bookmarkEnd w:id="405"/>
      <w:bookmarkEnd w:id="406"/>
      <w:bookmarkEnd w:id="407"/>
      <w:bookmarkEnd w:id="408"/>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14.3.1 </w:t>
      </w:r>
      <w:r>
        <w:rPr>
          <w:rFonts w:hint="eastAsia" w:hAnsi="宋体"/>
          <w:color w:val="000000" w:themeColor="text1"/>
          <w:szCs w:val="21"/>
          <w14:textFill>
            <w14:solidFill>
              <w14:schemeClr w14:val="tx1"/>
            </w14:solidFill>
          </w14:textFill>
        </w:rPr>
        <w:t>塑料防水板防水层宜铺设在暗挖隧道的初期支护和二次衬砌之间。</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14.3.2 </w:t>
      </w:r>
      <w:r>
        <w:rPr>
          <w:rFonts w:hint="eastAsia" w:hAnsi="宋体"/>
          <w:color w:val="000000" w:themeColor="text1"/>
          <w:szCs w:val="21"/>
          <w14:textFill>
            <w14:solidFill>
              <w14:schemeClr w14:val="tx1"/>
            </w14:solidFill>
          </w14:textFill>
        </w:rPr>
        <w:t>塑料防水板防水层的基层表面应平整、无尖锐突出物。</w:t>
      </w:r>
    </w:p>
    <w:p>
      <w:pPr>
        <w:pStyle w:val="22"/>
        <w:tabs>
          <w:tab w:val="left" w:pos="851"/>
        </w:tabs>
        <w:snapToGrid w:val="0"/>
        <w:spacing w:line="360" w:lineRule="auto"/>
        <w:ind w:firstLine="0" w:firstLineChars="0"/>
        <w:jc w:val="left"/>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14.3.3 </w:t>
      </w:r>
      <w:r>
        <w:rPr>
          <w:rFonts w:hint="eastAsia" w:hAnsi="宋体"/>
          <w:color w:val="000000" w:themeColor="text1"/>
          <w:szCs w:val="21"/>
          <w14:textFill>
            <w14:solidFill>
              <w14:schemeClr w14:val="tx1"/>
            </w14:solidFill>
          </w14:textFill>
        </w:rPr>
        <w:t>塑料防水板铺设前应先铺缓冲层，缓冲层应采用暗钉圈固定在基层上。</w:t>
      </w:r>
    </w:p>
    <w:p>
      <w:pPr>
        <w:pStyle w:val="22"/>
        <w:tabs>
          <w:tab w:val="left" w:pos="851"/>
        </w:tabs>
        <w:snapToGrid w:val="0"/>
        <w:spacing w:line="360" w:lineRule="auto"/>
        <w:ind w:firstLine="0" w:firstLineChars="0"/>
        <w:jc w:val="left"/>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14.3.4 </w:t>
      </w:r>
      <w:r>
        <w:rPr>
          <w:rFonts w:hint="eastAsia" w:hAnsi="宋体"/>
          <w:color w:val="000000" w:themeColor="text1"/>
          <w:szCs w:val="21"/>
          <w14:textFill>
            <w14:solidFill>
              <w14:schemeClr w14:val="tx1"/>
            </w14:solidFill>
          </w14:textFill>
        </w:rPr>
        <w:t>塑料防水板防水层应牢固地固定在基层上，固定点的间距应根据基层表面平整情况确定，拱部宜为0.5～0.8m、边墙宜为1.0～1.5m、底部宜为1.5～2.0m。局部凹凸较大时，应在凹处加密固定点。</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14.3.5 </w:t>
      </w:r>
      <w:r>
        <w:rPr>
          <w:rFonts w:hint="eastAsia" w:hAnsi="宋体"/>
          <w:color w:val="000000" w:themeColor="text1"/>
          <w:szCs w:val="21"/>
          <w14:textFill>
            <w14:solidFill>
              <w14:schemeClr w14:val="tx1"/>
            </w14:solidFill>
          </w14:textFill>
        </w:rPr>
        <w:t xml:space="preserve">塑料板防水层的铺设应符合下列规定： </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宜由拱顶向两侧展铺，并应边铺边用压焊机将塑料板与暗钉圈焊接牢靠，不应有漏焊、假焊或焊穿等现象；</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ascii="宋体" w:hAnsi="宋体" w:cstheme="minorEastAsia"/>
          <w:color w:val="000000" w:themeColor="text1"/>
          <w:kern w:val="0"/>
          <w:szCs w:val="21"/>
          <w14:textFill>
            <w14:solidFill>
              <w14:schemeClr w14:val="tx1"/>
            </w14:solidFill>
          </w14:textFill>
        </w:rPr>
        <w:t xml:space="preserve"> 环向铺设时，应先拱后墙，下部防水板应压住上部防水板；</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ascii="宋体" w:hAnsi="宋体" w:cstheme="minorEastAsia"/>
          <w:color w:val="000000" w:themeColor="text1"/>
          <w:kern w:val="0"/>
          <w:szCs w:val="21"/>
          <w14:textFill>
            <w14:solidFill>
              <w14:schemeClr w14:val="tx1"/>
            </w14:solidFill>
          </w14:textFill>
        </w:rPr>
        <w:t xml:space="preserve"> 塑料防水板应采用热熔焊接，搭接缝应为热熔双焊缝，搭接宽度不应小于100mm，每条焊缝的有效宽度不应小于10mm；</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4</w:t>
      </w:r>
      <w:r>
        <w:rPr>
          <w:rFonts w:hint="eastAsia" w:ascii="宋体" w:hAnsi="宋体" w:cstheme="minorEastAsia"/>
          <w:color w:val="000000" w:themeColor="text1"/>
          <w:kern w:val="0"/>
          <w:szCs w:val="21"/>
          <w14:textFill>
            <w14:solidFill>
              <w14:schemeClr w14:val="tx1"/>
            </w14:solidFill>
          </w14:textFill>
        </w:rPr>
        <w:t xml:space="preserve"> 塑料防水板铺设时宜设置分区预埋注浆系统； </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5 </w:t>
      </w:r>
      <w:r>
        <w:rPr>
          <w:rFonts w:hint="eastAsia" w:ascii="宋体" w:hAnsi="宋体" w:cstheme="minorEastAsia"/>
          <w:color w:val="000000" w:themeColor="text1"/>
          <w:kern w:val="0"/>
          <w:szCs w:val="21"/>
          <w14:textFill>
            <w14:solidFill>
              <w14:schemeClr w14:val="tx1"/>
            </w14:solidFill>
          </w14:textFill>
        </w:rPr>
        <w:t>分段设置塑料防水板时，两端应采取封闭措施。</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14.3.6 </w:t>
      </w:r>
      <w:r>
        <w:rPr>
          <w:rFonts w:hint="eastAsia" w:hAnsi="宋体"/>
          <w:color w:val="000000" w:themeColor="text1"/>
          <w:szCs w:val="21"/>
          <w14:textFill>
            <w14:solidFill>
              <w14:schemeClr w14:val="tx1"/>
            </w14:solidFill>
          </w14:textFill>
        </w:rPr>
        <w:t>接缝焊接时，塑料板的搭接层数不得超过三层。</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14.3.7 </w:t>
      </w:r>
      <w:r>
        <w:rPr>
          <w:rFonts w:hint="eastAsia" w:hAnsi="宋体"/>
          <w:color w:val="000000" w:themeColor="text1"/>
          <w:szCs w:val="21"/>
          <w14:textFill>
            <w14:solidFill>
              <w14:schemeClr w14:val="tx1"/>
            </w14:solidFill>
          </w14:textFill>
        </w:rPr>
        <w:t>塑料防水板铺设留设接头时，应对接头进行保护，再次焊接时，应将接头处的塑料防水板清理干净。</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14.3.8 </w:t>
      </w:r>
      <w:r>
        <w:rPr>
          <w:rFonts w:hint="eastAsia" w:hAnsi="宋体"/>
          <w:color w:val="000000" w:themeColor="text1"/>
          <w:szCs w:val="21"/>
          <w14:textFill>
            <w14:solidFill>
              <w14:schemeClr w14:val="tx1"/>
            </w14:solidFill>
          </w14:textFill>
        </w:rPr>
        <w:t>铺设塑料防水板时，不应绷得太紧，宜根据基面的平整度留有充分的余地。</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14.3.9 </w:t>
      </w:r>
      <w:r>
        <w:rPr>
          <w:rFonts w:hint="eastAsia" w:hAnsi="宋体"/>
          <w:color w:val="000000" w:themeColor="text1"/>
          <w:szCs w:val="21"/>
          <w14:textFill>
            <w14:solidFill>
              <w14:schemeClr w14:val="tx1"/>
            </w14:solidFill>
          </w14:textFill>
        </w:rPr>
        <w:t>防水板的铺设完成后，应采取成品保护措施，防止机械损伤和电火花灼伤防水板，二次衬砌混凝土施工应符合下列规定：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1</w:t>
      </w:r>
      <w:r>
        <w:rPr>
          <w:rFonts w:hint="eastAsia" w:ascii="宋体" w:hAnsi="宋体" w:cstheme="minorEastAsia"/>
          <w:color w:val="000000" w:themeColor="text1"/>
          <w:kern w:val="0"/>
          <w:szCs w:val="21"/>
          <w14:textFill>
            <w14:solidFill>
              <w14:schemeClr w14:val="tx1"/>
            </w14:solidFill>
          </w14:textFill>
        </w:rPr>
        <w:t xml:space="preserve"> 绑扎、焊接钢筋时应采取防刺穿、灼伤防水板的措施。</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混凝土出料口和振捣棒不得直接接触塑料防水板。</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409" w:name="_Toc29287"/>
      <w:bookmarkStart w:id="410" w:name="_Toc3594"/>
      <w:bookmarkStart w:id="411" w:name="_Toc18870"/>
      <w:bookmarkStart w:id="412" w:name="_Toc4940"/>
      <w:bookmarkStart w:id="413" w:name="_Toc12527"/>
      <w:bookmarkStart w:id="414" w:name="_Toc18657"/>
      <w:r>
        <w:rPr>
          <w:rFonts w:hint="eastAsia" w:hAnsi="宋体"/>
          <w:b/>
          <w:color w:val="000000" w:themeColor="text1"/>
          <w:sz w:val="24"/>
          <w14:textFill>
            <w14:solidFill>
              <w14:schemeClr w14:val="tx1"/>
            </w14:solidFill>
          </w14:textFill>
        </w:rPr>
        <w:t>14.4  水泥砂浆防水层</w:t>
      </w:r>
      <w:bookmarkEnd w:id="409"/>
      <w:bookmarkEnd w:id="410"/>
      <w:bookmarkEnd w:id="411"/>
      <w:bookmarkEnd w:id="412"/>
      <w:bookmarkEnd w:id="413"/>
      <w:bookmarkEnd w:id="414"/>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14.4.1</w:t>
      </w:r>
      <w:r>
        <w:rPr>
          <w:rFonts w:hint="eastAsia" w:hAnsi="宋体"/>
          <w:color w:val="000000" w:themeColor="text1"/>
          <w:szCs w:val="21"/>
          <w14:textFill>
            <w14:solidFill>
              <w14:schemeClr w14:val="tx1"/>
            </w14:solidFill>
          </w14:textFill>
        </w:rPr>
        <w:t>水泥砂浆防水层应在初期支护、围护结构验收合格后施工。</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14.4.2 </w:t>
      </w:r>
      <w:r>
        <w:rPr>
          <w:rFonts w:hint="eastAsia" w:hAnsi="宋体"/>
          <w:color w:val="000000" w:themeColor="text1"/>
          <w:szCs w:val="21"/>
          <w14:textFill>
            <w14:solidFill>
              <w14:schemeClr w14:val="tx1"/>
            </w14:solidFill>
          </w14:textFill>
        </w:rPr>
        <w:t>防水砂浆品种和配合比应符合设计要求。用于水泥砂浆防水层的材料，应符合下列规定：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宜使用硅酸盐水泥、普通硅酸盐水泥或特种水泥，不得使用过期或受潮结块的水泥；</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ascii="宋体" w:hAnsi="宋体" w:cstheme="minorEastAsia"/>
          <w:color w:val="000000" w:themeColor="text1"/>
          <w:kern w:val="0"/>
          <w:szCs w:val="21"/>
          <w14:textFill>
            <w14:solidFill>
              <w14:schemeClr w14:val="tx1"/>
            </w14:solidFill>
          </w14:textFill>
        </w:rPr>
        <w:t xml:space="preserve"> 宜采用中砂，含泥量不应大于1％，硫化物和硫酸盐含量不应大于1％；</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ascii="宋体" w:hAnsi="宋体" w:cstheme="minorEastAsia"/>
          <w:color w:val="000000" w:themeColor="text1"/>
          <w:kern w:val="0"/>
          <w:szCs w:val="21"/>
          <w14:textFill>
            <w14:solidFill>
              <w14:schemeClr w14:val="tx1"/>
            </w14:solidFill>
          </w14:textFill>
        </w:rPr>
        <w:t xml:space="preserve"> 拌制水泥砂浆用水，应符合现行国家标准《混凝土用水标准》JGJ 63的规定；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ascii="宋体" w:hAnsi="宋体" w:cstheme="minorEastAsia"/>
          <w:color w:val="000000" w:themeColor="text1"/>
          <w:kern w:val="0"/>
          <w:szCs w:val="21"/>
          <w14:textFill>
            <w14:solidFill>
              <w14:schemeClr w14:val="tx1"/>
            </w14:solidFill>
          </w14:textFill>
        </w:rPr>
        <w:t>聚合物乳液应为均匀液体，无杂质、无沉淀、不分层；质量应符合现行国家标准《建筑防水涂料用聚合物乳液》JC／T 1017的规定；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5</w:t>
      </w:r>
      <w:r>
        <w:rPr>
          <w:rFonts w:hint="eastAsia" w:ascii="宋体" w:hAnsi="宋体" w:cstheme="minorEastAsia"/>
          <w:color w:val="000000" w:themeColor="text1"/>
          <w:kern w:val="0"/>
          <w:szCs w:val="21"/>
          <w14:textFill>
            <w14:solidFill>
              <w14:schemeClr w14:val="tx1"/>
            </w14:solidFill>
          </w14:textFill>
        </w:rPr>
        <w:t xml:space="preserve"> 外加剂的技术性能应符合现行国家标准的规定。</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14.4.3 </w:t>
      </w:r>
      <w:r>
        <w:rPr>
          <w:rFonts w:hint="eastAsia" w:hAnsi="宋体"/>
          <w:color w:val="000000" w:themeColor="text1"/>
          <w:szCs w:val="21"/>
          <w14:textFill>
            <w14:solidFill>
              <w14:schemeClr w14:val="tx1"/>
            </w14:solidFill>
          </w14:textFill>
        </w:rPr>
        <w:t>基层表面应平整、坚实、清洁，并应充分湿润、无明水。基层混凝土或砌体砂浆不应低于设计强度的80％。</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14.4.4 </w:t>
      </w:r>
      <w:r>
        <w:rPr>
          <w:rFonts w:hint="eastAsia" w:hAnsi="宋体"/>
          <w:color w:val="000000" w:themeColor="text1"/>
          <w:szCs w:val="21"/>
          <w14:textFill>
            <w14:solidFill>
              <w14:schemeClr w14:val="tx1"/>
            </w14:solidFill>
          </w14:textFill>
        </w:rPr>
        <w:t>水泥砂浆防水层施工前，基层表面的孔洞、缝隙，应采用与防水层相同的防水砂浆堵塞并抹平；预埋件、穿墙管预留凹槽宜嵌填密封材料。</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14.4.5 </w:t>
      </w:r>
      <w:r>
        <w:rPr>
          <w:rFonts w:hint="eastAsia" w:hAnsi="宋体"/>
          <w:color w:val="000000" w:themeColor="text1"/>
          <w:szCs w:val="21"/>
          <w14:textFill>
            <w14:solidFill>
              <w14:schemeClr w14:val="tx1"/>
            </w14:solidFill>
          </w14:textFill>
        </w:rPr>
        <w:t>水泥砂浆防水层应分层铺抹或喷射，铺抹时应压实、抹平，最后一层表面应提浆压光。</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14.4.6 </w:t>
      </w:r>
      <w:r>
        <w:rPr>
          <w:rFonts w:hint="eastAsia" w:hAnsi="宋体"/>
          <w:color w:val="000000" w:themeColor="text1"/>
          <w:szCs w:val="21"/>
          <w14:textFill>
            <w14:solidFill>
              <w14:schemeClr w14:val="tx1"/>
            </w14:solidFill>
          </w14:textFill>
        </w:rPr>
        <w:t>聚合物水泥防水砂浆厚度单层施工宜为6mm～8mm，双层施工宜为10mm～12mm；掺外加剂或掺合料的水泥防水砂浆厚度宜为18mm～20mm。</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14.4.7 </w:t>
      </w:r>
      <w:r>
        <w:rPr>
          <w:rFonts w:hint="eastAsia" w:hAnsi="宋体"/>
          <w:color w:val="000000" w:themeColor="text1"/>
          <w:szCs w:val="21"/>
          <w14:textFill>
            <w14:solidFill>
              <w14:schemeClr w14:val="tx1"/>
            </w14:solidFill>
          </w14:textFill>
        </w:rPr>
        <w:t>聚合物水泥防水砂浆拌合后应在规定时间内用完，施工中不得任意加水。</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14.4.8 </w:t>
      </w:r>
      <w:r>
        <w:rPr>
          <w:rFonts w:hint="eastAsia" w:hAnsi="宋体"/>
          <w:color w:val="000000" w:themeColor="text1"/>
          <w:szCs w:val="21"/>
          <w14:textFill>
            <w14:solidFill>
              <w14:schemeClr w14:val="tx1"/>
            </w14:solidFill>
          </w14:textFill>
        </w:rPr>
        <w:t>防水层各层应紧密粘合，每层宜连续施工；必须留设施工缝时，应采用阶梯坡形槎，但离阴阳角处的距离不得小于200mm。</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14.4.9 </w:t>
      </w:r>
      <w:r>
        <w:rPr>
          <w:rFonts w:hint="eastAsia" w:hAnsi="宋体"/>
          <w:color w:val="000000" w:themeColor="text1"/>
          <w:szCs w:val="21"/>
          <w14:textFill>
            <w14:solidFill>
              <w14:schemeClr w14:val="tx1"/>
            </w14:solidFill>
          </w14:textFill>
        </w:rPr>
        <w:t>水泥砂浆防水层不得在雨天、五级及以上大风中施工。冬期施工时，气温不应低于5℃。夏季不宜在30℃以上或烈日照射下施工。</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14.4.10 </w:t>
      </w:r>
      <w:r>
        <w:rPr>
          <w:rFonts w:hint="eastAsia" w:hAnsi="宋体"/>
          <w:color w:val="000000" w:themeColor="text1"/>
          <w:szCs w:val="21"/>
          <w14:textFill>
            <w14:solidFill>
              <w14:schemeClr w14:val="tx1"/>
            </w14:solidFill>
          </w14:textFill>
        </w:rPr>
        <w:t>水泥砂浆防水层终凝后，应及时进行养护，养护温度不宜低于5℃，并应保持砂浆表面湿润，养护时间不得少于14d。</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14.4.11 </w:t>
      </w:r>
      <w:r>
        <w:rPr>
          <w:rFonts w:hint="eastAsia" w:hAnsi="宋体"/>
          <w:color w:val="000000" w:themeColor="text1"/>
          <w:szCs w:val="21"/>
          <w14:textFill>
            <w14:solidFill>
              <w14:schemeClr w14:val="tx1"/>
            </w14:solidFill>
          </w14:textFill>
        </w:rPr>
        <w:t>聚合物水泥防水砂浆未达到硬化状态时，不得浇水养护或直接受雨水冲刷，硬化后应采用干湿交替的养护方法。潮湿环境中，可在自然条件下养护。</w:t>
      </w:r>
    </w:p>
    <w:p>
      <w:pPr>
        <w:spacing w:line="70" w:lineRule="exact"/>
        <w:rPr>
          <w:color w:val="000000" w:themeColor="text1"/>
          <w:sz w:val="20"/>
          <w:szCs w:val="20"/>
          <w14:textFill>
            <w14:solidFill>
              <w14:schemeClr w14:val="tx1"/>
            </w14:solidFill>
          </w14:textFill>
        </w:rPr>
      </w:pP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415" w:name="_Toc29838"/>
      <w:bookmarkStart w:id="416" w:name="_Toc17468"/>
      <w:bookmarkStart w:id="417" w:name="_Toc1679"/>
      <w:bookmarkStart w:id="418" w:name="_Toc21906"/>
      <w:bookmarkStart w:id="419" w:name="_Toc28570"/>
      <w:bookmarkStart w:id="420" w:name="_Toc16682"/>
      <w:r>
        <w:rPr>
          <w:rFonts w:hint="eastAsia" w:hAnsi="宋体"/>
          <w:b/>
          <w:color w:val="000000" w:themeColor="text1"/>
          <w:sz w:val="24"/>
          <w14:textFill>
            <w14:solidFill>
              <w14:schemeClr w14:val="tx1"/>
            </w14:solidFill>
          </w14:textFill>
        </w:rPr>
        <w:t>14.5  涂膜防水层</w:t>
      </w:r>
      <w:bookmarkEnd w:id="415"/>
      <w:bookmarkEnd w:id="416"/>
      <w:bookmarkEnd w:id="417"/>
      <w:bookmarkEnd w:id="418"/>
      <w:bookmarkEnd w:id="419"/>
      <w:bookmarkEnd w:id="420"/>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14.5.1 </w:t>
      </w:r>
      <w:r>
        <w:rPr>
          <w:rFonts w:hint="eastAsia" w:hAnsi="宋体"/>
          <w:color w:val="000000" w:themeColor="text1"/>
          <w:szCs w:val="21"/>
          <w14:textFill>
            <w14:solidFill>
              <w14:schemeClr w14:val="tx1"/>
            </w14:solidFill>
          </w14:textFill>
        </w:rPr>
        <w:t>涂膜防水层所用材料及配合比应符合设计要求。涂膜防水层应采用耐水、耐裂和耐腐蚀、不易燃、无毒（或低毒）、刺激性小的合成高分子或高聚物改性沥青涂料。施工前应进行涂布试验，合格后方可正式施工。</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14.5.2 </w:t>
      </w:r>
      <w:r>
        <w:rPr>
          <w:rFonts w:hint="eastAsia" w:hAnsi="宋体"/>
          <w:color w:val="000000" w:themeColor="text1"/>
          <w:szCs w:val="21"/>
          <w14:textFill>
            <w14:solidFill>
              <w14:schemeClr w14:val="tx1"/>
            </w14:solidFill>
          </w14:textFill>
        </w:rPr>
        <w:t>涂膜防水层基层应坚实、平整、清洁，不得有渗水、结露、凸角、凹坑及起砂现象；基层阴阳角处应做成圆弧形；采用油溶性或非湿固性涂料时，基层应保持干燥。</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14.5.3 </w:t>
      </w:r>
      <w:r>
        <w:rPr>
          <w:rFonts w:hint="eastAsia" w:hAnsi="宋体"/>
          <w:color w:val="000000" w:themeColor="text1"/>
          <w:szCs w:val="21"/>
          <w14:textFill>
            <w14:solidFill>
              <w14:schemeClr w14:val="tx1"/>
            </w14:solidFill>
          </w14:textFill>
        </w:rPr>
        <w:t>涂膜防水层施工应符合下列规定：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涂料应按设计或产品技术规定配制，每次配料应在其规定的时间内用完；</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涂布前应先在基层面上涂一层与涂膜材料相溶的基层处理剂；</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theme="minorEastAsia"/>
          <w:color w:val="000000" w:themeColor="text1"/>
          <w:kern w:val="0"/>
          <w:szCs w:val="21"/>
          <w14:textFill>
            <w14:solidFill>
              <w14:schemeClr w14:val="tx1"/>
            </w14:solidFill>
          </w14:textFill>
        </w:rPr>
        <w:t>涂料应分层涂布，并在前层干燥后方可涂布后一层。其涂膜厚度应符合设计规定；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4</w:t>
      </w:r>
      <w:r>
        <w:rPr>
          <w:rFonts w:hint="eastAsia" w:ascii="宋体" w:hAnsi="宋体" w:cstheme="minorEastAsia"/>
          <w:color w:val="000000" w:themeColor="text1"/>
          <w:kern w:val="0"/>
          <w:szCs w:val="21"/>
          <w14:textFill>
            <w14:solidFill>
              <w14:schemeClr w14:val="tx1"/>
            </w14:solidFill>
          </w14:textFill>
        </w:rPr>
        <w:t xml:space="preserve"> 每层涂料应顺向均匀涂布，且前、后层方向应垂直；</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5 </w:t>
      </w:r>
      <w:r>
        <w:rPr>
          <w:rFonts w:hint="eastAsia" w:ascii="宋体" w:hAnsi="宋体" w:cstheme="minorEastAsia"/>
          <w:color w:val="000000" w:themeColor="text1"/>
          <w:kern w:val="0"/>
          <w:szCs w:val="21"/>
          <w14:textFill>
            <w14:solidFill>
              <w14:schemeClr w14:val="tx1"/>
            </w14:solidFill>
          </w14:textFill>
        </w:rPr>
        <w:t>分片涂布的片与片之间搭接应不小于100mm；</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6 </w:t>
      </w:r>
      <w:r>
        <w:rPr>
          <w:rFonts w:hint="eastAsia" w:ascii="宋体" w:hAnsi="宋体" w:cstheme="minorEastAsia"/>
          <w:color w:val="000000" w:themeColor="text1"/>
          <w:kern w:val="0"/>
          <w:szCs w:val="21"/>
          <w14:textFill>
            <w14:solidFill>
              <w14:schemeClr w14:val="tx1"/>
            </w14:solidFill>
          </w14:textFill>
        </w:rPr>
        <w:t>边墙应由上向下顺序涂布，并采取防流淌措施。</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14.5.4 </w:t>
      </w:r>
      <w:r>
        <w:rPr>
          <w:rFonts w:hint="eastAsia" w:hAnsi="宋体"/>
          <w:color w:val="000000" w:themeColor="text1"/>
          <w:szCs w:val="21"/>
          <w14:textFill>
            <w14:solidFill>
              <w14:schemeClr w14:val="tx1"/>
            </w14:solidFill>
          </w14:textFill>
        </w:rPr>
        <w:t>涂膜防水层采用夹铺胎体增强材料时，其胎体搭接宽度，长边应为50mm，短边应为70mm。</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14.5.5 </w:t>
      </w:r>
      <w:r>
        <w:rPr>
          <w:rFonts w:hint="eastAsia" w:hAnsi="宋体"/>
          <w:color w:val="000000" w:themeColor="text1"/>
          <w:szCs w:val="21"/>
          <w14:textFill>
            <w14:solidFill>
              <w14:schemeClr w14:val="tx1"/>
            </w14:solidFill>
          </w14:textFill>
        </w:rPr>
        <w:t>涂膜防水层应与基层粘结牢固，表面平整、涂刷均匀，不得有流淌、皱折、鼓泡、露胎体和翘边等缺陷。</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14.5.6 </w:t>
      </w:r>
      <w:r>
        <w:rPr>
          <w:rFonts w:hint="eastAsia" w:hAnsi="宋体"/>
          <w:color w:val="000000" w:themeColor="text1"/>
          <w:szCs w:val="21"/>
          <w14:textFill>
            <w14:solidFill>
              <w14:schemeClr w14:val="tx1"/>
            </w14:solidFill>
          </w14:textFill>
        </w:rPr>
        <w:t>涂膜防水层的平均厚度应符合设计要求，最小厚度不应小于设计厚度的95%。</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14.5.7 </w:t>
      </w:r>
      <w:r>
        <w:rPr>
          <w:rFonts w:hint="eastAsia" w:hAnsi="宋体"/>
          <w:color w:val="000000" w:themeColor="text1"/>
          <w:szCs w:val="21"/>
          <w14:textFill>
            <w14:solidFill>
              <w14:schemeClr w14:val="tx1"/>
            </w14:solidFill>
          </w14:textFill>
        </w:rPr>
        <w:t>涂膜防水层及其转角处、变形缝、穿墙管道等细部做法应符合设计要求。</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421" w:name="_Toc1628"/>
      <w:bookmarkStart w:id="422" w:name="_Toc21895"/>
      <w:bookmarkStart w:id="423" w:name="_Toc1172"/>
      <w:bookmarkStart w:id="424" w:name="_Toc8772"/>
      <w:bookmarkStart w:id="425" w:name="_Toc31882"/>
      <w:bookmarkStart w:id="426" w:name="_Toc30499"/>
      <w:r>
        <w:rPr>
          <w:rFonts w:hint="eastAsia" w:hAnsi="宋体"/>
          <w:b/>
          <w:color w:val="000000" w:themeColor="text1"/>
          <w:sz w:val="24"/>
          <w14:textFill>
            <w14:solidFill>
              <w14:schemeClr w14:val="tx1"/>
            </w14:solidFill>
          </w14:textFill>
        </w:rPr>
        <w:t>14.6  细部构造防水</w:t>
      </w:r>
      <w:bookmarkEnd w:id="421"/>
      <w:bookmarkEnd w:id="422"/>
      <w:bookmarkEnd w:id="423"/>
      <w:bookmarkEnd w:id="424"/>
      <w:bookmarkEnd w:id="425"/>
      <w:bookmarkEnd w:id="426"/>
    </w:p>
    <w:p>
      <w:pPr>
        <w:pStyle w:val="22"/>
        <w:tabs>
          <w:tab w:val="left" w:pos="851"/>
        </w:tabs>
        <w:snapToGrid w:val="0"/>
        <w:spacing w:line="360" w:lineRule="auto"/>
        <w:ind w:firstLine="0" w:firstLineChars="0"/>
        <w:jc w:val="left"/>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14.6.1</w:t>
      </w:r>
      <w:r>
        <w:rPr>
          <w:rFonts w:hint="eastAsia" w:ascii="宋体" w:hAnsi="宋体" w:cstheme="minorEastAsia"/>
          <w:color w:val="000000" w:themeColor="text1"/>
          <w:kern w:val="0"/>
          <w:szCs w:val="21"/>
          <w14:textFill>
            <w14:solidFill>
              <w14:schemeClr w14:val="tx1"/>
            </w14:solidFill>
          </w14:textFill>
        </w:rPr>
        <w:t>中埋式止水带施工应符合下列规定：</w:t>
      </w:r>
    </w:p>
    <w:p>
      <w:pPr>
        <w:tabs>
          <w:tab w:val="left" w:pos="709"/>
        </w:tabs>
        <w:autoSpaceDE w:val="0"/>
        <w:autoSpaceDN w:val="0"/>
        <w:spacing w:line="360" w:lineRule="auto"/>
        <w:ind w:firstLine="422" w:firstLineChars="200"/>
        <w:rPr>
          <w:rFonts w:ascii="宋体" w:hAnsi="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ascii="宋体" w:hAnsi="宋体"/>
          <w:color w:val="000000" w:themeColor="text1"/>
          <w14:textFill>
            <w14:solidFill>
              <w14:schemeClr w14:val="tx1"/>
            </w14:solidFill>
          </w14:textFill>
        </w:rPr>
        <w:t>止水带埋设位置应准确，其中间空心圆环应与变形缝的中心线重合；</w:t>
      </w:r>
    </w:p>
    <w:p>
      <w:pPr>
        <w:tabs>
          <w:tab w:val="left" w:pos="709"/>
        </w:tabs>
        <w:autoSpaceDE w:val="0"/>
        <w:autoSpaceDN w:val="0"/>
        <w:spacing w:line="360" w:lineRule="auto"/>
        <w:ind w:firstLine="422" w:firstLineChars="200"/>
        <w:rPr>
          <w:rFonts w:ascii="宋体" w:hAnsi="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olor w:val="000000" w:themeColor="text1"/>
          <w14:textFill>
            <w14:solidFill>
              <w14:schemeClr w14:val="tx1"/>
            </w14:solidFill>
          </w14:textFill>
        </w:rPr>
        <w:t>止</w:t>
      </w:r>
      <w:r>
        <w:rPr>
          <w:rFonts w:ascii="宋体" w:hAnsi="宋体"/>
          <w:color w:val="000000" w:themeColor="text1"/>
          <w14:textFill>
            <w14:solidFill>
              <w14:schemeClr w14:val="tx1"/>
            </w14:solidFill>
          </w14:textFill>
        </w:rPr>
        <w:t>水带应固定，顶、底板内止水带应成盆状安设；</w:t>
      </w:r>
    </w:p>
    <w:p>
      <w:pPr>
        <w:tabs>
          <w:tab w:val="left" w:pos="709"/>
        </w:tabs>
        <w:autoSpaceDE w:val="0"/>
        <w:autoSpaceDN w:val="0"/>
        <w:spacing w:line="360" w:lineRule="auto"/>
        <w:ind w:firstLine="422" w:firstLineChars="200"/>
        <w:rPr>
          <w:rFonts w:ascii="宋体" w:hAnsi="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ascii="宋体" w:hAnsi="宋体"/>
          <w:color w:val="000000" w:themeColor="text1"/>
          <w14:textFill>
            <w14:solidFill>
              <w14:schemeClr w14:val="tx1"/>
            </w14:solidFill>
          </w14:textFill>
        </w:rPr>
        <w:t>中埋式止水带先施工一侧混凝土时，其端模应支撑牢固，并应严防漏浆；</w:t>
      </w:r>
    </w:p>
    <w:p>
      <w:pPr>
        <w:tabs>
          <w:tab w:val="left" w:pos="709"/>
        </w:tabs>
        <w:autoSpaceDE w:val="0"/>
        <w:autoSpaceDN w:val="0"/>
        <w:spacing w:line="360" w:lineRule="auto"/>
        <w:ind w:firstLine="422" w:firstLineChars="200"/>
        <w:rPr>
          <w:rFonts w:ascii="宋体" w:hAnsi="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ascii="宋体" w:hAnsi="宋体"/>
          <w:color w:val="000000" w:themeColor="text1"/>
          <w14:textFill>
            <w14:solidFill>
              <w14:schemeClr w14:val="tx1"/>
            </w14:solidFill>
          </w14:textFill>
        </w:rPr>
        <w:t>止水带接头</w:t>
      </w:r>
      <w:r>
        <w:rPr>
          <w:rFonts w:hint="eastAsia" w:ascii="宋体" w:hAnsi="宋体"/>
          <w:color w:val="000000" w:themeColor="text1"/>
          <w14:textFill>
            <w14:solidFill>
              <w14:schemeClr w14:val="tx1"/>
            </w14:solidFill>
          </w14:textFill>
        </w:rPr>
        <w:t>应</w:t>
      </w:r>
      <w:r>
        <w:rPr>
          <w:rFonts w:ascii="宋体" w:hAnsi="宋体"/>
          <w:color w:val="000000" w:themeColor="text1"/>
          <w14:textFill>
            <w14:solidFill>
              <w14:schemeClr w14:val="tx1"/>
            </w14:solidFill>
          </w14:textFill>
        </w:rPr>
        <w:t>采用热压焊接</w:t>
      </w:r>
      <w:r>
        <w:rPr>
          <w:rFonts w:hint="eastAsia" w:ascii="宋体" w:hAnsi="宋体"/>
          <w:color w:val="000000" w:themeColor="text1"/>
          <w14:textFill>
            <w14:solidFill>
              <w14:schemeClr w14:val="tx1"/>
            </w14:solidFill>
          </w14:textFill>
        </w:rPr>
        <w:t>，</w:t>
      </w:r>
      <w:r>
        <w:rPr>
          <w:rFonts w:ascii="宋体" w:hAnsi="宋体"/>
          <w:color w:val="000000" w:themeColor="text1"/>
          <w14:textFill>
            <w14:solidFill>
              <w14:schemeClr w14:val="tx1"/>
            </w14:solidFill>
          </w14:textFill>
        </w:rPr>
        <w:t>接</w:t>
      </w:r>
      <w:r>
        <w:rPr>
          <w:rFonts w:hint="eastAsia" w:ascii="宋体" w:hAnsi="宋体"/>
          <w:color w:val="000000" w:themeColor="text1"/>
          <w14:textFill>
            <w14:solidFill>
              <w14:schemeClr w14:val="tx1"/>
            </w14:solidFill>
          </w14:textFill>
        </w:rPr>
        <w:t>头不应超过1</w:t>
      </w:r>
      <w:r>
        <w:rPr>
          <w:rFonts w:ascii="宋体" w:hAnsi="宋体"/>
          <w:color w:val="000000" w:themeColor="text1"/>
          <w14:textFill>
            <w14:solidFill>
              <w14:schemeClr w14:val="tx1"/>
            </w14:solidFill>
          </w14:textFill>
        </w:rPr>
        <w:t>处，</w:t>
      </w:r>
      <w:r>
        <w:rPr>
          <w:rFonts w:hint="eastAsia" w:ascii="宋体" w:hAnsi="宋体"/>
          <w:color w:val="000000" w:themeColor="text1"/>
          <w14:textFill>
            <w14:solidFill>
              <w14:schemeClr w14:val="tx1"/>
            </w14:solidFill>
          </w14:textFill>
        </w:rPr>
        <w:t>且</w:t>
      </w:r>
      <w:r>
        <w:rPr>
          <w:rFonts w:ascii="宋体" w:hAnsi="宋体"/>
          <w:color w:val="000000" w:themeColor="text1"/>
          <w14:textFill>
            <w14:solidFill>
              <w14:schemeClr w14:val="tx1"/>
            </w14:solidFill>
          </w14:textFill>
        </w:rPr>
        <w:t>应设在边墙较高位置，不</w:t>
      </w:r>
      <w:r>
        <w:rPr>
          <w:rFonts w:hint="eastAsia" w:ascii="宋体" w:hAnsi="宋体"/>
          <w:color w:val="000000" w:themeColor="text1"/>
          <w14:textFill>
            <w14:solidFill>
              <w14:schemeClr w14:val="tx1"/>
            </w14:solidFill>
          </w14:textFill>
        </w:rPr>
        <w:t>应</w:t>
      </w:r>
      <w:r>
        <w:rPr>
          <w:rFonts w:ascii="宋体" w:hAnsi="宋体"/>
          <w:color w:val="000000" w:themeColor="text1"/>
          <w14:textFill>
            <w14:solidFill>
              <w14:schemeClr w14:val="tx1"/>
            </w14:solidFill>
          </w14:textFill>
        </w:rPr>
        <w:t>设在结构转角处；</w:t>
      </w:r>
    </w:p>
    <w:p>
      <w:pPr>
        <w:tabs>
          <w:tab w:val="left" w:pos="709"/>
        </w:tabs>
        <w:autoSpaceDE w:val="0"/>
        <w:autoSpaceDN w:val="0"/>
        <w:spacing w:line="360" w:lineRule="auto"/>
        <w:ind w:firstLine="422" w:firstLineChars="200"/>
        <w:rPr>
          <w:rFonts w:ascii="宋体" w:hAnsi="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5 </w:t>
      </w:r>
      <w:r>
        <w:rPr>
          <w:rFonts w:ascii="宋体" w:hAnsi="宋体"/>
          <w:color w:val="000000" w:themeColor="text1"/>
          <w14:textFill>
            <w14:solidFill>
              <w14:schemeClr w14:val="tx1"/>
            </w14:solidFill>
          </w14:textFill>
        </w:rPr>
        <w:t>中埋式止水带在转弯处应做成圆弧形，止水带的转角半径不应小于200mm，转角半径应随止水带的宽度增大而相应加大。 </w:t>
      </w:r>
    </w:p>
    <w:p>
      <w:pPr>
        <w:spacing w:line="360" w:lineRule="auto"/>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14.6.2</w:t>
      </w:r>
      <w:r>
        <w:rPr>
          <w:rFonts w:hint="eastAsia" w:ascii="宋体" w:hAnsi="宋体" w:cstheme="minorEastAsia"/>
          <w:color w:val="000000" w:themeColor="text1"/>
          <w:kern w:val="0"/>
          <w:szCs w:val="21"/>
          <w14:textFill>
            <w14:solidFill>
              <w14:schemeClr w14:val="tx1"/>
            </w14:solidFill>
          </w14:textFill>
        </w:rPr>
        <w:t xml:space="preserve"> 变形缝处结构内侧的可卸式止水带，在</w:t>
      </w:r>
      <w:r>
        <w:rPr>
          <w:rFonts w:ascii="宋体" w:hAnsi="宋体"/>
          <w:color w:val="000000" w:themeColor="text1"/>
          <w14:textFill>
            <w14:solidFill>
              <w14:schemeClr w14:val="tx1"/>
            </w14:solidFill>
          </w14:textFill>
        </w:rPr>
        <w:t>转角处应做成45°折角</w:t>
      </w:r>
      <w:r>
        <w:rPr>
          <w:rFonts w:hint="eastAsia" w:ascii="宋体" w:hAnsi="宋体"/>
          <w:color w:val="000000" w:themeColor="text1"/>
          <w14:textFill>
            <w14:solidFill>
              <w14:schemeClr w14:val="tx1"/>
            </w14:solidFill>
          </w14:textFill>
        </w:rPr>
        <w:t>，</w:t>
      </w:r>
      <w:r>
        <w:rPr>
          <w:rFonts w:ascii="宋体" w:hAnsi="宋体"/>
          <w:color w:val="000000" w:themeColor="text1"/>
          <w14:textFill>
            <w14:solidFill>
              <w14:schemeClr w14:val="tx1"/>
            </w14:solidFill>
          </w14:textFill>
        </w:rPr>
        <w:t>配件应</w:t>
      </w:r>
      <w:r>
        <w:rPr>
          <w:rFonts w:hint="eastAsia" w:ascii="宋体" w:hAnsi="宋体"/>
          <w:color w:val="000000" w:themeColor="text1"/>
          <w14:textFill>
            <w14:solidFill>
              <w14:schemeClr w14:val="tx1"/>
            </w14:solidFill>
          </w14:textFill>
        </w:rPr>
        <w:t>齐全，</w:t>
      </w:r>
      <w:r>
        <w:rPr>
          <w:rFonts w:hint="eastAsia" w:ascii="宋体" w:hAnsi="宋体" w:cstheme="minorEastAsia"/>
          <w:color w:val="000000" w:themeColor="text1"/>
          <w:kern w:val="0"/>
          <w:szCs w:val="21"/>
          <w14:textFill>
            <w14:solidFill>
              <w14:schemeClr w14:val="tx1"/>
            </w14:solidFill>
          </w14:textFill>
        </w:rPr>
        <w:t>安装牢固。</w:t>
      </w:r>
    </w:p>
    <w:p>
      <w:pPr>
        <w:spacing w:line="360" w:lineRule="auto"/>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14.6.3</w:t>
      </w:r>
      <w:r>
        <w:rPr>
          <w:rFonts w:hint="eastAsia" w:ascii="宋体" w:hAnsi="宋体" w:cstheme="minorEastAsia"/>
          <w:color w:val="000000" w:themeColor="text1"/>
          <w:kern w:val="0"/>
          <w:szCs w:val="21"/>
          <w14:textFill>
            <w14:solidFill>
              <w14:schemeClr w14:val="tx1"/>
            </w14:solidFill>
          </w14:textFill>
        </w:rPr>
        <w:t xml:space="preserve"> 变形缝与施工缝均用外贴式止水带(中埋式)时，其相交部位宜采用十字配件；变形缝用外贴式止水带的转角部位宜采用直角配件。</w:t>
      </w:r>
    </w:p>
    <w:p>
      <w:pPr>
        <w:spacing w:line="360" w:lineRule="auto"/>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14.6.4</w:t>
      </w:r>
      <w:r>
        <w:rPr>
          <w:rFonts w:hint="eastAsia" w:ascii="宋体" w:hAnsi="宋体" w:cstheme="minorEastAsia"/>
          <w:color w:val="000000" w:themeColor="text1"/>
          <w:kern w:val="0"/>
          <w:szCs w:val="21"/>
          <w14:textFill>
            <w14:solidFill>
              <w14:schemeClr w14:val="tx1"/>
            </w14:solidFill>
          </w14:textFill>
        </w:rPr>
        <w:t xml:space="preserve"> 变形缝应用密封材料嵌填，施工应符合下列规定：</w:t>
      </w:r>
    </w:p>
    <w:p>
      <w:pPr>
        <w:tabs>
          <w:tab w:val="left" w:pos="709"/>
        </w:tabs>
        <w:autoSpaceDE w:val="0"/>
        <w:autoSpaceDN w:val="0"/>
        <w:spacing w:line="360" w:lineRule="auto"/>
        <w:ind w:left="420" w:leftChars="200"/>
        <w:rPr>
          <w:rFonts w:ascii="宋体" w:hAnsi="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olor w:val="000000" w:themeColor="text1"/>
          <w14:textFill>
            <w14:solidFill>
              <w14:schemeClr w14:val="tx1"/>
            </w14:solidFill>
          </w14:textFill>
        </w:rPr>
        <w:t>填缝前，</w:t>
      </w:r>
      <w:r>
        <w:rPr>
          <w:rFonts w:ascii="宋体" w:hAnsi="宋体"/>
          <w:color w:val="000000" w:themeColor="text1"/>
          <w14:textFill>
            <w14:solidFill>
              <w14:schemeClr w14:val="tx1"/>
            </w14:solidFill>
          </w14:textFill>
        </w:rPr>
        <w:t>缝内两侧基面应平整</w:t>
      </w:r>
      <w:r>
        <w:rPr>
          <w:rFonts w:hint="eastAsia" w:ascii="宋体" w:hAnsi="宋体"/>
          <w:color w:val="000000" w:themeColor="text1"/>
          <w14:textFill>
            <w14:solidFill>
              <w14:schemeClr w14:val="tx1"/>
            </w14:solidFill>
          </w14:textFill>
        </w:rPr>
        <w:t>，</w:t>
      </w:r>
      <w:r>
        <w:rPr>
          <w:rFonts w:ascii="宋体" w:hAnsi="宋体"/>
          <w:color w:val="000000" w:themeColor="text1"/>
          <w14:textFill>
            <w14:solidFill>
              <w14:schemeClr w14:val="tx1"/>
            </w14:solidFill>
          </w14:textFill>
        </w:rPr>
        <w:t>并应</w:t>
      </w:r>
      <w:r>
        <w:rPr>
          <w:rFonts w:hint="eastAsia" w:ascii="宋体" w:hAnsi="宋体"/>
          <w:color w:val="000000" w:themeColor="text1"/>
          <w14:textFill>
            <w14:solidFill>
              <w14:schemeClr w14:val="tx1"/>
            </w14:solidFill>
          </w14:textFill>
        </w:rPr>
        <w:t>清理</w:t>
      </w:r>
      <w:r>
        <w:rPr>
          <w:rFonts w:ascii="宋体" w:hAnsi="宋体"/>
          <w:color w:val="000000" w:themeColor="text1"/>
          <w14:textFill>
            <w14:solidFill>
              <w14:schemeClr w14:val="tx1"/>
            </w14:solidFill>
          </w14:textFill>
        </w:rPr>
        <w:t>干净、干燥，刷涂与密封材料相容的基层处理剂；</w:t>
      </w:r>
    </w:p>
    <w:p>
      <w:pPr>
        <w:tabs>
          <w:tab w:val="left" w:pos="709"/>
        </w:tabs>
        <w:autoSpaceDE w:val="0"/>
        <w:autoSpaceDN w:val="0"/>
        <w:spacing w:line="360" w:lineRule="auto"/>
        <w:ind w:left="420" w:leftChars="200"/>
        <w:rPr>
          <w:rFonts w:ascii="宋体" w:hAnsi="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ascii="宋体" w:hAnsi="宋体"/>
          <w:color w:val="000000" w:themeColor="text1"/>
          <w14:textFill>
            <w14:solidFill>
              <w14:schemeClr w14:val="tx1"/>
            </w14:solidFill>
          </w14:textFill>
        </w:rPr>
        <w:t>嵌缝底部应</w:t>
      </w:r>
      <w:r>
        <w:rPr>
          <w:rFonts w:hint="eastAsia" w:ascii="宋体" w:hAnsi="宋体"/>
          <w:color w:val="000000" w:themeColor="text1"/>
          <w14:textFill>
            <w14:solidFill>
              <w14:schemeClr w14:val="tx1"/>
            </w14:solidFill>
          </w14:textFill>
        </w:rPr>
        <w:t>事先</w:t>
      </w:r>
      <w:r>
        <w:rPr>
          <w:rFonts w:ascii="宋体" w:hAnsi="宋体"/>
          <w:color w:val="000000" w:themeColor="text1"/>
          <w14:textFill>
            <w14:solidFill>
              <w14:schemeClr w14:val="tx1"/>
            </w14:solidFill>
          </w14:textFill>
        </w:rPr>
        <w:t>设置背衬材料； </w:t>
      </w:r>
    </w:p>
    <w:p>
      <w:pPr>
        <w:tabs>
          <w:tab w:val="left" w:pos="709"/>
        </w:tabs>
        <w:autoSpaceDE w:val="0"/>
        <w:autoSpaceDN w:val="0"/>
        <w:spacing w:line="360" w:lineRule="auto"/>
        <w:ind w:left="420" w:leftChars="200"/>
        <w:rPr>
          <w:rFonts w:ascii="宋体" w:hAnsi="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ascii="宋体" w:hAnsi="宋体"/>
          <w:color w:val="000000" w:themeColor="text1"/>
          <w14:textFill>
            <w14:solidFill>
              <w14:schemeClr w14:val="tx1"/>
            </w14:solidFill>
          </w14:textFill>
        </w:rPr>
        <w:t>嵌填应密实连续、饱满，并应粘结牢固</w:t>
      </w:r>
      <w:r>
        <w:rPr>
          <w:rFonts w:hint="eastAsia" w:ascii="宋体" w:hAnsi="宋体"/>
          <w:color w:val="000000" w:themeColor="text1"/>
          <w14:textFill>
            <w14:solidFill>
              <w14:schemeClr w14:val="tx1"/>
            </w14:solidFill>
          </w14:textFill>
        </w:rPr>
        <w:t>；</w:t>
      </w:r>
    </w:p>
    <w:p>
      <w:pPr>
        <w:spacing w:line="360" w:lineRule="auto"/>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14.6.5 </w:t>
      </w:r>
      <w:r>
        <w:rPr>
          <w:rFonts w:hint="eastAsia" w:ascii="宋体" w:hAnsi="宋体" w:cstheme="minorEastAsia"/>
          <w:color w:val="000000" w:themeColor="text1"/>
          <w:kern w:val="0"/>
          <w:szCs w:val="21"/>
          <w14:textFill>
            <w14:solidFill>
              <w14:schemeClr w14:val="tx1"/>
            </w14:solidFill>
          </w14:textFill>
        </w:rPr>
        <w:t>在变形缝表面粘贴卷材或涂刷涂料前，应在缝上设置隔离层。</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14.6.6 </w:t>
      </w:r>
      <w:r>
        <w:rPr>
          <w:rFonts w:hint="eastAsia" w:hAnsi="宋体"/>
          <w:color w:val="000000" w:themeColor="text1"/>
          <w:szCs w:val="21"/>
          <w14:textFill>
            <w14:solidFill>
              <w14:schemeClr w14:val="tx1"/>
            </w14:solidFill>
          </w14:textFill>
        </w:rPr>
        <w:t>施工缝防水施工应符合下列规定：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水平施工缝浇筑混凝土前，应将其表面浮浆和杂物清除，铺水泥砂浆或涂刷混凝土界面处理剂并及时浇筑混凝土；</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垂直施工缝浇筑混凝土前，其表面应清理干净，并宜涂刷混凝土界面处理剂；</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ascii="宋体" w:hAnsi="宋体" w:cstheme="minorEastAsia"/>
          <w:color w:val="000000" w:themeColor="text1"/>
          <w:kern w:val="0"/>
          <w:szCs w:val="21"/>
          <w14:textFill>
            <w14:solidFill>
              <w14:schemeClr w14:val="tx1"/>
            </w14:solidFill>
          </w14:textFill>
        </w:rPr>
        <w:t xml:space="preserve"> 施工缝采用遇水膨胀橡胶腻子止水条时，应将止水条牢固地安装在缝表面预留槽内；</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ascii="宋体" w:hAnsi="宋体" w:cstheme="minorEastAsia"/>
          <w:color w:val="000000" w:themeColor="text1"/>
          <w:kern w:val="0"/>
          <w:szCs w:val="21"/>
          <w14:textFill>
            <w14:solidFill>
              <w14:schemeClr w14:val="tx1"/>
            </w14:solidFill>
          </w14:textFill>
        </w:rPr>
        <w:t>施工缝宜安装中埋式止水带、背(外)贴式止水带，止水带应位置准确，固定牢靠。</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14.6.7 </w:t>
      </w:r>
      <w:r>
        <w:rPr>
          <w:rFonts w:hint="eastAsia" w:hAnsi="宋体"/>
          <w:color w:val="000000" w:themeColor="text1"/>
          <w:szCs w:val="21"/>
          <w14:textFill>
            <w14:solidFill>
              <w14:schemeClr w14:val="tx1"/>
            </w14:solidFill>
          </w14:textFill>
        </w:rPr>
        <w:t>后浇带防水施工应符合下列规定：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后浇带应在其两侧混凝土龄期不低于42d方可浇筑；</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ascii="宋体" w:hAnsi="宋体" w:cstheme="minorEastAsia"/>
          <w:color w:val="000000" w:themeColor="text1"/>
          <w:kern w:val="0"/>
          <w:szCs w:val="21"/>
          <w14:textFill>
            <w14:solidFill>
              <w14:schemeClr w14:val="tx1"/>
            </w14:solidFill>
          </w14:textFill>
        </w:rPr>
        <w:t xml:space="preserve"> 应采取措施，防止杂物落入后浇带或损伤外贴止水带；</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ascii="宋体" w:hAnsi="宋体" w:cstheme="minorEastAsia"/>
          <w:color w:val="000000" w:themeColor="text1"/>
          <w:kern w:val="0"/>
          <w:szCs w:val="21"/>
          <w14:textFill>
            <w14:solidFill>
              <w14:schemeClr w14:val="tx1"/>
            </w14:solidFill>
          </w14:textFill>
        </w:rPr>
        <w:t xml:space="preserve"> 后浇带应采用补偿收缩混凝土，其抗渗和抗压强度等级不应低于两侧混凝土；</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ascii="宋体" w:hAnsi="宋体" w:cstheme="minorEastAsia"/>
          <w:color w:val="000000" w:themeColor="text1"/>
          <w:kern w:val="0"/>
          <w:szCs w:val="21"/>
          <w14:textFill>
            <w14:solidFill>
              <w14:schemeClr w14:val="tx1"/>
            </w14:solidFill>
          </w14:textFill>
        </w:rPr>
        <w:t>后浇带混凝土应一次浇筑；混凝土浇筑后应及时养护，养护时间不得少于28d； </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5 </w:t>
      </w:r>
      <w:r>
        <w:rPr>
          <w:rFonts w:hint="eastAsia" w:ascii="宋体" w:hAnsi="宋体" w:cstheme="minorEastAsia"/>
          <w:color w:val="000000" w:themeColor="text1"/>
          <w:kern w:val="0"/>
          <w:szCs w:val="21"/>
          <w14:textFill>
            <w14:solidFill>
              <w14:schemeClr w14:val="tx1"/>
            </w14:solidFill>
          </w14:textFill>
        </w:rPr>
        <w:t>后浇带部位的混凝土宜局部加厚，并应增设外贴式或中埋式止水带。</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14.6.8 </w:t>
      </w:r>
      <w:r>
        <w:rPr>
          <w:rFonts w:hint="eastAsia" w:hAnsi="宋体"/>
          <w:color w:val="000000" w:themeColor="text1"/>
          <w:szCs w:val="21"/>
          <w14:textFill>
            <w14:solidFill>
              <w14:schemeClr w14:val="tx1"/>
            </w14:solidFill>
          </w14:textFill>
        </w:rPr>
        <w:t>穿墙管（盒）防水施工应符合下列规定：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应在浇筑混凝土前预埋；</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穿墙管与内墙角、凹凸部位的距离应大于250mm；</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ascii="宋体" w:hAnsi="宋体" w:cstheme="minorEastAsia"/>
          <w:color w:val="000000" w:themeColor="text1"/>
          <w:kern w:val="0"/>
          <w:szCs w:val="21"/>
          <w14:textFill>
            <w14:solidFill>
              <w14:schemeClr w14:val="tx1"/>
            </w14:solidFill>
          </w14:textFill>
        </w:rPr>
        <w:t xml:space="preserve"> 相邻穿墙管间的间距应大于300mm；</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4</w:t>
      </w:r>
      <w:r>
        <w:rPr>
          <w:rFonts w:hint="eastAsia" w:ascii="宋体" w:hAnsi="宋体" w:cstheme="minorEastAsia"/>
          <w:color w:val="000000" w:themeColor="text1"/>
          <w:kern w:val="0"/>
          <w:szCs w:val="21"/>
          <w14:textFill>
            <w14:solidFill>
              <w14:schemeClr w14:val="tx1"/>
            </w14:solidFill>
          </w14:textFill>
        </w:rPr>
        <w:t xml:space="preserve"> 金属止水环应与主管满焊；</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5 </w:t>
      </w:r>
      <w:r>
        <w:rPr>
          <w:rFonts w:hint="eastAsia" w:ascii="宋体" w:hAnsi="宋体" w:cstheme="minorEastAsia"/>
          <w:color w:val="000000" w:themeColor="text1"/>
          <w:kern w:val="0"/>
          <w:szCs w:val="21"/>
          <w14:textFill>
            <w14:solidFill>
              <w14:schemeClr w14:val="tx1"/>
            </w14:solidFill>
          </w14:textFill>
        </w:rPr>
        <w:t>采用套管式穿墙时，翼环与套管应满焊密实，并应在施工前将套管内表面清理干净；穿管后应采用防水豆石混凝土或密封材料将套管间隙填塞密实，端口周边应用遇水膨胀止水条或遇水膨胀止水胶；</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6 </w:t>
      </w:r>
      <w:r>
        <w:rPr>
          <w:rFonts w:hint="eastAsia" w:ascii="宋体" w:hAnsi="宋体" w:cstheme="minorEastAsia"/>
          <w:color w:val="000000" w:themeColor="text1"/>
          <w:kern w:val="0"/>
          <w:szCs w:val="21"/>
          <w14:textFill>
            <w14:solidFill>
              <w14:schemeClr w14:val="tx1"/>
            </w14:solidFill>
          </w14:textFill>
        </w:rPr>
        <w:t>防水层在穿墙管部位应进行密封收头处理。</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14.6.9 </w:t>
      </w:r>
      <w:r>
        <w:rPr>
          <w:rFonts w:hint="eastAsia" w:hAnsi="宋体"/>
          <w:color w:val="000000" w:themeColor="text1"/>
          <w:szCs w:val="21"/>
          <w14:textFill>
            <w14:solidFill>
              <w14:schemeClr w14:val="tx1"/>
            </w14:solidFill>
          </w14:textFill>
        </w:rPr>
        <w:t>埋设件防水施工应符合下列规定：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hAnsi="宋体"/>
          <w:color w:val="000000" w:themeColor="text1"/>
          <w:szCs w:val="21"/>
          <w14:textFill>
            <w14:solidFill>
              <w14:schemeClr w14:val="tx1"/>
            </w14:solidFill>
          </w14:textFill>
        </w:rPr>
        <w:t>结</w:t>
      </w:r>
      <w:r>
        <w:rPr>
          <w:rFonts w:hint="eastAsia" w:ascii="宋体" w:hAnsi="宋体" w:cstheme="minorEastAsia"/>
          <w:color w:val="000000" w:themeColor="text1"/>
          <w:kern w:val="0"/>
          <w:szCs w:val="21"/>
          <w14:textFill>
            <w14:solidFill>
              <w14:schemeClr w14:val="tx1"/>
            </w14:solidFill>
          </w14:textFill>
        </w:rPr>
        <w:t>构上的埋设件应采用预埋或预留孔(槽)等。预留地坑、孔洞、沟槽内的防水层，应与孔（槽）外的结构防水层保持连续；</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埋设件端部或预留孔(槽)底部的混凝土厚度不应小于250mm，当厚度小于250mm时，应采取局部加厚或其他防水措施；</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theme="minorEastAsia"/>
          <w:color w:val="000000" w:themeColor="text1"/>
          <w:kern w:val="0"/>
          <w:szCs w:val="21"/>
          <w14:textFill>
            <w14:solidFill>
              <w14:schemeClr w14:val="tx1"/>
            </w14:solidFill>
          </w14:textFill>
        </w:rPr>
        <w:t>预留孔(槽)内的防水层，宜与孔(槽)外的结构防水层保持连续。</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14.6.10 </w:t>
      </w:r>
      <w:r>
        <w:rPr>
          <w:rFonts w:hint="eastAsia" w:hAnsi="宋体"/>
          <w:color w:val="000000" w:themeColor="text1"/>
          <w:szCs w:val="21"/>
          <w14:textFill>
            <w14:solidFill>
              <w14:schemeClr w14:val="tx1"/>
            </w14:solidFill>
          </w14:textFill>
        </w:rPr>
        <w:t>预留通道接头防水施工应符合下列规定：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预留通道接头处的沉降差值不应大于30mm；</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预留通道接头应采用变形缝防水构造形式；</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theme="minorEastAsia"/>
          <w:color w:val="000000" w:themeColor="text1"/>
          <w:kern w:val="0"/>
          <w:szCs w:val="21"/>
          <w14:textFill>
            <w14:solidFill>
              <w14:schemeClr w14:val="tx1"/>
            </w14:solidFill>
          </w14:textFill>
        </w:rPr>
        <w:t>预留通道先施工部位的混凝土、中埋式止水带和防水相关的预埋件等应及时保护，并应确保端部表面混凝土和中埋式止水带清洁，埋设件不应锈蚀；</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4</w:t>
      </w:r>
      <w:r>
        <w:rPr>
          <w:rFonts w:hint="eastAsia" w:ascii="宋体" w:hAnsi="宋体" w:cstheme="minorEastAsia"/>
          <w:color w:val="000000" w:themeColor="text1"/>
          <w:kern w:val="0"/>
          <w:szCs w:val="21"/>
          <w14:textFill>
            <w14:solidFill>
              <w14:schemeClr w14:val="tx1"/>
            </w14:solidFill>
          </w14:textFill>
        </w:rPr>
        <w:t xml:space="preserve"> 接头混凝土施工前，混凝土端部表面应凿毛，露出钢筋或预埋的钢筋接驳器钢板，与待浇混凝土部位的钢筋焊接后方可浇筑。</w:t>
      </w:r>
    </w:p>
    <w:p>
      <w:pPr>
        <w:snapToGrid w:val="0"/>
        <w:spacing w:line="360" w:lineRule="auto"/>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14.6.11 </w:t>
      </w:r>
      <w:r>
        <w:rPr>
          <w:rFonts w:hint="eastAsia" w:hAnsi="宋体"/>
          <w:color w:val="000000" w:themeColor="text1"/>
          <w:szCs w:val="21"/>
          <w14:textFill>
            <w14:solidFill>
              <w14:schemeClr w14:val="tx1"/>
            </w14:solidFill>
          </w14:textFill>
        </w:rPr>
        <w:t>孔口防水应符合下列规定：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1</w:t>
      </w:r>
      <w:r>
        <w:rPr>
          <w:rFonts w:hint="eastAsia" w:ascii="宋体" w:hAnsi="宋体" w:cstheme="minorEastAsia"/>
          <w:color w:val="000000" w:themeColor="text1"/>
          <w:kern w:val="0"/>
          <w:szCs w:val="21"/>
          <w14:textFill>
            <w14:solidFill>
              <w14:schemeClr w14:val="tx1"/>
            </w14:solidFill>
          </w14:textFill>
        </w:rPr>
        <w:t xml:space="preserve"> 地下工程通向地面的各种孔口应采取防地面水倒灌的措施。人员出入口高出地面的高度宜为500mm，并应采取防雨措施；</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2</w:t>
      </w:r>
      <w:r>
        <w:rPr>
          <w:rFonts w:hint="eastAsia" w:ascii="宋体" w:hAnsi="宋体" w:cstheme="minorEastAsia"/>
          <w:color w:val="000000" w:themeColor="text1"/>
          <w:kern w:val="0"/>
          <w:szCs w:val="21"/>
          <w14:textFill>
            <w14:solidFill>
              <w14:schemeClr w14:val="tx1"/>
            </w14:solidFill>
          </w14:textFill>
        </w:rPr>
        <w:t xml:space="preserve"> 通风井的底部在最高地下水位以上时，底板和墙应做防水处理，并宜与主体结构断开；</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ascii="宋体" w:hAnsi="宋体" w:cstheme="minorEastAsia"/>
          <w:color w:val="000000" w:themeColor="text1"/>
          <w:kern w:val="0"/>
          <w:szCs w:val="21"/>
          <w14:textFill>
            <w14:solidFill>
              <w14:schemeClr w14:val="tx1"/>
            </w14:solidFill>
          </w14:textFill>
        </w:rPr>
        <w:t>通风井的一部分在最高地下水位以下时，通风井应与主体结构连成整体，其防水层也应连成整体，并应在通风井内设置集水井；</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ascii="宋体" w:hAnsi="宋体" w:cstheme="minorEastAsia"/>
          <w:color w:val="000000" w:themeColor="text1"/>
          <w:kern w:val="0"/>
          <w:szCs w:val="21"/>
          <w14:textFill>
            <w14:solidFill>
              <w14:schemeClr w14:val="tx1"/>
            </w14:solidFill>
          </w14:textFill>
        </w:rPr>
        <w:t>通风井下部的墙体和底板应做防水层；</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5 </w:t>
      </w:r>
      <w:r>
        <w:rPr>
          <w:rFonts w:hint="eastAsia" w:ascii="宋体" w:hAnsi="宋体" w:cstheme="minorEastAsia"/>
          <w:color w:val="000000" w:themeColor="text1"/>
          <w:kern w:val="0"/>
          <w:szCs w:val="21"/>
          <w14:textFill>
            <w14:solidFill>
              <w14:schemeClr w14:val="tx1"/>
            </w14:solidFill>
          </w14:textFill>
        </w:rPr>
        <w:t>通风井墙高出地面不得小于500mm。窗井外地面应做散水，散水与墙面间应采用密封材料嵌填。</w:t>
      </w:r>
    </w:p>
    <w:p>
      <w:pPr>
        <w:pageBreakBefore/>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427" w:name="_Toc13359"/>
      <w:bookmarkStart w:id="428" w:name="_Toc24029"/>
      <w:bookmarkStart w:id="429" w:name="_Toc27119"/>
      <w:bookmarkStart w:id="430" w:name="_Toc18315"/>
      <w:bookmarkStart w:id="431" w:name="_Toc25686"/>
      <w:bookmarkStart w:id="432" w:name="_Toc1793"/>
      <w:r>
        <w:rPr>
          <w:rFonts w:hint="eastAsia"/>
          <w:b/>
          <w:color w:val="000000" w:themeColor="text1"/>
          <w:sz w:val="28"/>
          <w:szCs w:val="28"/>
          <w14:textFill>
            <w14:solidFill>
              <w14:schemeClr w14:val="tx1"/>
            </w14:solidFill>
          </w14:textFill>
        </w:rPr>
        <w:t>15  监控量测</w:t>
      </w:r>
      <w:bookmarkEnd w:id="427"/>
      <w:bookmarkEnd w:id="428"/>
      <w:bookmarkEnd w:id="429"/>
      <w:bookmarkEnd w:id="430"/>
      <w:bookmarkEnd w:id="431"/>
      <w:bookmarkEnd w:id="432"/>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433" w:name="_Toc22365"/>
      <w:bookmarkStart w:id="434" w:name="_Toc20190"/>
      <w:bookmarkStart w:id="435" w:name="_Toc313897878"/>
      <w:bookmarkStart w:id="436" w:name="_Toc29011"/>
      <w:bookmarkStart w:id="437" w:name="_Toc5329"/>
      <w:bookmarkStart w:id="438" w:name="_Toc25934"/>
      <w:bookmarkStart w:id="439" w:name="_Toc22538"/>
      <w:r>
        <w:rPr>
          <w:rFonts w:hint="eastAsia" w:hAnsi="宋体"/>
          <w:b/>
          <w:color w:val="000000" w:themeColor="text1"/>
          <w:sz w:val="24"/>
          <w14:textFill>
            <w14:solidFill>
              <w14:schemeClr w14:val="tx1"/>
            </w14:solidFill>
          </w14:textFill>
        </w:rPr>
        <w:t>15.1  一般规定</w:t>
      </w:r>
      <w:bookmarkEnd w:id="433"/>
      <w:bookmarkEnd w:id="434"/>
      <w:bookmarkEnd w:id="435"/>
      <w:bookmarkEnd w:id="436"/>
      <w:bookmarkEnd w:id="437"/>
      <w:bookmarkEnd w:id="438"/>
      <w:bookmarkEnd w:id="439"/>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15.1.1 </w:t>
      </w:r>
      <w:r>
        <w:rPr>
          <w:rFonts w:hint="eastAsia" w:hAnsi="宋体"/>
          <w:color w:val="000000" w:themeColor="text1"/>
          <w:szCs w:val="21"/>
          <w14:textFill>
            <w14:solidFill>
              <w14:schemeClr w14:val="tx1"/>
            </w14:solidFill>
          </w14:textFill>
        </w:rPr>
        <w:t>本章适用于暗挖隧道及暗挖竖井施工过程中的监控量测。</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15.1.2 </w:t>
      </w:r>
      <w:r>
        <w:rPr>
          <w:rFonts w:hint="eastAsia" w:hAnsi="宋体"/>
          <w:color w:val="000000" w:themeColor="text1"/>
          <w:szCs w:val="21"/>
          <w14:textFill>
            <w14:solidFill>
              <w14:schemeClr w14:val="tx1"/>
            </w14:solidFill>
          </w14:textFill>
        </w:rPr>
        <w:t>施工中应结合工程特点、施工环境、工程地质、掘进速度等制定监控量测方案。</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15.1.3 </w:t>
      </w:r>
      <w:r>
        <w:rPr>
          <w:rFonts w:hint="eastAsia" w:hAnsi="宋体"/>
          <w:color w:val="000000" w:themeColor="text1"/>
          <w:szCs w:val="21"/>
          <w14:textFill>
            <w14:solidFill>
              <w14:schemeClr w14:val="tx1"/>
            </w14:solidFill>
          </w14:textFill>
        </w:rPr>
        <w:t>监控量测范围应包括结构和施工环境，分为应测项目和选测项目，对突发的变形异常情况应指定应急监测方案。</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15.1.4 </w:t>
      </w:r>
      <w:r>
        <w:rPr>
          <w:rFonts w:hint="eastAsia" w:hAnsi="宋体"/>
          <w:color w:val="000000" w:themeColor="text1"/>
          <w:szCs w:val="21"/>
          <w14:textFill>
            <w14:solidFill>
              <w14:schemeClr w14:val="tx1"/>
            </w14:solidFill>
          </w14:textFill>
        </w:rPr>
        <w:t>应按施工进度及时进行监测，根据工法、施工步序合理确定监测频率。对监测数据应进行分析处理后，及时反馈，做到信息化施工。</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15.1.5 </w:t>
      </w:r>
      <w:r>
        <w:rPr>
          <w:rFonts w:hint="eastAsia" w:hAnsi="宋体"/>
          <w:color w:val="000000" w:themeColor="text1"/>
          <w:szCs w:val="21"/>
          <w14:textFill>
            <w14:solidFill>
              <w14:schemeClr w14:val="tx1"/>
            </w14:solidFill>
          </w14:textFill>
        </w:rPr>
        <w:t>监测所采用的监测仪器及元件应满足各类监测工作的要求。</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15.1.6 </w:t>
      </w:r>
      <w:r>
        <w:rPr>
          <w:rFonts w:hint="eastAsia" w:hAnsi="宋体"/>
          <w:color w:val="000000" w:themeColor="text1"/>
          <w:szCs w:val="21"/>
          <w14:textFill>
            <w14:solidFill>
              <w14:schemeClr w14:val="tx1"/>
            </w14:solidFill>
          </w14:textFill>
        </w:rPr>
        <w:t>应根据穿越建筑物的重要程度、穿越类型、周边环境条件等情况确定暗挖隧道工程风险等级，并应根据不同等级进行监测布设。</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15.1.7 </w:t>
      </w:r>
      <w:r>
        <w:rPr>
          <w:rFonts w:hint="eastAsia" w:hAnsi="宋体"/>
          <w:color w:val="000000" w:themeColor="text1"/>
          <w:szCs w:val="21"/>
          <w14:textFill>
            <w14:solidFill>
              <w14:schemeClr w14:val="tx1"/>
            </w14:solidFill>
          </w14:textFill>
        </w:rPr>
        <w:t>穿越重要建（构）筑物的暗挖隧道工程，应进行连续监测。</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15.1.8 </w:t>
      </w:r>
      <w:r>
        <w:rPr>
          <w:rFonts w:hint="eastAsia" w:hAnsi="宋体"/>
          <w:color w:val="000000" w:themeColor="text1"/>
          <w:szCs w:val="21"/>
          <w14:textFill>
            <w14:solidFill>
              <w14:schemeClr w14:val="tx1"/>
            </w14:solidFill>
          </w14:textFill>
        </w:rPr>
        <w:t>暗挖隧道工程、周边建（构）筑物及地下管线的变形控制值应根据工程设计及周边环境的要求确定，对于重要建（构）筑物或周边复杂环境的应进行暗挖隧道专项设计。</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15.1.9 </w:t>
      </w:r>
      <w:r>
        <w:rPr>
          <w:rFonts w:hint="eastAsia" w:hAnsi="宋体"/>
          <w:color w:val="000000" w:themeColor="text1"/>
          <w:szCs w:val="21"/>
          <w14:textFill>
            <w14:solidFill>
              <w14:schemeClr w14:val="tx1"/>
            </w14:solidFill>
          </w14:textFill>
        </w:rPr>
        <w:t>基坑监测应符合现行地方标准《建筑基坑支护技术规程》</w:t>
      </w:r>
      <w:r>
        <w:rPr>
          <w:rFonts w:hint="eastAsia"/>
          <w:color w:val="000000" w:themeColor="text1"/>
          <w14:textFill>
            <w14:solidFill>
              <w14:schemeClr w14:val="tx1"/>
            </w14:solidFill>
          </w14:textFill>
        </w:rPr>
        <w:t>DB11/489</w:t>
      </w:r>
      <w:r>
        <w:rPr>
          <w:rFonts w:hint="eastAsia" w:hAnsi="宋体"/>
          <w:color w:val="000000" w:themeColor="text1"/>
          <w:szCs w:val="21"/>
          <w14:textFill>
            <w14:solidFill>
              <w14:schemeClr w14:val="tx1"/>
            </w14:solidFill>
          </w14:textFill>
        </w:rPr>
        <w:t>的规定，锚喷支护竖井监测项目、变形控制值和测量频率应符合设计要求。</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440" w:name="_Toc7645"/>
      <w:bookmarkStart w:id="441" w:name="_Toc26334"/>
      <w:bookmarkStart w:id="442" w:name="_Toc20633"/>
      <w:bookmarkStart w:id="443" w:name="_Toc16201"/>
      <w:bookmarkStart w:id="444" w:name="_Toc313897879"/>
      <w:bookmarkStart w:id="445" w:name="_Toc23738"/>
      <w:bookmarkStart w:id="446" w:name="_Toc20168"/>
      <w:r>
        <w:rPr>
          <w:rFonts w:hint="eastAsia" w:hAnsi="宋体"/>
          <w:b/>
          <w:color w:val="000000" w:themeColor="text1"/>
          <w:sz w:val="24"/>
          <w14:textFill>
            <w14:solidFill>
              <w14:schemeClr w14:val="tx1"/>
            </w14:solidFill>
          </w14:textFill>
        </w:rPr>
        <w:t>15.2  监测项目</w:t>
      </w:r>
      <w:bookmarkEnd w:id="440"/>
      <w:bookmarkEnd w:id="441"/>
      <w:bookmarkEnd w:id="442"/>
      <w:bookmarkEnd w:id="443"/>
      <w:bookmarkEnd w:id="444"/>
      <w:bookmarkEnd w:id="445"/>
      <w:bookmarkEnd w:id="446"/>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15.2.1 </w:t>
      </w:r>
      <w:r>
        <w:rPr>
          <w:rFonts w:hint="eastAsia" w:hAnsi="宋体"/>
          <w:color w:val="000000" w:themeColor="text1"/>
          <w:szCs w:val="21"/>
          <w14:textFill>
            <w14:solidFill>
              <w14:schemeClr w14:val="tx1"/>
            </w14:solidFill>
          </w14:textFill>
        </w:rPr>
        <w:t>暗挖法隧道监控量测项目应符合表</w:t>
      </w:r>
      <w:r>
        <w:rPr>
          <w:rFonts w:hint="eastAsia" w:hAnsi="宋体"/>
          <w:b/>
          <w:bCs/>
          <w:color w:val="000000" w:themeColor="text1"/>
          <w:szCs w:val="21"/>
          <w14:textFill>
            <w14:solidFill>
              <w14:schemeClr w14:val="tx1"/>
            </w14:solidFill>
          </w14:textFill>
        </w:rPr>
        <w:t>15.2.1</w:t>
      </w:r>
      <w:r>
        <w:rPr>
          <w:rFonts w:hint="eastAsia" w:hAnsi="宋体"/>
          <w:color w:val="000000" w:themeColor="text1"/>
          <w:szCs w:val="21"/>
          <w14:textFill>
            <w14:solidFill>
              <w14:schemeClr w14:val="tx1"/>
            </w14:solidFill>
          </w14:textFill>
        </w:rPr>
        <w:t>的规定。</w:t>
      </w:r>
    </w:p>
    <w:p>
      <w:pPr>
        <w:adjustRightInd w:val="0"/>
        <w:snapToGrid w:val="0"/>
        <w:spacing w:line="360" w:lineRule="auto"/>
        <w:ind w:firstLine="420" w:firstLineChars="200"/>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表</w:t>
      </w:r>
      <w:r>
        <w:rPr>
          <w:rFonts w:hint="eastAsia" w:hAnsi="宋体"/>
          <w:b/>
          <w:bCs/>
          <w:color w:val="000000" w:themeColor="text1"/>
          <w:szCs w:val="21"/>
          <w14:textFill>
            <w14:solidFill>
              <w14:schemeClr w14:val="tx1"/>
            </w14:solidFill>
          </w14:textFill>
        </w:rPr>
        <w:t>15.2.1</w:t>
      </w:r>
      <w:r>
        <w:rPr>
          <w:rFonts w:hint="eastAsia" w:hAnsi="宋体"/>
          <w:color w:val="000000" w:themeColor="text1"/>
          <w:szCs w:val="21"/>
          <w14:textFill>
            <w14:solidFill>
              <w14:schemeClr w14:val="tx1"/>
            </w14:solidFill>
          </w14:textFill>
        </w:rPr>
        <w:t xml:space="preserve">  暗挖法隧道施工监控量测项目</w:t>
      </w:r>
    </w:p>
    <w:tbl>
      <w:tblPr>
        <w:tblStyle w:val="12"/>
        <w:tblW w:w="91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0"/>
        <w:gridCol w:w="1329"/>
        <w:gridCol w:w="1344"/>
        <w:gridCol w:w="2848"/>
        <w:gridCol w:w="30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6" w:hRule="atLeast"/>
        </w:trPr>
        <w:tc>
          <w:tcPr>
            <w:tcW w:w="570" w:type="dxa"/>
            <w:vAlign w:val="center"/>
          </w:tcPr>
          <w:p>
            <w:pPr>
              <w:adjustRightInd w:val="0"/>
              <w:snapToGrid w:val="0"/>
              <w:ind w:right="-76" w:rightChars="-36"/>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类别</w:t>
            </w:r>
          </w:p>
        </w:tc>
        <w:tc>
          <w:tcPr>
            <w:tcW w:w="1329" w:type="dxa"/>
            <w:vAlign w:val="center"/>
          </w:tcPr>
          <w:p>
            <w:pPr>
              <w:adjustRightInd w:val="0"/>
              <w:snapToGrid w:val="0"/>
              <w:ind w:right="-76" w:rightChars="-36"/>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检测项目</w:t>
            </w:r>
          </w:p>
        </w:tc>
        <w:tc>
          <w:tcPr>
            <w:tcW w:w="1344" w:type="dxa"/>
            <w:vAlign w:val="center"/>
          </w:tcPr>
          <w:p>
            <w:pPr>
              <w:adjustRightInd w:val="0"/>
              <w:snapToGrid w:val="0"/>
              <w:ind w:right="-76" w:rightChars="-36"/>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监测仪器与原件</w:t>
            </w:r>
          </w:p>
        </w:tc>
        <w:tc>
          <w:tcPr>
            <w:tcW w:w="2848" w:type="dxa"/>
            <w:vAlign w:val="center"/>
          </w:tcPr>
          <w:p>
            <w:pPr>
              <w:adjustRightInd w:val="0"/>
              <w:snapToGrid w:val="0"/>
              <w:ind w:right="-76" w:rightChars="-36"/>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监测范围及测点布置</w:t>
            </w:r>
          </w:p>
        </w:tc>
        <w:tc>
          <w:tcPr>
            <w:tcW w:w="3069" w:type="dxa"/>
            <w:vAlign w:val="center"/>
          </w:tcPr>
          <w:p>
            <w:pPr>
              <w:adjustRightInd w:val="0"/>
              <w:snapToGrid w:val="0"/>
              <w:ind w:right="-76" w:rightChars="-36"/>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监测频率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7" w:hRule="atLeast"/>
        </w:trPr>
        <w:tc>
          <w:tcPr>
            <w:tcW w:w="570" w:type="dxa"/>
            <w:vMerge w:val="restart"/>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必测项目</w:t>
            </w:r>
          </w:p>
        </w:tc>
        <w:tc>
          <w:tcPr>
            <w:tcW w:w="1329"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洞内及洞外观察</w:t>
            </w:r>
          </w:p>
        </w:tc>
        <w:tc>
          <w:tcPr>
            <w:tcW w:w="1344"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p>
        </w:tc>
        <w:tc>
          <w:tcPr>
            <w:tcW w:w="2848" w:type="dxa"/>
            <w:vAlign w:val="center"/>
          </w:tcPr>
          <w:p>
            <w:pPr>
              <w:adjustRightInd w:val="0"/>
              <w:snapToGrid w:val="0"/>
              <w:ind w:right="-107" w:rightChars="-51"/>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每一开挖环一个断面</w:t>
            </w:r>
          </w:p>
        </w:tc>
        <w:tc>
          <w:tcPr>
            <w:tcW w:w="3069"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开挖后立即进行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75" w:hRule="atLeast"/>
        </w:trPr>
        <w:tc>
          <w:tcPr>
            <w:tcW w:w="570" w:type="dxa"/>
            <w:vMerge w:val="continue"/>
            <w:vAlign w:val="center"/>
          </w:tcPr>
          <w:p>
            <w:pPr>
              <w:adjustRightInd w:val="0"/>
              <w:snapToGrid w:val="0"/>
              <w:ind w:right="302" w:rightChars="144"/>
              <w:jc w:val="center"/>
              <w:rPr>
                <w:rFonts w:ascii="Calibri" w:hAnsi="宋体"/>
                <w:color w:val="000000" w:themeColor="text1"/>
                <w:sz w:val="18"/>
                <w:szCs w:val="18"/>
                <w14:textFill>
                  <w14:solidFill>
                    <w14:schemeClr w14:val="tx1"/>
                  </w14:solidFill>
                </w14:textFill>
              </w:rPr>
            </w:pPr>
          </w:p>
        </w:tc>
        <w:tc>
          <w:tcPr>
            <w:tcW w:w="1329"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地表沉降</w:t>
            </w:r>
          </w:p>
        </w:tc>
        <w:tc>
          <w:tcPr>
            <w:tcW w:w="1344"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电子水准仪</w:t>
            </w:r>
          </w:p>
        </w:tc>
        <w:tc>
          <w:tcPr>
            <w:tcW w:w="2848" w:type="dxa"/>
            <w:vAlign w:val="center"/>
          </w:tcPr>
          <w:p>
            <w:pPr>
              <w:adjustRightInd w:val="0"/>
              <w:snapToGrid w:val="0"/>
              <w:ind w:right="-73" w:rightChars="-35"/>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沿隧道中线和沿车站中线各布设一行监测点，对于多导洞施工的，应在每一导洞中线和整体结构中线的正上方地表各布设一行监测点，监测点的纵向间距在5~30m之间</w:t>
            </w:r>
          </w:p>
        </w:tc>
        <w:tc>
          <w:tcPr>
            <w:tcW w:w="3069" w:type="dxa"/>
            <w:vAlign w:val="center"/>
          </w:tcPr>
          <w:p>
            <w:pPr>
              <w:adjustRightInd w:val="0"/>
              <w:snapToGrid w:val="0"/>
              <w:ind w:right="-73" w:rightChars="-35"/>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开挖面距监测断面≤2B时1~2次/天；开挖面距监测断面≤5B时1次/2天；开挖面距监测断面＞5B时1次/周；基坑稳定后1次/月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7" w:hRule="atLeast"/>
        </w:trPr>
        <w:tc>
          <w:tcPr>
            <w:tcW w:w="570" w:type="dxa"/>
            <w:vMerge w:val="continue"/>
            <w:vAlign w:val="center"/>
          </w:tcPr>
          <w:p>
            <w:pPr>
              <w:adjustRightInd w:val="0"/>
              <w:snapToGrid w:val="0"/>
              <w:ind w:right="-73" w:rightChars="-35"/>
              <w:jc w:val="center"/>
              <w:rPr>
                <w:rFonts w:ascii="Calibri" w:hAnsi="宋体"/>
                <w:color w:val="000000" w:themeColor="text1"/>
                <w:sz w:val="18"/>
                <w:szCs w:val="18"/>
                <w14:textFill>
                  <w14:solidFill>
                    <w14:schemeClr w14:val="tx1"/>
                  </w14:solidFill>
                </w14:textFill>
              </w:rPr>
            </w:pPr>
          </w:p>
        </w:tc>
        <w:tc>
          <w:tcPr>
            <w:tcW w:w="1329" w:type="dxa"/>
            <w:vAlign w:val="center"/>
          </w:tcPr>
          <w:p>
            <w:pPr>
              <w:adjustRightInd w:val="0"/>
              <w:snapToGrid w:val="0"/>
              <w:ind w:right="-73" w:rightChars="-35"/>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临近建（构）筑物</w:t>
            </w:r>
          </w:p>
        </w:tc>
        <w:tc>
          <w:tcPr>
            <w:tcW w:w="1344" w:type="dxa"/>
            <w:vAlign w:val="center"/>
          </w:tcPr>
          <w:p>
            <w:pPr>
              <w:adjustRightInd w:val="0"/>
              <w:snapToGrid w:val="0"/>
              <w:ind w:right="-73" w:rightChars="-35"/>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电子水准仪，全站仪，裂缝仪</w:t>
            </w:r>
          </w:p>
        </w:tc>
        <w:tc>
          <w:tcPr>
            <w:tcW w:w="2848" w:type="dxa"/>
            <w:vAlign w:val="center"/>
          </w:tcPr>
          <w:p>
            <w:pPr>
              <w:adjustRightInd w:val="0"/>
              <w:snapToGrid w:val="0"/>
              <w:ind w:right="-73" w:rightChars="-35"/>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根据建（构）筑物的沉降、倾斜、裂缝的不同内容分别布置</w:t>
            </w:r>
          </w:p>
        </w:tc>
        <w:tc>
          <w:tcPr>
            <w:tcW w:w="3069" w:type="dxa"/>
            <w:vAlign w:val="center"/>
          </w:tcPr>
          <w:p>
            <w:pPr>
              <w:adjustRightInd w:val="0"/>
              <w:snapToGrid w:val="0"/>
              <w:ind w:right="-73" w:rightChars="-35"/>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按设计要求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3" w:hRule="atLeast"/>
        </w:trPr>
        <w:tc>
          <w:tcPr>
            <w:tcW w:w="570" w:type="dxa"/>
            <w:vMerge w:val="restart"/>
            <w:vAlign w:val="center"/>
          </w:tcPr>
          <w:p>
            <w:pPr>
              <w:adjustRightInd w:val="0"/>
              <w:snapToGrid w:val="0"/>
              <w:ind w:right="302" w:rightChars="144"/>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必测项目</w:t>
            </w:r>
          </w:p>
        </w:tc>
        <w:tc>
          <w:tcPr>
            <w:tcW w:w="1329"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地下管线沉降</w:t>
            </w:r>
          </w:p>
        </w:tc>
        <w:tc>
          <w:tcPr>
            <w:tcW w:w="1344"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电子水准仪</w:t>
            </w:r>
          </w:p>
        </w:tc>
        <w:tc>
          <w:tcPr>
            <w:tcW w:w="2848"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地下管线每5m~15m布设一沉降点，管线接头处，位移变化敏感部位</w:t>
            </w:r>
          </w:p>
        </w:tc>
        <w:tc>
          <w:tcPr>
            <w:tcW w:w="3069"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按设计要求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9" w:hRule="atLeast"/>
        </w:trPr>
        <w:tc>
          <w:tcPr>
            <w:tcW w:w="570" w:type="dxa"/>
            <w:vMerge w:val="continue"/>
            <w:vAlign w:val="center"/>
          </w:tcPr>
          <w:p>
            <w:pPr>
              <w:adjustRightInd w:val="0"/>
              <w:snapToGrid w:val="0"/>
              <w:ind w:right="302" w:rightChars="144"/>
              <w:jc w:val="center"/>
              <w:rPr>
                <w:rFonts w:ascii="Calibri" w:hAnsi="宋体"/>
                <w:color w:val="000000" w:themeColor="text1"/>
                <w:sz w:val="18"/>
                <w:szCs w:val="18"/>
                <w14:textFill>
                  <w14:solidFill>
                    <w14:schemeClr w14:val="tx1"/>
                  </w14:solidFill>
                </w14:textFill>
              </w:rPr>
            </w:pPr>
          </w:p>
        </w:tc>
        <w:tc>
          <w:tcPr>
            <w:tcW w:w="1329"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初期支护结构拱顶（部）沉降</w:t>
            </w:r>
          </w:p>
        </w:tc>
        <w:tc>
          <w:tcPr>
            <w:tcW w:w="1344"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电子水准仪</w:t>
            </w:r>
          </w:p>
        </w:tc>
        <w:tc>
          <w:tcPr>
            <w:tcW w:w="2848"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每10~30m一个断面，每断面1个测点，对于浅埋暗挖车站，每个导洞应布置断面</w:t>
            </w:r>
          </w:p>
        </w:tc>
        <w:tc>
          <w:tcPr>
            <w:tcW w:w="3069" w:type="dxa"/>
            <w:vAlign w:val="center"/>
          </w:tcPr>
          <w:p>
            <w:pPr>
              <w:adjustRightInd w:val="0"/>
              <w:snapToGrid w:val="0"/>
              <w:ind w:right="-73" w:rightChars="-35"/>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由开挖面距监测断面的距离和沉降速率共同决定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1" w:hRule="atLeast"/>
        </w:trPr>
        <w:tc>
          <w:tcPr>
            <w:tcW w:w="570" w:type="dxa"/>
            <w:vMerge w:val="continue"/>
            <w:vAlign w:val="center"/>
          </w:tcPr>
          <w:p>
            <w:pPr>
              <w:adjustRightInd w:val="0"/>
              <w:snapToGrid w:val="0"/>
              <w:ind w:right="302" w:rightChars="144"/>
              <w:jc w:val="center"/>
              <w:rPr>
                <w:rFonts w:ascii="Calibri" w:hAnsi="宋体"/>
                <w:color w:val="000000" w:themeColor="text1"/>
                <w:sz w:val="18"/>
                <w:szCs w:val="18"/>
                <w14:textFill>
                  <w14:solidFill>
                    <w14:schemeClr w14:val="tx1"/>
                  </w14:solidFill>
                </w14:textFill>
              </w:rPr>
            </w:pPr>
          </w:p>
        </w:tc>
        <w:tc>
          <w:tcPr>
            <w:tcW w:w="1329"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初期支护结构净空收敛</w:t>
            </w:r>
          </w:p>
        </w:tc>
        <w:tc>
          <w:tcPr>
            <w:tcW w:w="1344"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收敛仪</w:t>
            </w:r>
          </w:p>
        </w:tc>
        <w:tc>
          <w:tcPr>
            <w:tcW w:w="2848"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每10~30m一个断面，每断面1个测点，对于浅埋暗挖车站，每个导洞应布置断面</w:t>
            </w:r>
          </w:p>
        </w:tc>
        <w:tc>
          <w:tcPr>
            <w:tcW w:w="3069" w:type="dxa"/>
            <w:vAlign w:val="center"/>
          </w:tcPr>
          <w:p>
            <w:pPr>
              <w:adjustRightInd w:val="0"/>
              <w:snapToGrid w:val="0"/>
              <w:ind w:right="302" w:rightChars="144"/>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由开挖面距监测断面的距离和收敛速率共同决定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1" w:hRule="atLeast"/>
        </w:trPr>
        <w:tc>
          <w:tcPr>
            <w:tcW w:w="570" w:type="dxa"/>
            <w:vMerge w:val="continue"/>
            <w:vAlign w:val="center"/>
          </w:tcPr>
          <w:p>
            <w:pPr>
              <w:adjustRightInd w:val="0"/>
              <w:snapToGrid w:val="0"/>
              <w:ind w:right="302" w:rightChars="144"/>
              <w:jc w:val="center"/>
              <w:rPr>
                <w:rFonts w:ascii="Calibri" w:hAnsi="宋体"/>
                <w:color w:val="000000" w:themeColor="text1"/>
                <w:sz w:val="18"/>
                <w:szCs w:val="18"/>
                <w14:textFill>
                  <w14:solidFill>
                    <w14:schemeClr w14:val="tx1"/>
                  </w14:solidFill>
                </w14:textFill>
              </w:rPr>
            </w:pPr>
          </w:p>
        </w:tc>
        <w:tc>
          <w:tcPr>
            <w:tcW w:w="1329"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锁口圈沉降</w:t>
            </w:r>
          </w:p>
        </w:tc>
        <w:tc>
          <w:tcPr>
            <w:tcW w:w="1344"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电子水准仪</w:t>
            </w:r>
          </w:p>
        </w:tc>
        <w:tc>
          <w:tcPr>
            <w:tcW w:w="2848"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竖井圈梁或挡土墙四面中心位置布设</w:t>
            </w:r>
          </w:p>
        </w:tc>
        <w:tc>
          <w:tcPr>
            <w:tcW w:w="3069" w:type="dxa"/>
            <w:vAlign w:val="center"/>
          </w:tcPr>
          <w:p>
            <w:pPr>
              <w:adjustRightInd w:val="0"/>
              <w:snapToGrid w:val="0"/>
              <w:ind w:right="-73" w:rightChars="-35"/>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开挖深度≤5m时1次/3天；5米</w:t>
            </w:r>
            <w:r>
              <w:rPr>
                <w:rFonts w:hint="eastAsia" w:ascii="宋体" w:hAnsi="宋体" w:cs="宋体"/>
                <w:color w:val="000000" w:themeColor="text1"/>
                <w:sz w:val="18"/>
                <w:szCs w:val="18"/>
                <w14:textFill>
                  <w14:solidFill>
                    <w14:schemeClr w14:val="tx1"/>
                  </w14:solidFill>
                </w14:textFill>
              </w:rPr>
              <w:t>&lt;</w:t>
            </w:r>
            <w:r>
              <w:rPr>
                <w:rFonts w:hint="eastAsia" w:ascii="Calibri" w:hAnsi="宋体"/>
                <w:color w:val="000000" w:themeColor="text1"/>
                <w:sz w:val="18"/>
                <w:szCs w:val="18"/>
                <w14:textFill>
                  <w14:solidFill>
                    <w14:schemeClr w14:val="tx1"/>
                  </w14:solidFill>
                </w14:textFill>
              </w:rPr>
              <w:t>开挖深度≤10m时1次/2天；开挖深度&gt;10m时1次/1天；基坑稳定后1次/月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570" w:type="dxa"/>
            <w:vMerge w:val="continue"/>
            <w:vAlign w:val="center"/>
          </w:tcPr>
          <w:p>
            <w:pPr>
              <w:adjustRightInd w:val="0"/>
              <w:snapToGrid w:val="0"/>
              <w:ind w:right="302" w:rightChars="144"/>
              <w:jc w:val="center"/>
              <w:rPr>
                <w:rFonts w:ascii="Calibri" w:hAnsi="宋体"/>
                <w:color w:val="000000" w:themeColor="text1"/>
                <w:sz w:val="18"/>
                <w:szCs w:val="18"/>
                <w14:textFill>
                  <w14:solidFill>
                    <w14:schemeClr w14:val="tx1"/>
                  </w14:solidFill>
                </w14:textFill>
              </w:rPr>
            </w:pPr>
          </w:p>
        </w:tc>
        <w:tc>
          <w:tcPr>
            <w:tcW w:w="1329"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地下水位</w:t>
            </w:r>
          </w:p>
        </w:tc>
        <w:tc>
          <w:tcPr>
            <w:tcW w:w="1344"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水位计</w:t>
            </w:r>
          </w:p>
        </w:tc>
        <w:tc>
          <w:tcPr>
            <w:tcW w:w="2848"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取代表性地段设置</w:t>
            </w:r>
          </w:p>
        </w:tc>
        <w:tc>
          <w:tcPr>
            <w:tcW w:w="3069" w:type="dxa"/>
            <w:vAlign w:val="center"/>
          </w:tcPr>
          <w:p>
            <w:pPr>
              <w:adjustRightInd w:val="0"/>
              <w:snapToGrid w:val="0"/>
              <w:ind w:right="302" w:rightChars="144"/>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1次/2天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03" w:hRule="atLeast"/>
        </w:trPr>
        <w:tc>
          <w:tcPr>
            <w:tcW w:w="570" w:type="dxa"/>
            <w:vMerge w:val="restart"/>
            <w:vAlign w:val="center"/>
          </w:tcPr>
          <w:p>
            <w:pPr>
              <w:adjustRightInd w:val="0"/>
              <w:snapToGrid w:val="0"/>
              <w:ind w:right="-73" w:rightChars="-35"/>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选测项目</w:t>
            </w:r>
          </w:p>
        </w:tc>
        <w:tc>
          <w:tcPr>
            <w:tcW w:w="1329"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围岩压力计支护间接触应力</w:t>
            </w:r>
          </w:p>
        </w:tc>
        <w:tc>
          <w:tcPr>
            <w:tcW w:w="1344"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土压力盒</w:t>
            </w:r>
          </w:p>
        </w:tc>
        <w:tc>
          <w:tcPr>
            <w:tcW w:w="2848"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取代表性地段1~2个主测断面，每断面1-3个测点</w:t>
            </w:r>
          </w:p>
        </w:tc>
        <w:tc>
          <w:tcPr>
            <w:tcW w:w="3069" w:type="dxa"/>
            <w:vAlign w:val="center"/>
          </w:tcPr>
          <w:p>
            <w:pPr>
              <w:adjustRightInd w:val="0"/>
              <w:snapToGrid w:val="0"/>
              <w:ind w:right="-73" w:rightChars="-35"/>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开挖面距监测断面≤2B时1~2次/天；开挖面距监测断面≤5B时1次/2天；开挖面距监测断面＞5B时1次/周；基坑稳定后1次/月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trPr>
        <w:tc>
          <w:tcPr>
            <w:tcW w:w="570" w:type="dxa"/>
            <w:vMerge w:val="continue"/>
            <w:vAlign w:val="center"/>
          </w:tcPr>
          <w:p>
            <w:pPr>
              <w:adjustRightInd w:val="0"/>
              <w:snapToGrid w:val="0"/>
              <w:ind w:right="-73" w:rightChars="-35"/>
              <w:jc w:val="center"/>
              <w:rPr>
                <w:rFonts w:ascii="Calibri" w:hAnsi="宋体"/>
                <w:color w:val="000000" w:themeColor="text1"/>
                <w:sz w:val="18"/>
                <w:szCs w:val="18"/>
                <w14:textFill>
                  <w14:solidFill>
                    <w14:schemeClr w14:val="tx1"/>
                  </w14:solidFill>
                </w14:textFill>
              </w:rPr>
            </w:pPr>
          </w:p>
        </w:tc>
        <w:tc>
          <w:tcPr>
            <w:tcW w:w="1329"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土体分层沉降及水平位移</w:t>
            </w:r>
          </w:p>
        </w:tc>
        <w:tc>
          <w:tcPr>
            <w:tcW w:w="1344"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分层沉降仪，测斜仪</w:t>
            </w:r>
          </w:p>
        </w:tc>
        <w:tc>
          <w:tcPr>
            <w:tcW w:w="2848"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同上主测断面相对应设1~2个断面，每断面1-2孔</w:t>
            </w:r>
          </w:p>
        </w:tc>
        <w:tc>
          <w:tcPr>
            <w:tcW w:w="3069" w:type="dxa"/>
            <w:vAlign w:val="center"/>
          </w:tcPr>
          <w:p>
            <w:pPr>
              <w:adjustRightInd w:val="0"/>
              <w:snapToGrid w:val="0"/>
              <w:spacing w:line="360" w:lineRule="auto"/>
              <w:ind w:right="302" w:rightChars="144" w:firstLine="360" w:firstLineChars="200"/>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同上</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1" w:hRule="atLeast"/>
        </w:trPr>
        <w:tc>
          <w:tcPr>
            <w:tcW w:w="570" w:type="dxa"/>
            <w:vMerge w:val="continue"/>
            <w:vAlign w:val="center"/>
          </w:tcPr>
          <w:p>
            <w:pPr>
              <w:adjustRightInd w:val="0"/>
              <w:snapToGrid w:val="0"/>
              <w:spacing w:line="360" w:lineRule="auto"/>
              <w:ind w:right="302" w:rightChars="144" w:firstLine="360" w:firstLineChars="200"/>
              <w:jc w:val="center"/>
              <w:rPr>
                <w:rFonts w:ascii="Calibri" w:hAnsi="宋体"/>
                <w:color w:val="000000" w:themeColor="text1"/>
                <w:sz w:val="18"/>
                <w:szCs w:val="18"/>
                <w14:textFill>
                  <w14:solidFill>
                    <w14:schemeClr w14:val="tx1"/>
                  </w14:solidFill>
                </w14:textFill>
              </w:rPr>
            </w:pPr>
          </w:p>
        </w:tc>
        <w:tc>
          <w:tcPr>
            <w:tcW w:w="1329"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钢格栅应力</w:t>
            </w:r>
          </w:p>
        </w:tc>
        <w:tc>
          <w:tcPr>
            <w:tcW w:w="1344"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钢筋计、测力计、频率接收仪</w:t>
            </w:r>
          </w:p>
        </w:tc>
        <w:tc>
          <w:tcPr>
            <w:tcW w:w="2848" w:type="dxa"/>
            <w:vAlign w:val="center"/>
          </w:tcPr>
          <w:p>
            <w:pPr>
              <w:adjustRightInd w:val="0"/>
              <w:snapToGrid w:val="0"/>
              <w:ind w:right="-76" w:rightChars="-36"/>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同上主测断面相对应设1~2个断面，每断面测点数按工程情况确定</w:t>
            </w:r>
          </w:p>
        </w:tc>
        <w:tc>
          <w:tcPr>
            <w:tcW w:w="3069" w:type="dxa"/>
            <w:vAlign w:val="center"/>
          </w:tcPr>
          <w:p>
            <w:pPr>
              <w:adjustRightInd w:val="0"/>
              <w:snapToGrid w:val="0"/>
              <w:ind w:right="-73" w:rightChars="-35"/>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与围岩压力及支护间应力相同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4" w:hRule="atLeast"/>
        </w:trPr>
        <w:tc>
          <w:tcPr>
            <w:tcW w:w="570" w:type="dxa"/>
            <w:vMerge w:val="continue"/>
            <w:vAlign w:val="center"/>
          </w:tcPr>
          <w:p>
            <w:pPr>
              <w:adjustRightInd w:val="0"/>
              <w:snapToGrid w:val="0"/>
              <w:spacing w:line="360" w:lineRule="auto"/>
              <w:ind w:right="302" w:rightChars="144" w:firstLine="360" w:firstLineChars="200"/>
              <w:jc w:val="center"/>
              <w:rPr>
                <w:rFonts w:ascii="Calibri" w:hAnsi="宋体"/>
                <w:color w:val="000000" w:themeColor="text1"/>
                <w:sz w:val="18"/>
                <w:szCs w:val="18"/>
                <w14:textFill>
                  <w14:solidFill>
                    <w14:schemeClr w14:val="tx1"/>
                  </w14:solidFill>
                </w14:textFill>
              </w:rPr>
            </w:pPr>
          </w:p>
        </w:tc>
        <w:tc>
          <w:tcPr>
            <w:tcW w:w="1329" w:type="dxa"/>
            <w:vAlign w:val="center"/>
          </w:tcPr>
          <w:p>
            <w:pPr>
              <w:adjustRightInd w:val="0"/>
              <w:snapToGrid w:val="0"/>
              <w:ind w:right="-76" w:rightChars="-36"/>
              <w:rPr>
                <w:rFonts w:ascii="Calibri" w:hAnsi="宋体"/>
                <w:color w:val="000000" w:themeColor="text1"/>
                <w:szCs w:val="21"/>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初期支护、二衬内力</w:t>
            </w:r>
          </w:p>
        </w:tc>
        <w:tc>
          <w:tcPr>
            <w:tcW w:w="1344" w:type="dxa"/>
            <w:vAlign w:val="center"/>
          </w:tcPr>
          <w:p>
            <w:pPr>
              <w:adjustRightInd w:val="0"/>
              <w:snapToGrid w:val="0"/>
              <w:ind w:right="-73" w:rightChars="-35"/>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应变计</w:t>
            </w:r>
          </w:p>
        </w:tc>
        <w:tc>
          <w:tcPr>
            <w:tcW w:w="2848" w:type="dxa"/>
            <w:vAlign w:val="center"/>
          </w:tcPr>
          <w:p>
            <w:pPr>
              <w:adjustRightInd w:val="0"/>
              <w:snapToGrid w:val="0"/>
              <w:ind w:right="-73" w:rightChars="-35"/>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同上主测断面相对应设1~2个断面，每断面1-3个测点</w:t>
            </w:r>
          </w:p>
        </w:tc>
        <w:tc>
          <w:tcPr>
            <w:tcW w:w="3069" w:type="dxa"/>
            <w:vAlign w:val="center"/>
          </w:tcPr>
          <w:p>
            <w:pPr>
              <w:adjustRightInd w:val="0"/>
              <w:snapToGrid w:val="0"/>
              <w:ind w:right="-73" w:rightChars="-35"/>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与围岩压力及支护间应力相同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1" w:hRule="atLeast"/>
        </w:trPr>
        <w:tc>
          <w:tcPr>
            <w:tcW w:w="570" w:type="dxa"/>
            <w:vMerge w:val="continue"/>
            <w:vAlign w:val="center"/>
          </w:tcPr>
          <w:p>
            <w:pPr>
              <w:adjustRightInd w:val="0"/>
              <w:snapToGrid w:val="0"/>
              <w:spacing w:line="360" w:lineRule="auto"/>
              <w:ind w:right="302" w:rightChars="144" w:firstLine="360" w:firstLineChars="200"/>
              <w:jc w:val="center"/>
              <w:rPr>
                <w:rFonts w:ascii="Calibri" w:hAnsi="宋体"/>
                <w:color w:val="000000" w:themeColor="text1"/>
                <w:sz w:val="18"/>
                <w:szCs w:val="18"/>
                <w14:textFill>
                  <w14:solidFill>
                    <w14:schemeClr w14:val="tx1"/>
                  </w14:solidFill>
                </w14:textFill>
              </w:rPr>
            </w:pPr>
          </w:p>
        </w:tc>
        <w:tc>
          <w:tcPr>
            <w:tcW w:w="1329" w:type="dxa"/>
            <w:vAlign w:val="center"/>
          </w:tcPr>
          <w:p>
            <w:pPr>
              <w:adjustRightInd w:val="0"/>
              <w:snapToGrid w:val="0"/>
              <w:ind w:right="-73" w:rightChars="-35"/>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钢管柱受力</w:t>
            </w:r>
          </w:p>
        </w:tc>
        <w:tc>
          <w:tcPr>
            <w:tcW w:w="1344" w:type="dxa"/>
            <w:vAlign w:val="center"/>
          </w:tcPr>
          <w:p>
            <w:pPr>
              <w:adjustRightInd w:val="0"/>
              <w:snapToGrid w:val="0"/>
              <w:ind w:right="-73" w:rightChars="-35"/>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应力计、表面应变计、频率接收仪</w:t>
            </w:r>
          </w:p>
        </w:tc>
        <w:tc>
          <w:tcPr>
            <w:tcW w:w="2848" w:type="dxa"/>
            <w:vAlign w:val="center"/>
          </w:tcPr>
          <w:p>
            <w:pPr>
              <w:adjustRightInd w:val="0"/>
              <w:snapToGrid w:val="0"/>
              <w:ind w:right="-73" w:rightChars="-35"/>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选择有代表性钢管柱进行监测，每个车站应不少于4个钢管柱，每柱2~4个测点</w:t>
            </w:r>
          </w:p>
        </w:tc>
        <w:tc>
          <w:tcPr>
            <w:tcW w:w="3069" w:type="dxa"/>
            <w:vAlign w:val="center"/>
          </w:tcPr>
          <w:p>
            <w:pPr>
              <w:adjustRightInd w:val="0"/>
              <w:snapToGrid w:val="0"/>
              <w:ind w:right="-73" w:rightChars="-35"/>
              <w:jc w:val="center"/>
              <w:rPr>
                <w:rFonts w:ascii="Calibri" w:hAnsi="宋体"/>
                <w:color w:val="000000" w:themeColor="text1"/>
                <w:sz w:val="18"/>
                <w:szCs w:val="18"/>
                <w14:textFill>
                  <w14:solidFill>
                    <w14:schemeClr w14:val="tx1"/>
                  </w14:solidFill>
                </w14:textFill>
              </w:rPr>
            </w:pPr>
            <w:r>
              <w:rPr>
                <w:rFonts w:hint="eastAsia" w:ascii="Calibri" w:hAnsi="宋体"/>
                <w:color w:val="000000" w:themeColor="text1"/>
                <w:sz w:val="18"/>
                <w:szCs w:val="18"/>
                <w14:textFill>
                  <w14:solidFill>
                    <w14:schemeClr w14:val="tx1"/>
                  </w14:solidFill>
                </w14:textFill>
              </w:rPr>
              <w:t>土体开挖时，1次/天；结构施做时1~2次/周。</w:t>
            </w:r>
          </w:p>
        </w:tc>
      </w:tr>
    </w:tbl>
    <w:p>
      <w:pPr>
        <w:adjustRightInd w:val="0"/>
        <w:snapToGrid w:val="0"/>
        <w:spacing w:line="360" w:lineRule="auto"/>
        <w:ind w:firstLine="420" w:firstLineChars="200"/>
        <w:rPr>
          <w:rFonts w:hAnsi="宋体"/>
          <w:color w:val="000000" w:themeColor="text1"/>
          <w:szCs w:val="21"/>
          <w14:textFill>
            <w14:solidFill>
              <w14:schemeClr w14:val="tx1"/>
            </w14:solidFill>
          </w14:textFill>
        </w:rPr>
      </w:pP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447" w:name="_Toc313897880"/>
      <w:bookmarkStart w:id="448" w:name="_Toc20178"/>
      <w:bookmarkStart w:id="449" w:name="_Toc18891"/>
      <w:bookmarkStart w:id="450" w:name="_Toc11580"/>
      <w:bookmarkStart w:id="451" w:name="_Toc11879"/>
      <w:bookmarkStart w:id="452" w:name="_Toc24922"/>
      <w:bookmarkStart w:id="453" w:name="_Toc14218"/>
      <w:r>
        <w:rPr>
          <w:rFonts w:hint="eastAsia" w:hAnsi="宋体"/>
          <w:b/>
          <w:color w:val="000000" w:themeColor="text1"/>
          <w:sz w:val="24"/>
          <w14:textFill>
            <w14:solidFill>
              <w14:schemeClr w14:val="tx1"/>
            </w14:solidFill>
          </w14:textFill>
        </w:rPr>
        <w:t>15.3  监测仪器</w:t>
      </w:r>
      <w:bookmarkEnd w:id="447"/>
      <w:bookmarkEnd w:id="448"/>
      <w:bookmarkEnd w:id="449"/>
      <w:bookmarkEnd w:id="450"/>
      <w:bookmarkEnd w:id="451"/>
      <w:bookmarkEnd w:id="452"/>
      <w:bookmarkEnd w:id="453"/>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15.3.1</w:t>
      </w:r>
      <w:r>
        <w:rPr>
          <w:rFonts w:hint="eastAsia" w:hAnsi="宋体"/>
          <w:color w:val="000000" w:themeColor="text1"/>
          <w:szCs w:val="21"/>
          <w14:textFill>
            <w14:solidFill>
              <w14:schemeClr w14:val="tx1"/>
            </w14:solidFill>
          </w14:textFill>
        </w:rPr>
        <w:t xml:space="preserve"> 应根据工程特点、作业环境和监测要求合理选择监测仪器，监测仪器应满足监测要求。</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15.3.2</w:t>
      </w:r>
      <w:r>
        <w:rPr>
          <w:rFonts w:hint="eastAsia" w:hAnsi="宋体"/>
          <w:color w:val="000000" w:themeColor="text1"/>
          <w:szCs w:val="21"/>
          <w14:textFill>
            <w14:solidFill>
              <w14:schemeClr w14:val="tx1"/>
            </w14:solidFill>
          </w14:textFill>
        </w:rPr>
        <w:t xml:space="preserve"> 仪器设备应在检定期内使用。</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454" w:name="_Toc313897881"/>
      <w:bookmarkStart w:id="455" w:name="_Toc15549"/>
      <w:bookmarkStart w:id="456" w:name="_Toc30595"/>
      <w:bookmarkStart w:id="457" w:name="_Toc23558"/>
      <w:bookmarkStart w:id="458" w:name="_Toc15299"/>
      <w:bookmarkStart w:id="459" w:name="_Toc31143"/>
      <w:bookmarkStart w:id="460" w:name="_Toc16463"/>
      <w:r>
        <w:rPr>
          <w:rFonts w:hint="eastAsia" w:hAnsi="宋体"/>
          <w:b/>
          <w:color w:val="000000" w:themeColor="text1"/>
          <w:sz w:val="24"/>
          <w14:textFill>
            <w14:solidFill>
              <w14:schemeClr w14:val="tx1"/>
            </w14:solidFill>
          </w14:textFill>
        </w:rPr>
        <w:t>15.4  监测</w:t>
      </w:r>
      <w:bookmarkEnd w:id="454"/>
      <w:r>
        <w:rPr>
          <w:rFonts w:hint="eastAsia" w:hAnsi="宋体"/>
          <w:b/>
          <w:color w:val="000000" w:themeColor="text1"/>
          <w:sz w:val="24"/>
          <w14:textFill>
            <w14:solidFill>
              <w14:schemeClr w14:val="tx1"/>
            </w14:solidFill>
          </w14:textFill>
        </w:rPr>
        <w:t>方法</w:t>
      </w:r>
      <w:bookmarkEnd w:id="455"/>
      <w:bookmarkEnd w:id="456"/>
      <w:bookmarkEnd w:id="457"/>
      <w:bookmarkEnd w:id="458"/>
      <w:bookmarkEnd w:id="459"/>
      <w:bookmarkEnd w:id="460"/>
    </w:p>
    <w:p>
      <w:pPr>
        <w:pStyle w:val="22"/>
        <w:tabs>
          <w:tab w:val="left" w:pos="851"/>
        </w:tabs>
        <w:snapToGrid w:val="0"/>
        <w:spacing w:line="360" w:lineRule="auto"/>
        <w:ind w:firstLine="0" w:firstLineChars="0"/>
        <w:jc w:val="left"/>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15.4.1 </w:t>
      </w:r>
      <w:r>
        <w:rPr>
          <w:rFonts w:hint="eastAsia" w:ascii="宋体" w:hAnsi="宋体" w:cstheme="minorEastAsia"/>
          <w:color w:val="000000" w:themeColor="text1"/>
          <w:kern w:val="0"/>
          <w:szCs w:val="21"/>
          <w14:textFill>
            <w14:solidFill>
              <w14:schemeClr w14:val="tx1"/>
            </w14:solidFill>
          </w14:textFill>
        </w:rPr>
        <w:t>水平位移监测控制网的布设应符合下列规定：</w:t>
      </w:r>
    </w:p>
    <w:p>
      <w:pPr>
        <w:adjustRightInd w:val="0"/>
        <w:snapToGrid w:val="0"/>
        <w:spacing w:line="360" w:lineRule="auto"/>
        <w:ind w:firstLine="422" w:firstLineChars="200"/>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Ansi="宋体"/>
          <w:color w:val="000000" w:themeColor="text1"/>
          <w:szCs w:val="21"/>
          <w14:textFill>
            <w14:solidFill>
              <w14:schemeClr w14:val="tx1"/>
            </w14:solidFill>
          </w14:textFill>
        </w:rPr>
        <w:t>水平位移监测控制网应布设独立控制网；</w:t>
      </w:r>
    </w:p>
    <w:p>
      <w:pPr>
        <w:adjustRightInd w:val="0"/>
        <w:snapToGrid w:val="0"/>
        <w:spacing w:line="360" w:lineRule="auto"/>
        <w:ind w:firstLine="422" w:firstLineChars="200"/>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Ansi="宋体"/>
          <w:color w:val="000000" w:themeColor="text1"/>
          <w:szCs w:val="21"/>
          <w14:textFill>
            <w14:solidFill>
              <w14:schemeClr w14:val="tx1"/>
            </w14:solidFill>
          </w14:textFill>
        </w:rPr>
        <w:t>水平位移监测控制网</w:t>
      </w:r>
      <w:r>
        <w:rPr>
          <w:rFonts w:hint="eastAsia" w:hAnsi="宋体"/>
          <w:color w:val="000000" w:themeColor="text1"/>
          <w:szCs w:val="21"/>
          <w14:textFill>
            <w14:solidFill>
              <w14:schemeClr w14:val="tx1"/>
            </w14:solidFill>
          </w14:textFill>
        </w:rPr>
        <w:t>宜</w:t>
      </w:r>
      <w:r>
        <w:rPr>
          <w:rFonts w:hAnsi="宋体"/>
          <w:color w:val="000000" w:themeColor="text1"/>
          <w:szCs w:val="21"/>
          <w14:textFill>
            <w14:solidFill>
              <w14:schemeClr w14:val="tx1"/>
            </w14:solidFill>
          </w14:textFill>
        </w:rPr>
        <w:t>采用三角网、导线网、边角网和视准轴线等形式，当采用视准轴线控制时，轴线上</w:t>
      </w:r>
      <w:r>
        <w:rPr>
          <w:rFonts w:hint="eastAsia" w:hAnsi="宋体"/>
          <w:color w:val="000000" w:themeColor="text1"/>
          <w:szCs w:val="21"/>
          <w14:textFill>
            <w14:solidFill>
              <w14:schemeClr w14:val="tx1"/>
            </w14:solidFill>
          </w14:textFill>
        </w:rPr>
        <w:t>应</w:t>
      </w:r>
      <w:r>
        <w:rPr>
          <w:rFonts w:hAnsi="宋体"/>
          <w:color w:val="000000" w:themeColor="text1"/>
          <w:szCs w:val="21"/>
          <w14:textFill>
            <w14:solidFill>
              <w14:schemeClr w14:val="tx1"/>
            </w14:solidFill>
          </w14:textFill>
        </w:rPr>
        <w:t>设立检核点；</w:t>
      </w:r>
    </w:p>
    <w:p>
      <w:pPr>
        <w:adjustRightInd w:val="0"/>
        <w:snapToGrid w:val="0"/>
        <w:spacing w:line="360" w:lineRule="auto"/>
        <w:ind w:firstLine="422" w:firstLineChars="200"/>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hAnsi="宋体"/>
          <w:color w:val="000000" w:themeColor="text1"/>
          <w:szCs w:val="21"/>
          <w14:textFill>
            <w14:solidFill>
              <w14:schemeClr w14:val="tx1"/>
            </w14:solidFill>
          </w14:textFill>
        </w:rPr>
        <w:t xml:space="preserve"> </w:t>
      </w:r>
      <w:r>
        <w:rPr>
          <w:rFonts w:hAnsi="宋体"/>
          <w:color w:val="000000" w:themeColor="text1"/>
          <w:szCs w:val="21"/>
          <w14:textFill>
            <w14:solidFill>
              <w14:schemeClr w14:val="tx1"/>
            </w14:solidFill>
          </w14:textFill>
        </w:rPr>
        <w:t>水平位移监测控制网中的控制点应埋设在变形区外，按变形测量精度要求</w:t>
      </w:r>
      <w:r>
        <w:rPr>
          <w:rFonts w:hint="eastAsia" w:hAnsi="宋体"/>
          <w:color w:val="000000" w:themeColor="text1"/>
          <w:szCs w:val="21"/>
          <w14:textFill>
            <w14:solidFill>
              <w14:schemeClr w14:val="tx1"/>
            </w14:solidFill>
          </w14:textFill>
        </w:rPr>
        <w:t>宜</w:t>
      </w:r>
      <w:r>
        <w:rPr>
          <w:rFonts w:hAnsi="宋体"/>
          <w:color w:val="000000" w:themeColor="text1"/>
          <w:szCs w:val="21"/>
          <w14:textFill>
            <w14:solidFill>
              <w14:schemeClr w14:val="tx1"/>
            </w14:solidFill>
          </w14:textFill>
        </w:rPr>
        <w:t>建造具有强制对中器的观测墩，</w:t>
      </w:r>
      <w:r>
        <w:rPr>
          <w:rFonts w:hint="eastAsia" w:hAnsi="宋体"/>
          <w:color w:val="000000" w:themeColor="text1"/>
          <w:szCs w:val="21"/>
          <w14:textFill>
            <w14:solidFill>
              <w14:schemeClr w14:val="tx1"/>
            </w14:solidFill>
          </w14:textFill>
        </w:rPr>
        <w:t>宜</w:t>
      </w:r>
      <w:r>
        <w:rPr>
          <w:rFonts w:hAnsi="宋体"/>
          <w:color w:val="000000" w:themeColor="text1"/>
          <w:szCs w:val="21"/>
          <w14:textFill>
            <w14:solidFill>
              <w14:schemeClr w14:val="tx1"/>
            </w14:solidFill>
          </w14:textFill>
        </w:rPr>
        <w:t>采用对中误差小于</w:t>
      </w:r>
      <w:r>
        <w:rPr>
          <w:color w:val="000000" w:themeColor="text1"/>
          <w:szCs w:val="21"/>
          <w14:textFill>
            <w14:solidFill>
              <w14:schemeClr w14:val="tx1"/>
            </w14:solidFill>
          </w14:textFill>
        </w:rPr>
        <w:t>0.5mm</w:t>
      </w:r>
      <w:r>
        <w:rPr>
          <w:rFonts w:hAnsi="宋体"/>
          <w:color w:val="000000" w:themeColor="text1"/>
          <w:szCs w:val="21"/>
          <w14:textFill>
            <w14:solidFill>
              <w14:schemeClr w14:val="tx1"/>
            </w14:solidFill>
          </w14:textFill>
        </w:rPr>
        <w:t>的光学对中装置</w:t>
      </w:r>
      <w:r>
        <w:rPr>
          <w:rFonts w:hint="eastAsia" w:hAnsi="宋体"/>
          <w:color w:val="000000" w:themeColor="text1"/>
          <w:szCs w:val="21"/>
          <w14:textFill>
            <w14:solidFill>
              <w14:schemeClr w14:val="tx1"/>
            </w14:solidFill>
          </w14:textFill>
        </w:rPr>
        <w:t>，并</w:t>
      </w:r>
      <w:r>
        <w:rPr>
          <w:rFonts w:hAnsi="宋体"/>
          <w:color w:val="000000" w:themeColor="text1"/>
          <w:szCs w:val="21"/>
          <w14:textFill>
            <w14:solidFill>
              <w14:schemeClr w14:val="tx1"/>
            </w14:solidFill>
          </w14:textFill>
        </w:rPr>
        <w:t>应定期检测其稳定性。</w:t>
      </w:r>
    </w:p>
    <w:p>
      <w:pPr>
        <w:spacing w:line="360" w:lineRule="auto"/>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15.4.2 </w:t>
      </w:r>
      <w:r>
        <w:rPr>
          <w:rFonts w:hint="eastAsia" w:ascii="宋体" w:hAnsi="宋体" w:cstheme="minorEastAsia"/>
          <w:color w:val="000000" w:themeColor="text1"/>
          <w:kern w:val="0"/>
          <w:szCs w:val="21"/>
          <w14:textFill>
            <w14:solidFill>
              <w14:schemeClr w14:val="tx1"/>
            </w14:solidFill>
          </w14:textFill>
        </w:rPr>
        <w:t>垂直位移监测控制网的布设应符合下列规定：</w:t>
      </w:r>
    </w:p>
    <w:p>
      <w:pPr>
        <w:adjustRightInd w:val="0"/>
        <w:snapToGrid w:val="0"/>
        <w:spacing w:line="360" w:lineRule="auto"/>
        <w:ind w:firstLine="422" w:firstLineChars="200"/>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w:t>
      </w:r>
      <w:r>
        <w:rPr>
          <w:rFonts w:hint="eastAsia"/>
          <w:color w:val="000000" w:themeColor="text1"/>
          <w:szCs w:val="21"/>
          <w14:textFill>
            <w14:solidFill>
              <w14:schemeClr w14:val="tx1"/>
            </w14:solidFill>
          </w14:textFill>
        </w:rPr>
        <w:t xml:space="preserve"> </w:t>
      </w:r>
      <w:r>
        <w:rPr>
          <w:color w:val="000000" w:themeColor="text1"/>
          <w:szCs w:val="21"/>
          <w14:textFill>
            <w14:solidFill>
              <w14:schemeClr w14:val="tx1"/>
            </w14:solidFill>
          </w14:textFill>
        </w:rPr>
        <w:t>垂直位移监测控制网宜采用地下铁道、轻轨交通工程高程系统；</w:t>
      </w:r>
    </w:p>
    <w:p>
      <w:pPr>
        <w:adjustRightInd w:val="0"/>
        <w:snapToGrid w:val="0"/>
        <w:spacing w:line="360" w:lineRule="auto"/>
        <w:ind w:firstLine="422" w:firstLineChars="200"/>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color w:val="000000" w:themeColor="text1"/>
          <w:szCs w:val="21"/>
          <w14:textFill>
            <w14:solidFill>
              <w14:schemeClr w14:val="tx1"/>
            </w14:solidFill>
          </w14:textFill>
        </w:rPr>
        <w:t>垂直位移监测控制网可布设成闭合、附合或结点水准路线等形式</w:t>
      </w:r>
      <w:r>
        <w:rPr>
          <w:rFonts w:hint="eastAsia"/>
          <w:color w:val="000000" w:themeColor="text1"/>
          <w:szCs w:val="21"/>
          <w14:textFill>
            <w14:solidFill>
              <w14:schemeClr w14:val="tx1"/>
            </w14:solidFill>
          </w14:textFill>
        </w:rPr>
        <w:t>；</w:t>
      </w:r>
    </w:p>
    <w:p>
      <w:pPr>
        <w:adjustRightInd w:val="0"/>
        <w:snapToGrid w:val="0"/>
        <w:spacing w:line="360" w:lineRule="auto"/>
        <w:ind w:firstLine="422" w:firstLineChars="200"/>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color w:val="000000" w:themeColor="text1"/>
          <w:szCs w:val="21"/>
          <w14:textFill>
            <w14:solidFill>
              <w14:schemeClr w14:val="tx1"/>
            </w14:solidFill>
          </w14:textFill>
        </w:rPr>
        <w:t xml:space="preserve"> </w:t>
      </w:r>
      <w:r>
        <w:rPr>
          <w:color w:val="000000" w:themeColor="text1"/>
          <w:szCs w:val="21"/>
          <w14:textFill>
            <w14:solidFill>
              <w14:schemeClr w14:val="tx1"/>
            </w14:solidFill>
          </w14:textFill>
        </w:rPr>
        <w:t>垂直位移监测控制网高程控制点不应少于3个，在变形观测中应定期对高程控制点进行检测。</w:t>
      </w:r>
      <w:r>
        <w:rPr>
          <w:rFonts w:hint="eastAsia"/>
          <w:color w:val="000000" w:themeColor="text1"/>
          <w:szCs w:val="21"/>
          <w14:textFill>
            <w14:solidFill>
              <w14:schemeClr w14:val="tx1"/>
            </w14:solidFill>
          </w14:textFill>
        </w:rPr>
        <w:t>沉降控制网的技术要求应符合表</w:t>
      </w:r>
      <w:r>
        <w:rPr>
          <w:rFonts w:hint="eastAsia" w:hAnsi="宋体"/>
          <w:b/>
          <w:bCs/>
          <w:color w:val="000000" w:themeColor="text1"/>
          <w:szCs w:val="21"/>
          <w14:textFill>
            <w14:solidFill>
              <w14:schemeClr w14:val="tx1"/>
            </w14:solidFill>
          </w14:textFill>
        </w:rPr>
        <w:t>15.4.2</w:t>
      </w:r>
      <w:r>
        <w:rPr>
          <w:rFonts w:hint="eastAsia"/>
          <w:color w:val="000000" w:themeColor="text1"/>
          <w:szCs w:val="21"/>
          <w14:textFill>
            <w14:solidFill>
              <w14:schemeClr w14:val="tx1"/>
            </w14:solidFill>
          </w14:textFill>
        </w:rPr>
        <w:t>的规定。</w:t>
      </w:r>
    </w:p>
    <w:p>
      <w:pPr>
        <w:adjustRightInd w:val="0"/>
        <w:snapToGrid w:val="0"/>
        <w:spacing w:line="360" w:lineRule="auto"/>
        <w:jc w:val="center"/>
        <w:rPr>
          <w:rFonts w:hAnsi="宋体"/>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表</w:t>
      </w:r>
      <w:r>
        <w:rPr>
          <w:rFonts w:hint="eastAsia" w:hAnsi="宋体"/>
          <w:b/>
          <w:bCs/>
          <w:color w:val="000000" w:themeColor="text1"/>
          <w:szCs w:val="21"/>
          <w14:textFill>
            <w14:solidFill>
              <w14:schemeClr w14:val="tx1"/>
            </w14:solidFill>
          </w14:textFill>
        </w:rPr>
        <w:t>15.4.2</w:t>
      </w:r>
      <w:r>
        <w:rPr>
          <w:color w:val="000000" w:themeColor="text1"/>
          <w:szCs w:val="21"/>
          <w14:textFill>
            <w14:solidFill>
              <w14:schemeClr w14:val="tx1"/>
            </w14:solidFill>
          </w14:textFill>
        </w:rPr>
        <w:t xml:space="preserve"> </w:t>
      </w:r>
      <w:r>
        <w:rPr>
          <w:rFonts w:hint="eastAsia"/>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沉降控制网的主要技术指标</w:t>
      </w:r>
    </w:p>
    <w:tbl>
      <w:tblPr>
        <w:tblStyle w:val="12"/>
        <w:tblW w:w="841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8"/>
        <w:gridCol w:w="963"/>
        <w:gridCol w:w="963"/>
        <w:gridCol w:w="1201"/>
        <w:gridCol w:w="1201"/>
        <w:gridCol w:w="36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9" w:hRule="atLeast"/>
        </w:trPr>
        <w:tc>
          <w:tcPr>
            <w:tcW w:w="448"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ascii="Calibri" w:hAnsi="宋体"/>
                <w:color w:val="000000" w:themeColor="text1"/>
                <w:szCs w:val="21"/>
                <w14:textFill>
                  <w14:solidFill>
                    <w14:schemeClr w14:val="tx1"/>
                  </w14:solidFill>
                </w14:textFill>
              </w:rPr>
              <w:t>等级</w:t>
            </w:r>
          </w:p>
        </w:tc>
        <w:tc>
          <w:tcPr>
            <w:tcW w:w="963"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相邻基点</w:t>
            </w:r>
            <w:r>
              <w:rPr>
                <w:rFonts w:ascii="Calibri" w:hAnsi="宋体"/>
                <w:color w:val="000000" w:themeColor="text1"/>
                <w:szCs w:val="21"/>
                <w14:textFill>
                  <w14:solidFill>
                    <w14:schemeClr w14:val="tx1"/>
                  </w14:solidFill>
                </w14:textFill>
              </w:rPr>
              <w:t>高程中误差</w:t>
            </w:r>
            <w:r>
              <w:rPr>
                <w:rFonts w:hint="eastAsia" w:hAnsi="宋体"/>
                <w:color w:val="000000" w:themeColor="text1"/>
                <w:szCs w:val="21"/>
                <w14:textFill>
                  <w14:solidFill>
                    <w14:schemeClr w14:val="tx1"/>
                  </w14:solidFill>
                </w14:textFill>
              </w:rPr>
              <w:t>（mm）</w:t>
            </w:r>
          </w:p>
        </w:tc>
        <w:tc>
          <w:tcPr>
            <w:tcW w:w="963"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每站</w:t>
            </w:r>
            <w:r>
              <w:rPr>
                <w:rFonts w:ascii="Calibri" w:hAnsi="宋体"/>
                <w:color w:val="000000" w:themeColor="text1"/>
                <w:szCs w:val="21"/>
                <w14:textFill>
                  <w14:solidFill>
                    <w14:schemeClr w14:val="tx1"/>
                  </w14:solidFill>
                </w14:textFill>
              </w:rPr>
              <w:t>高差中误差</w:t>
            </w:r>
            <w:r>
              <w:rPr>
                <w:rFonts w:hint="eastAsia" w:hAnsi="宋体"/>
                <w:color w:val="000000" w:themeColor="text1"/>
                <w:szCs w:val="21"/>
                <w14:textFill>
                  <w14:solidFill>
                    <w14:schemeClr w14:val="tx1"/>
                  </w14:solidFill>
                </w14:textFill>
              </w:rPr>
              <w:t>（mm）</w:t>
            </w:r>
          </w:p>
        </w:tc>
        <w:tc>
          <w:tcPr>
            <w:tcW w:w="1201"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ascii="Calibri" w:hAnsi="宋体"/>
                <w:color w:val="000000" w:themeColor="text1"/>
                <w:szCs w:val="21"/>
                <w14:textFill>
                  <w14:solidFill>
                    <w14:schemeClr w14:val="tx1"/>
                  </w14:solidFill>
                </w14:textFill>
              </w:rPr>
              <w:t>往返较差，附合或环线闭合差</w:t>
            </w:r>
            <w:r>
              <w:rPr>
                <w:rFonts w:hint="eastAsia" w:hAnsi="宋体"/>
                <w:color w:val="000000" w:themeColor="text1"/>
                <w:szCs w:val="21"/>
                <w14:textFill>
                  <w14:solidFill>
                    <w14:schemeClr w14:val="tx1"/>
                  </w14:solidFill>
                </w14:textFill>
              </w:rPr>
              <w:t>（mm）</w:t>
            </w:r>
          </w:p>
        </w:tc>
        <w:tc>
          <w:tcPr>
            <w:tcW w:w="1201"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检测已测高差之较差</w:t>
            </w:r>
            <w:r>
              <w:rPr>
                <w:rFonts w:hint="eastAsia" w:hAnsi="宋体"/>
                <w:color w:val="000000" w:themeColor="text1"/>
                <w:szCs w:val="21"/>
                <w14:textFill>
                  <w14:solidFill>
                    <w14:schemeClr w14:val="tx1"/>
                  </w14:solidFill>
                </w14:textFill>
              </w:rPr>
              <w:t>（mm）</w:t>
            </w:r>
          </w:p>
        </w:tc>
        <w:tc>
          <w:tcPr>
            <w:tcW w:w="3638"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使用仪器、观测方法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rPr>
        <w:tc>
          <w:tcPr>
            <w:tcW w:w="448"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Ⅰ</w:t>
            </w:r>
          </w:p>
        </w:tc>
        <w:tc>
          <w:tcPr>
            <w:tcW w:w="963"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±0.3</w:t>
            </w:r>
          </w:p>
        </w:tc>
        <w:tc>
          <w:tcPr>
            <w:tcW w:w="963"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±0.07</w:t>
            </w:r>
          </w:p>
        </w:tc>
        <w:tc>
          <w:tcPr>
            <w:tcW w:w="1201"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0.15</w:t>
            </w:r>
            <w:r>
              <w:rPr>
                <w:rFonts w:hint="eastAsia" w:ascii="宋体" w:hAnsi="宋体" w:cs="宋体"/>
                <w:color w:val="000000" w:themeColor="text1"/>
                <w:position w:val="-6"/>
                <w:szCs w:val="21"/>
                <w14:textFill>
                  <w14:solidFill>
                    <w14:schemeClr w14:val="tx1"/>
                  </w14:solidFill>
                </w14:textFill>
              </w:rPr>
              <w:object>
                <v:shape id="_x0000_i1064" o:spt="75" type="#_x0000_t75" style="height:16.9pt;width:18.9pt;" o:ole="t" filled="f" o:preferrelative="t" stroked="f" coordsize="21600,21600">
                  <v:path/>
                  <v:fill on="f" focussize="0,0"/>
                  <v:stroke on="f" joinstyle="miter"/>
                  <v:imagedata r:id="rId98" o:title=""/>
                  <o:lock v:ext="edit" aspectratio="t"/>
                  <w10:wrap type="none"/>
                  <w10:anchorlock/>
                </v:shape>
                <o:OLEObject Type="Embed" ProgID="Equation.3" ShapeID="_x0000_i1064" DrawAspect="Content" ObjectID="_1468075764" r:id="rId97">
                  <o:LockedField>false</o:LockedField>
                </o:OLEObject>
              </w:object>
            </w:r>
          </w:p>
        </w:tc>
        <w:tc>
          <w:tcPr>
            <w:tcW w:w="1201"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0.2</w:t>
            </w:r>
            <w:r>
              <w:rPr>
                <w:rFonts w:hint="eastAsia" w:ascii="宋体" w:hAnsi="宋体" w:cs="宋体"/>
                <w:color w:val="000000" w:themeColor="text1"/>
                <w:position w:val="-6"/>
                <w:szCs w:val="21"/>
                <w14:textFill>
                  <w14:solidFill>
                    <w14:schemeClr w14:val="tx1"/>
                  </w14:solidFill>
                </w14:textFill>
              </w:rPr>
              <w:object>
                <v:shape id="_x0000_i1065" o:spt="75" type="#_x0000_t75" style="height:16.9pt;width:18.9pt;" o:ole="t" filled="f" o:preferrelative="t" stroked="f" coordsize="21600,21600">
                  <v:path/>
                  <v:fill on="f" focussize="0,0"/>
                  <v:stroke on="f" joinstyle="miter"/>
                  <v:imagedata r:id="rId98" o:title=""/>
                  <o:lock v:ext="edit" aspectratio="t"/>
                  <w10:wrap type="none"/>
                  <w10:anchorlock/>
                </v:shape>
                <o:OLEObject Type="Embed" ProgID="Equation.3" ShapeID="_x0000_i1065" DrawAspect="Content" ObjectID="_1468075765" r:id="rId99">
                  <o:LockedField>false</o:LockedField>
                </o:OLEObject>
              </w:object>
            </w:r>
          </w:p>
        </w:tc>
        <w:tc>
          <w:tcPr>
            <w:tcW w:w="3638"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按国家一等水准测量技术要求作业，其观测限差宜按上述规定的1/2要求。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rPr>
        <w:tc>
          <w:tcPr>
            <w:tcW w:w="448"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Ⅱ</w:t>
            </w:r>
          </w:p>
        </w:tc>
        <w:tc>
          <w:tcPr>
            <w:tcW w:w="963"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±0.5</w:t>
            </w:r>
          </w:p>
        </w:tc>
        <w:tc>
          <w:tcPr>
            <w:tcW w:w="963"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±0.15</w:t>
            </w:r>
          </w:p>
        </w:tc>
        <w:tc>
          <w:tcPr>
            <w:tcW w:w="1201"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0.30</w:t>
            </w:r>
            <w:r>
              <w:rPr>
                <w:rFonts w:hint="eastAsia" w:ascii="宋体" w:hAnsi="宋体" w:cs="宋体"/>
                <w:color w:val="000000" w:themeColor="text1"/>
                <w:position w:val="-6"/>
                <w:szCs w:val="21"/>
                <w14:textFill>
                  <w14:solidFill>
                    <w14:schemeClr w14:val="tx1"/>
                  </w14:solidFill>
                </w14:textFill>
              </w:rPr>
              <w:object>
                <v:shape id="_x0000_i1066" o:spt="75" type="#_x0000_t75" style="height:16.9pt;width:18.9pt;" o:ole="t" filled="f" o:preferrelative="t" stroked="f" coordsize="21600,21600">
                  <v:path/>
                  <v:fill on="f" focussize="0,0"/>
                  <v:stroke on="f" joinstyle="miter"/>
                  <v:imagedata r:id="rId98" o:title=""/>
                  <o:lock v:ext="edit" aspectratio="t"/>
                  <w10:wrap type="none"/>
                  <w10:anchorlock/>
                </v:shape>
                <o:OLEObject Type="Embed" ProgID="Equation.3" ShapeID="_x0000_i1066" DrawAspect="Content" ObjectID="_1468075766" r:id="rId100">
                  <o:LockedField>false</o:LockedField>
                </o:OLEObject>
              </w:object>
            </w:r>
          </w:p>
        </w:tc>
        <w:tc>
          <w:tcPr>
            <w:tcW w:w="1201"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0.5</w:t>
            </w:r>
            <w:r>
              <w:rPr>
                <w:rFonts w:hint="eastAsia" w:ascii="宋体" w:hAnsi="宋体" w:cs="宋体"/>
                <w:color w:val="000000" w:themeColor="text1"/>
                <w:position w:val="-6"/>
                <w:szCs w:val="21"/>
                <w14:textFill>
                  <w14:solidFill>
                    <w14:schemeClr w14:val="tx1"/>
                  </w14:solidFill>
                </w14:textFill>
              </w:rPr>
              <w:object>
                <v:shape id="_x0000_i1067" o:spt="75" type="#_x0000_t75" style="height:16.9pt;width:18.9pt;" o:ole="t" filled="f" o:preferrelative="t" stroked="f" coordsize="21600,21600">
                  <v:path/>
                  <v:fill on="f" focussize="0,0"/>
                  <v:stroke on="f" joinstyle="miter"/>
                  <v:imagedata r:id="rId98" o:title=""/>
                  <o:lock v:ext="edit" aspectratio="t"/>
                  <w10:wrap type="none"/>
                  <w10:anchorlock/>
                </v:shape>
                <o:OLEObject Type="Embed" ProgID="Equation.3" ShapeID="_x0000_i1067" DrawAspect="Content" ObjectID="_1468075767" r:id="rId101">
                  <o:LockedField>false</o:LockedField>
                </o:OLEObject>
              </w:object>
            </w:r>
          </w:p>
        </w:tc>
        <w:tc>
          <w:tcPr>
            <w:tcW w:w="3638"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按国家一等水准测量技术要求作业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5" w:hRule="atLeast"/>
        </w:trPr>
        <w:tc>
          <w:tcPr>
            <w:tcW w:w="448"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Ⅲ</w:t>
            </w:r>
          </w:p>
        </w:tc>
        <w:tc>
          <w:tcPr>
            <w:tcW w:w="963"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±1.0</w:t>
            </w:r>
          </w:p>
        </w:tc>
        <w:tc>
          <w:tcPr>
            <w:tcW w:w="963"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±0.30</w:t>
            </w:r>
          </w:p>
        </w:tc>
        <w:tc>
          <w:tcPr>
            <w:tcW w:w="1201"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0.60</w:t>
            </w:r>
            <w:r>
              <w:rPr>
                <w:rFonts w:hint="eastAsia" w:ascii="宋体" w:hAnsi="宋体" w:cs="宋体"/>
                <w:color w:val="000000" w:themeColor="text1"/>
                <w:position w:val="-6"/>
                <w:szCs w:val="21"/>
                <w14:textFill>
                  <w14:solidFill>
                    <w14:schemeClr w14:val="tx1"/>
                  </w14:solidFill>
                </w14:textFill>
              </w:rPr>
              <w:object>
                <v:shape id="_x0000_i1068" o:spt="75" type="#_x0000_t75" style="height:16.9pt;width:18.9pt;" o:ole="t" filled="f" o:preferrelative="t" stroked="f" coordsize="21600,21600">
                  <v:path/>
                  <v:fill on="f" focussize="0,0"/>
                  <v:stroke on="f" joinstyle="miter"/>
                  <v:imagedata r:id="rId98" o:title=""/>
                  <o:lock v:ext="edit" aspectratio="t"/>
                  <w10:wrap type="none"/>
                  <w10:anchorlock/>
                </v:shape>
                <o:OLEObject Type="Embed" ProgID="Equation.3" ShapeID="_x0000_i1068" DrawAspect="Content" ObjectID="_1468075768" r:id="rId102">
                  <o:LockedField>false</o:LockedField>
                </o:OLEObject>
              </w:object>
            </w:r>
          </w:p>
        </w:tc>
        <w:tc>
          <w:tcPr>
            <w:tcW w:w="1201"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0.8</w:t>
            </w:r>
            <w:r>
              <w:rPr>
                <w:rFonts w:hint="eastAsia" w:ascii="宋体" w:hAnsi="宋体" w:cs="宋体"/>
                <w:color w:val="000000" w:themeColor="text1"/>
                <w:position w:val="-6"/>
                <w:szCs w:val="21"/>
                <w14:textFill>
                  <w14:solidFill>
                    <w14:schemeClr w14:val="tx1"/>
                  </w14:solidFill>
                </w14:textFill>
              </w:rPr>
              <w:object>
                <v:shape id="_x0000_i1069" o:spt="75" type="#_x0000_t75" style="height:16.9pt;width:18.9pt;" o:ole="t" filled="f" o:preferrelative="t" stroked="f" coordsize="21600,21600">
                  <v:path/>
                  <v:fill on="f" focussize="0,0"/>
                  <v:stroke on="f" joinstyle="miter"/>
                  <v:imagedata r:id="rId98" o:title=""/>
                  <o:lock v:ext="edit" aspectratio="t"/>
                  <w10:wrap type="none"/>
                  <w10:anchorlock/>
                </v:shape>
                <o:OLEObject Type="Embed" ProgID="Equation.3" ShapeID="_x0000_i1069" DrawAspect="Content" ObjectID="_1468075769" r:id="rId103">
                  <o:LockedField>false</o:LockedField>
                </o:OLEObject>
              </w:object>
            </w:r>
          </w:p>
        </w:tc>
        <w:tc>
          <w:tcPr>
            <w:tcW w:w="3638"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按国家二等水准测量技术要求作业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8414" w:type="dxa"/>
            <w:gridSpan w:val="6"/>
            <w:vAlign w:val="center"/>
          </w:tcPr>
          <w:p>
            <w:pPr>
              <w:adjustRightInd w:val="0"/>
              <w:snapToGrid w:val="0"/>
              <w:spacing w:line="360" w:lineRule="auto"/>
              <w:ind w:firstLine="420" w:firstLineChars="200"/>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注：n为测站数</w:t>
            </w:r>
            <w:r>
              <w:rPr>
                <w:rFonts w:hint="eastAsia" w:ascii="Calibri" w:hAnsi="宋体"/>
                <w:color w:val="000000" w:themeColor="text1"/>
                <w:position w:val="-10"/>
                <w:szCs w:val="21"/>
                <w14:textFill>
                  <w14:solidFill>
                    <w14:schemeClr w14:val="tx1"/>
                  </w14:solidFill>
                </w14:textFill>
              </w:rPr>
              <w:object>
                <v:shape id="_x0000_i1070" o:spt="75" type="#_x0000_t75" style="height:16.9pt;width:72pt;" o:ole="t" filled="f" o:preferrelative="t" stroked="f" coordsize="21600,21600">
                  <v:path/>
                  <v:fill on="f" focussize="0,0"/>
                  <v:stroke on="f" joinstyle="miter"/>
                  <v:imagedata r:id="rId105" o:title=""/>
                  <o:lock v:ext="edit" aspectratio="t"/>
                  <w10:wrap type="none"/>
                  <w10:anchorlock/>
                </v:shape>
                <o:OLEObject Type="Embed" ProgID="Equation.3" ShapeID="_x0000_i1070" DrawAspect="Content" ObjectID="_1468075770" r:id="rId104">
                  <o:LockedField>false</o:LockedField>
                </o:OLEObject>
              </w:object>
            </w:r>
          </w:p>
        </w:tc>
      </w:tr>
    </w:tbl>
    <w:p>
      <w:pPr>
        <w:adjustRightInd w:val="0"/>
        <w:snapToGrid w:val="0"/>
        <w:spacing w:line="360" w:lineRule="auto"/>
        <w:ind w:firstLine="420" w:firstLineChars="200"/>
        <w:rPr>
          <w:color w:val="000000" w:themeColor="text1"/>
          <w:szCs w:val="21"/>
          <w14:textFill>
            <w14:solidFill>
              <w14:schemeClr w14:val="tx1"/>
            </w14:solidFill>
          </w14:textFill>
        </w:rPr>
      </w:pP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15.4.3 </w:t>
      </w:r>
      <w:r>
        <w:rPr>
          <w:rFonts w:hint="eastAsia" w:hAnsi="宋体"/>
          <w:color w:val="000000" w:themeColor="text1"/>
          <w:szCs w:val="21"/>
          <w14:textFill>
            <w14:solidFill>
              <w14:schemeClr w14:val="tx1"/>
            </w14:solidFill>
          </w14:textFill>
        </w:rPr>
        <w:t>沉降监测的技术指标应符合表</w:t>
      </w:r>
      <w:r>
        <w:rPr>
          <w:rFonts w:hint="eastAsia" w:hAnsi="宋体"/>
          <w:b/>
          <w:bCs/>
          <w:color w:val="000000" w:themeColor="text1"/>
          <w:szCs w:val="21"/>
          <w14:textFill>
            <w14:solidFill>
              <w14:schemeClr w14:val="tx1"/>
            </w14:solidFill>
          </w14:textFill>
        </w:rPr>
        <w:t>15.4.3</w:t>
      </w:r>
      <w:r>
        <w:rPr>
          <w:rFonts w:hint="eastAsia" w:hAnsi="宋体"/>
          <w:color w:val="000000" w:themeColor="text1"/>
          <w:szCs w:val="21"/>
          <w14:textFill>
            <w14:solidFill>
              <w14:schemeClr w14:val="tx1"/>
            </w14:solidFill>
          </w14:textFill>
        </w:rPr>
        <w:t>的规定。</w:t>
      </w:r>
    </w:p>
    <w:p>
      <w:pPr>
        <w:spacing w:line="360" w:lineRule="auto"/>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表</w:t>
      </w:r>
      <w:r>
        <w:rPr>
          <w:rFonts w:hint="eastAsia" w:hAnsi="宋体"/>
          <w:b/>
          <w:bCs/>
          <w:color w:val="000000" w:themeColor="text1"/>
          <w:szCs w:val="21"/>
          <w14:textFill>
            <w14:solidFill>
              <w14:schemeClr w14:val="tx1"/>
            </w14:solidFill>
          </w14:textFill>
        </w:rPr>
        <w:t xml:space="preserve">15.4.3 </w:t>
      </w:r>
      <w:r>
        <w:rPr>
          <w:color w:val="000000" w:themeColor="text1"/>
          <w:szCs w:val="21"/>
          <w14:textFill>
            <w14:solidFill>
              <w14:schemeClr w14:val="tx1"/>
            </w14:solidFill>
          </w14:textFill>
        </w:rPr>
        <w:t xml:space="preserve"> </w:t>
      </w:r>
      <w:r>
        <w:rPr>
          <w:rFonts w:hint="eastAsia"/>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沉降监测的技术指标和测量方法</w:t>
      </w:r>
    </w:p>
    <w:tbl>
      <w:tblPr>
        <w:tblStyle w:val="12"/>
        <w:tblW w:w="841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6"/>
        <w:gridCol w:w="1080"/>
        <w:gridCol w:w="1220"/>
        <w:gridCol w:w="1710"/>
        <w:gridCol w:w="39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9" w:hRule="atLeast"/>
        </w:trPr>
        <w:tc>
          <w:tcPr>
            <w:tcW w:w="456" w:type="dxa"/>
            <w:vAlign w:val="center"/>
          </w:tcPr>
          <w:p>
            <w:pPr>
              <w:adjustRightInd w:val="0"/>
              <w:snapToGrid w:val="0"/>
              <w:jc w:val="center"/>
              <w:rPr>
                <w:rFonts w:ascii="Calibri" w:hAnsi="Calibri"/>
                <w:color w:val="000000" w:themeColor="text1"/>
                <w:szCs w:val="21"/>
                <w14:textFill>
                  <w14:solidFill>
                    <w14:schemeClr w14:val="tx1"/>
                  </w14:solidFill>
                </w14:textFill>
              </w:rPr>
            </w:pPr>
            <w:r>
              <w:rPr>
                <w:rFonts w:ascii="Calibri" w:hAnsi="宋体"/>
                <w:color w:val="000000" w:themeColor="text1"/>
                <w:szCs w:val="21"/>
                <w14:textFill>
                  <w14:solidFill>
                    <w14:schemeClr w14:val="tx1"/>
                  </w14:solidFill>
                </w14:textFill>
              </w:rPr>
              <w:t>等级</w:t>
            </w:r>
          </w:p>
        </w:tc>
        <w:tc>
          <w:tcPr>
            <w:tcW w:w="1080" w:type="dxa"/>
            <w:vAlign w:val="center"/>
          </w:tcPr>
          <w:p>
            <w:pPr>
              <w:adjustRightInd w:val="0"/>
              <w:snapToGrid w:val="0"/>
              <w:jc w:val="center"/>
              <w:rPr>
                <w:rFonts w:ascii="Calibri" w:hAnsi="Calibri"/>
                <w:color w:val="000000" w:themeColor="text1"/>
                <w:szCs w:val="21"/>
                <w14:textFill>
                  <w14:solidFill>
                    <w14:schemeClr w14:val="tx1"/>
                  </w14:solidFill>
                </w14:textFill>
              </w:rPr>
            </w:pPr>
            <w:r>
              <w:rPr>
                <w:rFonts w:ascii="Calibri" w:hAnsi="宋体"/>
                <w:color w:val="000000" w:themeColor="text1"/>
                <w:szCs w:val="21"/>
                <w14:textFill>
                  <w14:solidFill>
                    <w14:schemeClr w14:val="tx1"/>
                  </w14:solidFill>
                </w14:textFill>
              </w:rPr>
              <w:t>高程中误差</w:t>
            </w:r>
            <w:r>
              <w:rPr>
                <w:rFonts w:hAnsi="宋体"/>
                <w:color w:val="000000" w:themeColor="text1"/>
                <w:szCs w:val="21"/>
                <w14:textFill>
                  <w14:solidFill>
                    <w14:schemeClr w14:val="tx1"/>
                  </w14:solidFill>
                </w14:textFill>
              </w:rPr>
              <w:t>（</w:t>
            </w:r>
            <w:r>
              <w:rPr>
                <w:color w:val="000000" w:themeColor="text1"/>
                <w:szCs w:val="21"/>
                <w14:textFill>
                  <w14:solidFill>
                    <w14:schemeClr w14:val="tx1"/>
                  </w14:solidFill>
                </w14:textFill>
              </w:rPr>
              <w:t>mm</w:t>
            </w:r>
            <w:r>
              <w:rPr>
                <w:rFonts w:hAnsi="宋体"/>
                <w:color w:val="000000" w:themeColor="text1"/>
                <w:szCs w:val="21"/>
                <w14:textFill>
                  <w14:solidFill>
                    <w14:schemeClr w14:val="tx1"/>
                  </w14:solidFill>
                </w14:textFill>
              </w:rPr>
              <w:t>）</w:t>
            </w:r>
          </w:p>
        </w:tc>
        <w:tc>
          <w:tcPr>
            <w:tcW w:w="1220" w:type="dxa"/>
            <w:vAlign w:val="center"/>
          </w:tcPr>
          <w:p>
            <w:pPr>
              <w:adjustRightInd w:val="0"/>
              <w:snapToGrid w:val="0"/>
              <w:jc w:val="center"/>
              <w:rPr>
                <w:rFonts w:ascii="Calibri" w:hAnsi="Calibri"/>
                <w:color w:val="000000" w:themeColor="text1"/>
                <w:szCs w:val="21"/>
                <w14:textFill>
                  <w14:solidFill>
                    <w14:schemeClr w14:val="tx1"/>
                  </w14:solidFill>
                </w14:textFill>
              </w:rPr>
            </w:pPr>
            <w:r>
              <w:rPr>
                <w:rFonts w:ascii="Calibri" w:hAnsi="宋体"/>
                <w:color w:val="000000" w:themeColor="text1"/>
                <w:szCs w:val="21"/>
                <w14:textFill>
                  <w14:solidFill>
                    <w14:schemeClr w14:val="tx1"/>
                  </w14:solidFill>
                </w14:textFill>
              </w:rPr>
              <w:t>相邻点高差中误差</w:t>
            </w:r>
            <w:r>
              <w:rPr>
                <w:rFonts w:hAnsi="宋体"/>
                <w:color w:val="000000" w:themeColor="text1"/>
                <w:szCs w:val="21"/>
                <w14:textFill>
                  <w14:solidFill>
                    <w14:schemeClr w14:val="tx1"/>
                  </w14:solidFill>
                </w14:textFill>
              </w:rPr>
              <w:t>（</w:t>
            </w:r>
            <w:r>
              <w:rPr>
                <w:color w:val="000000" w:themeColor="text1"/>
                <w:szCs w:val="21"/>
                <w14:textFill>
                  <w14:solidFill>
                    <w14:schemeClr w14:val="tx1"/>
                  </w14:solidFill>
                </w14:textFill>
              </w:rPr>
              <w:t>mm</w:t>
            </w:r>
            <w:r>
              <w:rPr>
                <w:rFonts w:hAnsi="宋体"/>
                <w:color w:val="000000" w:themeColor="text1"/>
                <w:szCs w:val="21"/>
                <w14:textFill>
                  <w14:solidFill>
                    <w14:schemeClr w14:val="tx1"/>
                  </w14:solidFill>
                </w14:textFill>
              </w:rPr>
              <w:t>）</w:t>
            </w:r>
          </w:p>
        </w:tc>
        <w:tc>
          <w:tcPr>
            <w:tcW w:w="1710" w:type="dxa"/>
            <w:vAlign w:val="center"/>
          </w:tcPr>
          <w:p>
            <w:pPr>
              <w:adjustRightInd w:val="0"/>
              <w:snapToGrid w:val="0"/>
              <w:jc w:val="center"/>
              <w:rPr>
                <w:rFonts w:ascii="Calibri" w:hAnsi="Calibri"/>
                <w:color w:val="000000" w:themeColor="text1"/>
                <w:szCs w:val="21"/>
                <w14:textFill>
                  <w14:solidFill>
                    <w14:schemeClr w14:val="tx1"/>
                  </w14:solidFill>
                </w14:textFill>
              </w:rPr>
            </w:pPr>
            <w:r>
              <w:rPr>
                <w:rFonts w:ascii="Calibri" w:hAnsi="宋体"/>
                <w:color w:val="000000" w:themeColor="text1"/>
                <w:szCs w:val="21"/>
                <w14:textFill>
                  <w14:solidFill>
                    <w14:schemeClr w14:val="tx1"/>
                  </w14:solidFill>
                </w14:textFill>
              </w:rPr>
              <w:t>往返较差</w:t>
            </w:r>
            <w:r>
              <w:rPr>
                <w:rFonts w:hint="eastAsia" w:ascii="Calibri" w:hAnsi="宋体"/>
                <w:color w:val="000000" w:themeColor="text1"/>
                <w:szCs w:val="21"/>
                <w14:textFill>
                  <w14:solidFill>
                    <w14:schemeClr w14:val="tx1"/>
                  </w14:solidFill>
                </w14:textFill>
              </w:rPr>
              <w:t>、</w:t>
            </w:r>
            <w:r>
              <w:rPr>
                <w:rFonts w:ascii="Calibri" w:hAnsi="宋体"/>
                <w:color w:val="000000" w:themeColor="text1"/>
                <w:szCs w:val="21"/>
                <w14:textFill>
                  <w14:solidFill>
                    <w14:schemeClr w14:val="tx1"/>
                  </w14:solidFill>
                </w14:textFill>
              </w:rPr>
              <w:t>附合或环线闭合差</w:t>
            </w:r>
            <w:r>
              <w:rPr>
                <w:rFonts w:hAnsi="宋体"/>
                <w:color w:val="000000" w:themeColor="text1"/>
                <w:szCs w:val="21"/>
                <w14:textFill>
                  <w14:solidFill>
                    <w14:schemeClr w14:val="tx1"/>
                  </w14:solidFill>
                </w14:textFill>
              </w:rPr>
              <w:t>（</w:t>
            </w:r>
            <w:r>
              <w:rPr>
                <w:color w:val="000000" w:themeColor="text1"/>
                <w:szCs w:val="21"/>
                <w14:textFill>
                  <w14:solidFill>
                    <w14:schemeClr w14:val="tx1"/>
                  </w14:solidFill>
                </w14:textFill>
              </w:rPr>
              <w:t>mm</w:t>
            </w:r>
            <w:r>
              <w:rPr>
                <w:rFonts w:hAnsi="宋体"/>
                <w:color w:val="000000" w:themeColor="text1"/>
                <w:szCs w:val="21"/>
                <w14:textFill>
                  <w14:solidFill>
                    <w14:schemeClr w14:val="tx1"/>
                  </w14:solidFill>
                </w14:textFill>
              </w:rPr>
              <w:t>）</w:t>
            </w:r>
          </w:p>
        </w:tc>
        <w:tc>
          <w:tcPr>
            <w:tcW w:w="3948" w:type="dxa"/>
            <w:vAlign w:val="center"/>
          </w:tcPr>
          <w:p>
            <w:pPr>
              <w:adjustRightInd w:val="0"/>
              <w:snapToGrid w:val="0"/>
              <w:jc w:val="center"/>
              <w:rPr>
                <w:rFonts w:ascii="Calibri" w:hAnsi="Calibri"/>
                <w:color w:val="000000" w:themeColor="text1"/>
                <w:szCs w:val="21"/>
                <w14:textFill>
                  <w14:solidFill>
                    <w14:schemeClr w14:val="tx1"/>
                  </w14:solidFill>
                </w14:textFill>
              </w:rPr>
            </w:pPr>
            <w:r>
              <w:rPr>
                <w:rFonts w:ascii="Calibri" w:hAnsi="宋体"/>
                <w:color w:val="000000" w:themeColor="text1"/>
                <w:szCs w:val="21"/>
                <w14:textFill>
                  <w14:solidFill>
                    <w14:schemeClr w14:val="tx1"/>
                  </w14:solidFill>
                </w14:textFill>
              </w:rPr>
              <w:t>监测方法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trPr>
        <w:tc>
          <w:tcPr>
            <w:tcW w:w="456"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Ⅰ</w:t>
            </w:r>
          </w:p>
        </w:tc>
        <w:tc>
          <w:tcPr>
            <w:tcW w:w="1080"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±0.3</w:t>
            </w:r>
          </w:p>
        </w:tc>
        <w:tc>
          <w:tcPr>
            <w:tcW w:w="1220"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±0.1</w:t>
            </w:r>
          </w:p>
        </w:tc>
        <w:tc>
          <w:tcPr>
            <w:tcW w:w="1710"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0.15</w:t>
            </w:r>
          </w:p>
        </w:tc>
        <w:tc>
          <w:tcPr>
            <w:tcW w:w="3948" w:type="dxa"/>
            <w:vAlign w:val="center"/>
          </w:tcPr>
          <w:p>
            <w:pPr>
              <w:adjustRightInd w:val="0"/>
              <w:snapToGrid w:val="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按国家一等水准测量技术要求作业，其观测限差宜按上述规定的1/2要求。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trPr>
        <w:tc>
          <w:tcPr>
            <w:tcW w:w="456"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Ⅱ</w:t>
            </w:r>
          </w:p>
        </w:tc>
        <w:tc>
          <w:tcPr>
            <w:tcW w:w="1080"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±0.5</w:t>
            </w:r>
          </w:p>
        </w:tc>
        <w:tc>
          <w:tcPr>
            <w:tcW w:w="1220"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±0.3</w:t>
            </w:r>
          </w:p>
        </w:tc>
        <w:tc>
          <w:tcPr>
            <w:tcW w:w="1710"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0.30</w:t>
            </w:r>
          </w:p>
        </w:tc>
        <w:tc>
          <w:tcPr>
            <w:tcW w:w="3948" w:type="dxa"/>
            <w:vAlign w:val="center"/>
          </w:tcPr>
          <w:p>
            <w:pPr>
              <w:adjustRightInd w:val="0"/>
              <w:snapToGrid w:val="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按国家一等水准测量技术要求作业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trPr>
        <w:tc>
          <w:tcPr>
            <w:tcW w:w="456"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Ⅲ</w:t>
            </w:r>
          </w:p>
        </w:tc>
        <w:tc>
          <w:tcPr>
            <w:tcW w:w="1080"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±1.0</w:t>
            </w:r>
          </w:p>
        </w:tc>
        <w:tc>
          <w:tcPr>
            <w:tcW w:w="1220"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±0.5</w:t>
            </w:r>
          </w:p>
        </w:tc>
        <w:tc>
          <w:tcPr>
            <w:tcW w:w="1710" w:type="dxa"/>
            <w:vAlign w:val="center"/>
          </w:tcPr>
          <w:p>
            <w:pPr>
              <w:adjustRightInd w:val="0"/>
              <w:snapToGrid w:val="0"/>
              <w:jc w:val="center"/>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0.60</w:t>
            </w:r>
          </w:p>
        </w:tc>
        <w:tc>
          <w:tcPr>
            <w:tcW w:w="3948" w:type="dxa"/>
            <w:vAlign w:val="center"/>
          </w:tcPr>
          <w:p>
            <w:pPr>
              <w:adjustRightInd w:val="0"/>
              <w:snapToGrid w:val="0"/>
              <w:rPr>
                <w:rFonts w:ascii="宋体" w:hAnsi="宋体" w:cs="宋体"/>
                <w:color w:val="000000" w:themeColor="text1"/>
                <w:szCs w:val="21"/>
                <w14:textFill>
                  <w14:solidFill>
                    <w14:schemeClr w14:val="tx1"/>
                  </w14:solidFill>
                </w14:textFill>
              </w:rPr>
            </w:pPr>
            <w:r>
              <w:rPr>
                <w:rFonts w:hint="eastAsia" w:ascii="宋体" w:hAnsi="宋体" w:cs="宋体"/>
                <w:color w:val="000000" w:themeColor="text1"/>
                <w:szCs w:val="21"/>
                <w14:textFill>
                  <w14:solidFill>
                    <w14:schemeClr w14:val="tx1"/>
                  </w14:solidFill>
                </w14:textFill>
              </w:rPr>
              <w:t>按国家二等水准测量技术要求作业</w:t>
            </w:r>
          </w:p>
        </w:tc>
      </w:tr>
    </w:tbl>
    <w:p>
      <w:pPr>
        <w:adjustRightInd w:val="0"/>
        <w:snapToGrid w:val="0"/>
        <w:spacing w:line="360" w:lineRule="auto"/>
        <w:ind w:firstLine="420" w:firstLineChars="200"/>
        <w:rPr>
          <w:rFonts w:hAnsi="宋体"/>
          <w:color w:val="000000" w:themeColor="text1"/>
          <w:szCs w:val="21"/>
          <w14:textFill>
            <w14:solidFill>
              <w14:schemeClr w14:val="tx1"/>
            </w14:solidFill>
          </w14:textFill>
        </w:rPr>
      </w:pP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15.4.4 </w:t>
      </w:r>
      <w:r>
        <w:rPr>
          <w:rFonts w:hint="eastAsia" w:hAnsi="宋体"/>
          <w:color w:val="000000" w:themeColor="text1"/>
          <w:szCs w:val="21"/>
          <w14:textFill>
            <w14:solidFill>
              <w14:schemeClr w14:val="tx1"/>
            </w14:solidFill>
          </w14:textFill>
        </w:rPr>
        <w:t>使用物理仪器进行变形监测，选用的仪器精度不应低于进行同等变形监测的大地测量仪器精度，变形监测的测量精度不应低于本规程表</w:t>
      </w:r>
      <w:r>
        <w:rPr>
          <w:rFonts w:hint="eastAsia" w:hAnsi="宋体"/>
          <w:b/>
          <w:bCs/>
          <w:color w:val="000000" w:themeColor="text1"/>
          <w:szCs w:val="21"/>
          <w14:textFill>
            <w14:solidFill>
              <w14:schemeClr w14:val="tx1"/>
            </w14:solidFill>
          </w14:textFill>
        </w:rPr>
        <w:t>15.4.2</w:t>
      </w:r>
      <w:r>
        <w:rPr>
          <w:rFonts w:hint="eastAsia" w:hAnsi="宋体"/>
          <w:color w:val="000000" w:themeColor="text1"/>
          <w:szCs w:val="21"/>
          <w14:textFill>
            <w14:solidFill>
              <w14:schemeClr w14:val="tx1"/>
            </w14:solidFill>
          </w14:textFill>
        </w:rPr>
        <w:t>、表</w:t>
      </w:r>
      <w:r>
        <w:rPr>
          <w:rFonts w:hint="eastAsia" w:hAnsi="宋体"/>
          <w:b/>
          <w:bCs/>
          <w:color w:val="000000" w:themeColor="text1"/>
          <w:szCs w:val="21"/>
          <w14:textFill>
            <w14:solidFill>
              <w14:schemeClr w14:val="tx1"/>
            </w14:solidFill>
          </w14:textFill>
        </w:rPr>
        <w:t>15.4.3</w:t>
      </w:r>
      <w:r>
        <w:rPr>
          <w:rFonts w:hint="eastAsia" w:hAnsi="宋体"/>
          <w:color w:val="000000" w:themeColor="text1"/>
          <w:szCs w:val="21"/>
          <w14:textFill>
            <w14:solidFill>
              <w14:schemeClr w14:val="tx1"/>
            </w14:solidFill>
          </w14:textFill>
        </w:rPr>
        <w:t>的规定。</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15.4.5 </w:t>
      </w:r>
      <w:r>
        <w:rPr>
          <w:rFonts w:hint="eastAsia" w:hAnsi="宋体"/>
          <w:color w:val="000000" w:themeColor="text1"/>
          <w:szCs w:val="21"/>
          <w14:textFill>
            <w14:solidFill>
              <w14:schemeClr w14:val="tx1"/>
            </w14:solidFill>
          </w14:textFill>
        </w:rPr>
        <w:t>地下、地上应同步进行变形测量和施工监控量测。</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15.4.6 </w:t>
      </w:r>
      <w:r>
        <w:rPr>
          <w:rFonts w:hint="eastAsia" w:hAnsi="宋体"/>
          <w:color w:val="000000" w:themeColor="text1"/>
          <w:szCs w:val="21"/>
          <w14:textFill>
            <w14:solidFill>
              <w14:schemeClr w14:val="tx1"/>
            </w14:solidFill>
          </w14:textFill>
        </w:rPr>
        <w:t>对每单元变形体进行监测时应采用相同的观测路线和观测方法，使用同一仪器和设备，并固定观测人员。</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15.4.7 </w:t>
      </w:r>
      <w:r>
        <w:rPr>
          <w:rFonts w:hint="eastAsia" w:hAnsi="宋体"/>
          <w:color w:val="000000" w:themeColor="text1"/>
          <w:szCs w:val="21"/>
          <w14:textFill>
            <w14:solidFill>
              <w14:schemeClr w14:val="tx1"/>
            </w14:solidFill>
          </w14:textFill>
        </w:rPr>
        <w:t>首次监测时应进行重复测量，取平均值作为初始值。中间监测值出现异常应及时复测。</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15.4.8 </w:t>
      </w:r>
      <w:r>
        <w:rPr>
          <w:rFonts w:hint="eastAsia" w:hAnsi="宋体"/>
          <w:color w:val="000000" w:themeColor="text1"/>
          <w:szCs w:val="21"/>
          <w14:textFill>
            <w14:solidFill>
              <w14:schemeClr w14:val="tx1"/>
            </w14:solidFill>
          </w14:textFill>
        </w:rPr>
        <w:t>垂直位移监测的方法宜采用精密水准测量或静力水准测量方法。</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15.4.9 </w:t>
      </w:r>
      <w:r>
        <w:rPr>
          <w:rFonts w:hint="eastAsia" w:hAnsi="宋体"/>
          <w:color w:val="000000" w:themeColor="text1"/>
          <w:szCs w:val="21"/>
          <w14:textFill>
            <w14:solidFill>
              <w14:schemeClr w14:val="tx1"/>
            </w14:solidFill>
          </w14:textFill>
        </w:rPr>
        <w:t>围岩内部变形、围岩压力、支护和衬砌应力、锚杆轴力、内力量测等，可选用收敛计、位移计、测斜仪、压力盒、应变片、锚杆测力计和应力计等物理仪器进行。</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15.4.10 </w:t>
      </w:r>
      <w:r>
        <w:rPr>
          <w:rFonts w:hint="eastAsia" w:hAnsi="宋体"/>
          <w:color w:val="000000" w:themeColor="text1"/>
          <w:szCs w:val="21"/>
          <w14:textFill>
            <w14:solidFill>
              <w14:schemeClr w14:val="tx1"/>
            </w14:solidFill>
          </w14:textFill>
        </w:rPr>
        <w:t>变形监测应从施工前开始，直至结构变形稳定终止。变形监测中应符合下列规定：</w:t>
      </w:r>
    </w:p>
    <w:p>
      <w:pPr>
        <w:adjustRightInd w:val="0"/>
        <w:snapToGrid w:val="0"/>
        <w:spacing w:line="360" w:lineRule="auto"/>
        <w:ind w:firstLine="422" w:firstLineChars="200"/>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Ansi="宋体"/>
          <w:color w:val="000000" w:themeColor="text1"/>
          <w:szCs w:val="21"/>
          <w14:textFill>
            <w14:solidFill>
              <w14:schemeClr w14:val="tx1"/>
            </w14:solidFill>
          </w14:textFill>
        </w:rPr>
        <w:t>监测前应对施工现场工程岩土变化和支护工程的状况进行</w:t>
      </w:r>
      <w:r>
        <w:rPr>
          <w:rFonts w:hint="eastAsia" w:hAnsi="宋体"/>
          <w:color w:val="000000" w:themeColor="text1"/>
          <w:szCs w:val="21"/>
          <w14:textFill>
            <w14:solidFill>
              <w14:schemeClr w14:val="tx1"/>
            </w14:solidFill>
          </w14:textFill>
        </w:rPr>
        <w:t>观察、</w:t>
      </w:r>
      <w:r>
        <w:rPr>
          <w:rFonts w:hAnsi="宋体"/>
          <w:color w:val="000000" w:themeColor="text1"/>
          <w:szCs w:val="21"/>
          <w14:textFill>
            <w14:solidFill>
              <w14:schemeClr w14:val="tx1"/>
            </w14:solidFill>
          </w14:textFill>
        </w:rPr>
        <w:t>记录</w:t>
      </w:r>
      <w:r>
        <w:rPr>
          <w:rFonts w:hint="eastAsia" w:hAnsi="宋体"/>
          <w:color w:val="000000" w:themeColor="text1"/>
          <w:szCs w:val="21"/>
          <w14:textFill>
            <w14:solidFill>
              <w14:schemeClr w14:val="tx1"/>
            </w14:solidFill>
          </w14:textFill>
        </w:rPr>
        <w:t>；</w:t>
      </w:r>
    </w:p>
    <w:p>
      <w:pPr>
        <w:adjustRightInd w:val="0"/>
        <w:snapToGrid w:val="0"/>
        <w:spacing w:line="360" w:lineRule="auto"/>
        <w:ind w:firstLine="422" w:firstLineChars="200"/>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hAnsi="宋体"/>
          <w:color w:val="000000" w:themeColor="text1"/>
          <w:szCs w:val="21"/>
          <w14:textFill>
            <w14:solidFill>
              <w14:schemeClr w14:val="tx1"/>
            </w14:solidFill>
          </w14:textFill>
        </w:rPr>
        <w:t>分</w:t>
      </w:r>
      <w:r>
        <w:rPr>
          <w:rFonts w:hAnsi="宋体"/>
          <w:color w:val="000000" w:themeColor="text1"/>
          <w:szCs w:val="21"/>
          <w14:textFill>
            <w14:solidFill>
              <w14:schemeClr w14:val="tx1"/>
            </w14:solidFill>
          </w14:textFill>
        </w:rPr>
        <w:t>步施工时，每步应有完整的连续观测数据</w:t>
      </w:r>
      <w:r>
        <w:rPr>
          <w:rFonts w:hint="eastAsia" w:hAnsi="宋体"/>
          <w:color w:val="000000" w:themeColor="text1"/>
          <w:szCs w:val="21"/>
          <w14:textFill>
            <w14:solidFill>
              <w14:schemeClr w14:val="tx1"/>
            </w14:solidFill>
          </w14:textFill>
        </w:rPr>
        <w:t>；</w:t>
      </w:r>
    </w:p>
    <w:p>
      <w:pPr>
        <w:adjustRightInd w:val="0"/>
        <w:snapToGrid w:val="0"/>
        <w:spacing w:line="360" w:lineRule="auto"/>
        <w:ind w:firstLine="422" w:firstLineChars="200"/>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color w:val="000000" w:themeColor="text1"/>
          <w:szCs w:val="21"/>
          <w14:textFill>
            <w14:solidFill>
              <w14:schemeClr w14:val="tx1"/>
            </w14:solidFill>
          </w14:textFill>
        </w:rPr>
        <w:t xml:space="preserve"> </w:t>
      </w:r>
      <w:r>
        <w:rPr>
          <w:rFonts w:hAnsi="宋体"/>
          <w:color w:val="000000" w:themeColor="text1"/>
          <w:szCs w:val="21"/>
          <w14:textFill>
            <w14:solidFill>
              <w14:schemeClr w14:val="tx1"/>
            </w14:solidFill>
          </w14:textFill>
        </w:rPr>
        <w:t>雨后、冻融、</w:t>
      </w:r>
      <w:r>
        <w:rPr>
          <w:rFonts w:hint="eastAsia" w:hAnsi="宋体"/>
          <w:color w:val="000000" w:themeColor="text1"/>
          <w:szCs w:val="21"/>
          <w14:textFill>
            <w14:solidFill>
              <w14:schemeClr w14:val="tx1"/>
            </w14:solidFill>
          </w14:textFill>
        </w:rPr>
        <w:t>振动</w:t>
      </w:r>
      <w:r>
        <w:rPr>
          <w:rFonts w:hAnsi="宋体"/>
          <w:color w:val="000000" w:themeColor="text1"/>
          <w:szCs w:val="21"/>
          <w14:textFill>
            <w14:solidFill>
              <w14:schemeClr w14:val="tx1"/>
            </w14:solidFill>
          </w14:textFill>
        </w:rPr>
        <w:t>等对变形体产生显著影响时应增加观测频率</w:t>
      </w:r>
      <w:r>
        <w:rPr>
          <w:rFonts w:hint="eastAsia" w:hAnsi="宋体"/>
          <w:color w:val="000000" w:themeColor="text1"/>
          <w:szCs w:val="21"/>
          <w14:textFill>
            <w14:solidFill>
              <w14:schemeClr w14:val="tx1"/>
            </w14:solidFill>
          </w14:textFill>
        </w:rPr>
        <w:t>；</w:t>
      </w:r>
    </w:p>
    <w:p>
      <w:pPr>
        <w:adjustRightInd w:val="0"/>
        <w:snapToGrid w:val="0"/>
        <w:spacing w:line="360" w:lineRule="auto"/>
        <w:ind w:firstLine="422" w:firstLineChars="200"/>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4</w:t>
      </w:r>
      <w:r>
        <w:rPr>
          <w:rFonts w:hint="eastAsia"/>
          <w:color w:val="000000" w:themeColor="text1"/>
          <w:szCs w:val="21"/>
          <w14:textFill>
            <w14:solidFill>
              <w14:schemeClr w14:val="tx1"/>
            </w14:solidFill>
          </w14:textFill>
        </w:rPr>
        <w:t xml:space="preserve"> </w:t>
      </w:r>
      <w:r>
        <w:rPr>
          <w:rFonts w:hAnsi="宋体"/>
          <w:color w:val="000000" w:themeColor="text1"/>
          <w:szCs w:val="21"/>
          <w14:textFill>
            <w14:solidFill>
              <w14:schemeClr w14:val="tx1"/>
            </w14:solidFill>
          </w14:textFill>
        </w:rPr>
        <w:t>根据变形体的变形趋势，变形体趋于稳定期间可</w:t>
      </w:r>
      <w:r>
        <w:rPr>
          <w:rFonts w:hint="eastAsia" w:hAnsi="宋体"/>
          <w:color w:val="000000" w:themeColor="text1"/>
          <w:szCs w:val="21"/>
          <w14:textFill>
            <w14:solidFill>
              <w14:schemeClr w14:val="tx1"/>
            </w14:solidFill>
          </w14:textFill>
        </w:rPr>
        <w:t>减少</w:t>
      </w:r>
      <w:r>
        <w:rPr>
          <w:rFonts w:hAnsi="宋体"/>
          <w:color w:val="000000" w:themeColor="text1"/>
          <w:szCs w:val="21"/>
          <w14:textFill>
            <w14:solidFill>
              <w14:schemeClr w14:val="tx1"/>
            </w14:solidFill>
          </w14:textFill>
        </w:rPr>
        <w:t>监测频率，急剧变动期间应</w:t>
      </w:r>
      <w:r>
        <w:rPr>
          <w:rFonts w:hint="eastAsia" w:hAnsi="宋体"/>
          <w:color w:val="000000" w:themeColor="text1"/>
          <w:szCs w:val="21"/>
          <w14:textFill>
            <w14:solidFill>
              <w14:schemeClr w14:val="tx1"/>
            </w14:solidFill>
          </w14:textFill>
        </w:rPr>
        <w:t>增加</w:t>
      </w:r>
      <w:r>
        <w:rPr>
          <w:rFonts w:hAnsi="宋体"/>
          <w:color w:val="000000" w:themeColor="text1"/>
          <w:szCs w:val="21"/>
          <w14:textFill>
            <w14:solidFill>
              <w14:schemeClr w14:val="tx1"/>
            </w14:solidFill>
          </w14:textFill>
        </w:rPr>
        <w:t>观测频率。</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15.4.11 </w:t>
      </w:r>
      <w:r>
        <w:rPr>
          <w:rFonts w:hint="eastAsia" w:hAnsi="宋体"/>
          <w:color w:val="000000" w:themeColor="text1"/>
          <w:szCs w:val="21"/>
          <w14:textFill>
            <w14:solidFill>
              <w14:schemeClr w14:val="tx1"/>
            </w14:solidFill>
          </w14:textFill>
        </w:rPr>
        <w:t>隧道内监测点应在土方开挖的同时埋设。初始监测值应在开挖后12h内采集。观测点断面应测注线路里程（或坐标）和高程。</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15.4.12 </w:t>
      </w:r>
      <w:r>
        <w:rPr>
          <w:rFonts w:hint="eastAsia" w:hAnsi="宋体"/>
          <w:color w:val="000000" w:themeColor="text1"/>
          <w:szCs w:val="21"/>
          <w14:textFill>
            <w14:solidFill>
              <w14:schemeClr w14:val="tx1"/>
            </w14:solidFill>
          </w14:textFill>
        </w:rPr>
        <w:t>拱顶下沉和净空收敛等项目应在同一断面内进行，断面间距宜为10m</w:t>
      </w:r>
      <w:r>
        <w:rPr>
          <w:rFonts w:hint="eastAsia" w:ascii="宋体" w:hAnsi="宋体" w:cs="宋体"/>
          <w:color w:val="000000" w:themeColor="text1"/>
          <w:szCs w:val="21"/>
          <w14:textFill>
            <w14:solidFill>
              <w14:schemeClr w14:val="tx1"/>
            </w14:solidFill>
          </w14:textFill>
        </w:rPr>
        <w:t>～</w:t>
      </w:r>
      <w:r>
        <w:rPr>
          <w:rFonts w:hint="eastAsia" w:hAnsi="宋体"/>
          <w:color w:val="000000" w:themeColor="text1"/>
          <w:szCs w:val="21"/>
          <w14:textFill>
            <w14:solidFill>
              <w14:schemeClr w14:val="tx1"/>
            </w14:solidFill>
          </w14:textFill>
        </w:rPr>
        <w:t>50m。</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15.4.13 </w:t>
      </w:r>
      <w:r>
        <w:rPr>
          <w:rFonts w:hint="eastAsia" w:hAnsi="宋体"/>
          <w:color w:val="000000" w:themeColor="text1"/>
          <w:szCs w:val="21"/>
          <w14:textFill>
            <w14:solidFill>
              <w14:schemeClr w14:val="tx1"/>
            </w14:solidFill>
          </w14:textFill>
        </w:rPr>
        <w:t>暗挖隧道变形监测项目的测量频率，应根据变形速度、变形量和施工状况确定，并应符合表</w:t>
      </w:r>
      <w:r>
        <w:rPr>
          <w:rFonts w:hint="eastAsia" w:hAnsi="宋体"/>
          <w:b/>
          <w:bCs/>
          <w:color w:val="000000" w:themeColor="text1"/>
          <w:szCs w:val="21"/>
          <w14:textFill>
            <w14:solidFill>
              <w14:schemeClr w14:val="tx1"/>
            </w14:solidFill>
          </w14:textFill>
        </w:rPr>
        <w:t xml:space="preserve">15.4.13 </w:t>
      </w:r>
      <w:r>
        <w:rPr>
          <w:rFonts w:hint="eastAsia" w:hAnsi="宋体"/>
          <w:color w:val="000000" w:themeColor="text1"/>
          <w:szCs w:val="21"/>
          <w14:textFill>
            <w14:solidFill>
              <w14:schemeClr w14:val="tx1"/>
            </w14:solidFill>
          </w14:textFill>
        </w:rPr>
        <w:t>的规定。</w:t>
      </w:r>
    </w:p>
    <w:p>
      <w:pPr>
        <w:spacing w:line="360" w:lineRule="auto"/>
        <w:jc w:val="center"/>
        <w:rPr>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表</w:t>
      </w:r>
      <w:r>
        <w:rPr>
          <w:rFonts w:hint="eastAsia" w:hAnsi="宋体"/>
          <w:b/>
          <w:bCs/>
          <w:color w:val="000000" w:themeColor="text1"/>
          <w:szCs w:val="21"/>
          <w14:textFill>
            <w14:solidFill>
              <w14:schemeClr w14:val="tx1"/>
            </w14:solidFill>
          </w14:textFill>
        </w:rPr>
        <w:t xml:space="preserve">15.4.13  </w:t>
      </w:r>
      <w:r>
        <w:rPr>
          <w:rFonts w:hAnsi="宋体"/>
          <w:color w:val="000000" w:themeColor="text1"/>
          <w:szCs w:val="21"/>
          <w14:textFill>
            <w14:solidFill>
              <w14:schemeClr w14:val="tx1"/>
            </w14:solidFill>
          </w14:textFill>
        </w:rPr>
        <w:t>测量频率</w:t>
      </w:r>
      <w:r>
        <w:rPr>
          <w:rFonts w:hint="eastAsia" w:hAnsi="宋体"/>
          <w:color w:val="000000" w:themeColor="text1"/>
          <w:szCs w:val="21"/>
          <w14:textFill>
            <w14:solidFill>
              <w14:schemeClr w14:val="tx1"/>
            </w14:solidFill>
          </w14:textFill>
        </w:rPr>
        <w:t>表</w:t>
      </w:r>
    </w:p>
    <w:tbl>
      <w:tblPr>
        <w:tblStyle w:val="12"/>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87"/>
        <w:gridCol w:w="3103"/>
        <w:gridCol w:w="26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2787" w:type="dxa"/>
            <w:vAlign w:val="center"/>
          </w:tcPr>
          <w:p>
            <w:pPr>
              <w:spacing w:line="400" w:lineRule="exact"/>
              <w:ind w:firstLine="420" w:firstLineChars="200"/>
              <w:jc w:val="center"/>
              <w:rPr>
                <w:rFonts w:ascii="Calibri" w:hAnsi="Calibri"/>
                <w:color w:val="000000" w:themeColor="text1"/>
                <w:szCs w:val="21"/>
                <w14:textFill>
                  <w14:solidFill>
                    <w14:schemeClr w14:val="tx1"/>
                  </w14:solidFill>
                </w14:textFill>
              </w:rPr>
            </w:pPr>
            <w:r>
              <w:rPr>
                <w:rFonts w:ascii="Calibri" w:hAnsi="宋体"/>
                <w:color w:val="000000" w:themeColor="text1"/>
                <w:szCs w:val="21"/>
                <w14:textFill>
                  <w14:solidFill>
                    <w14:schemeClr w14:val="tx1"/>
                  </w14:solidFill>
                </w14:textFill>
              </w:rPr>
              <w:t>变形</w:t>
            </w:r>
            <w:r>
              <w:rPr>
                <w:rFonts w:hint="eastAsia" w:ascii="Calibri" w:hAnsi="宋体"/>
                <w:color w:val="000000" w:themeColor="text1"/>
                <w:szCs w:val="21"/>
                <w14:textFill>
                  <w14:solidFill>
                    <w14:schemeClr w14:val="tx1"/>
                  </w14:solidFill>
                </w14:textFill>
              </w:rPr>
              <w:t>速率</w:t>
            </w:r>
            <w:r>
              <w:rPr>
                <w:rFonts w:ascii="Calibri" w:hAnsi="宋体"/>
                <w:color w:val="000000" w:themeColor="text1"/>
                <w:szCs w:val="21"/>
                <w14:textFill>
                  <w14:solidFill>
                    <w14:schemeClr w14:val="tx1"/>
                  </w14:solidFill>
                </w14:textFill>
              </w:rPr>
              <w:t>（</w:t>
            </w:r>
            <w:r>
              <w:rPr>
                <w:rFonts w:ascii="Calibri" w:hAnsi="Calibri"/>
                <w:color w:val="000000" w:themeColor="text1"/>
                <w:szCs w:val="21"/>
                <w14:textFill>
                  <w14:solidFill>
                    <w14:schemeClr w14:val="tx1"/>
                  </w14:solidFill>
                </w14:textFill>
              </w:rPr>
              <w:t>mm/d</w:t>
            </w:r>
            <w:r>
              <w:rPr>
                <w:rFonts w:ascii="Calibri" w:hAnsi="宋体"/>
                <w:color w:val="000000" w:themeColor="text1"/>
                <w:szCs w:val="21"/>
                <w14:textFill>
                  <w14:solidFill>
                    <w14:schemeClr w14:val="tx1"/>
                  </w14:solidFill>
                </w14:textFill>
              </w:rPr>
              <w:t>）</w:t>
            </w:r>
          </w:p>
        </w:tc>
        <w:tc>
          <w:tcPr>
            <w:tcW w:w="3103" w:type="dxa"/>
            <w:vAlign w:val="center"/>
          </w:tcPr>
          <w:p>
            <w:pPr>
              <w:spacing w:line="400" w:lineRule="exact"/>
              <w:ind w:firstLine="420" w:firstLineChars="200"/>
              <w:jc w:val="center"/>
              <w:rPr>
                <w:rFonts w:ascii="Calibri" w:hAnsi="Calibri"/>
                <w:color w:val="000000" w:themeColor="text1"/>
                <w:szCs w:val="21"/>
                <w14:textFill>
                  <w14:solidFill>
                    <w14:schemeClr w14:val="tx1"/>
                  </w14:solidFill>
                </w14:textFill>
              </w:rPr>
            </w:pPr>
            <w:r>
              <w:rPr>
                <w:rFonts w:ascii="Calibri" w:hAnsi="宋体"/>
                <w:color w:val="000000" w:themeColor="text1"/>
                <w:szCs w:val="21"/>
                <w14:textFill>
                  <w14:solidFill>
                    <w14:schemeClr w14:val="tx1"/>
                  </w14:solidFill>
                </w14:textFill>
              </w:rPr>
              <w:t>施工状况</w:t>
            </w:r>
          </w:p>
        </w:tc>
        <w:tc>
          <w:tcPr>
            <w:tcW w:w="2632" w:type="dxa"/>
            <w:vAlign w:val="center"/>
          </w:tcPr>
          <w:p>
            <w:pPr>
              <w:spacing w:line="400" w:lineRule="exact"/>
              <w:ind w:firstLine="420" w:firstLineChars="200"/>
              <w:jc w:val="center"/>
              <w:rPr>
                <w:rFonts w:ascii="Calibri" w:hAnsi="Calibri"/>
                <w:color w:val="000000" w:themeColor="text1"/>
                <w:szCs w:val="21"/>
                <w14:textFill>
                  <w14:solidFill>
                    <w14:schemeClr w14:val="tx1"/>
                  </w14:solidFill>
                </w14:textFill>
              </w:rPr>
            </w:pPr>
            <w:r>
              <w:rPr>
                <w:rFonts w:ascii="Calibri" w:hAnsi="宋体"/>
                <w:color w:val="000000" w:themeColor="text1"/>
                <w:szCs w:val="21"/>
                <w14:textFill>
                  <w14:solidFill>
                    <w14:schemeClr w14:val="tx1"/>
                  </w14:solidFill>
                </w14:textFill>
              </w:rPr>
              <w:t>测量频率（次</w:t>
            </w:r>
            <w:r>
              <w:rPr>
                <w:rFonts w:ascii="Calibri" w:hAnsi="Calibri"/>
                <w:color w:val="000000" w:themeColor="text1"/>
                <w:szCs w:val="21"/>
                <w14:textFill>
                  <w14:solidFill>
                    <w14:schemeClr w14:val="tx1"/>
                  </w14:solidFill>
                </w14:textFill>
              </w:rPr>
              <w:t>/</w:t>
            </w:r>
            <w:r>
              <w:rPr>
                <w:rFonts w:ascii="Calibri" w:hAnsi="宋体"/>
                <w:color w:val="000000" w:themeColor="text1"/>
                <w:szCs w:val="21"/>
                <w14:textFill>
                  <w14:solidFill>
                    <w14:schemeClr w14:val="tx1"/>
                  </w14:solidFill>
                </w14:textFill>
              </w:rPr>
              <w:t>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2787" w:type="dxa"/>
            <w:vAlign w:val="center"/>
          </w:tcPr>
          <w:p>
            <w:pPr>
              <w:spacing w:line="400" w:lineRule="exact"/>
              <w:ind w:firstLine="420" w:firstLineChars="200"/>
              <w:jc w:val="center"/>
              <w:rPr>
                <w:rFonts w:ascii="Calibri" w:hAnsi="Calibri"/>
                <w:color w:val="000000" w:themeColor="text1"/>
                <w:szCs w:val="21"/>
                <w14:textFill>
                  <w14:solidFill>
                    <w14:schemeClr w14:val="tx1"/>
                  </w14:solidFill>
                </w14:textFill>
              </w:rPr>
            </w:pPr>
            <w:r>
              <w:rPr>
                <w:rFonts w:ascii="Calibri" w:hAnsi="宋体"/>
                <w:color w:val="000000" w:themeColor="text1"/>
                <w:szCs w:val="21"/>
                <w14:textFill>
                  <w14:solidFill>
                    <w14:schemeClr w14:val="tx1"/>
                  </w14:solidFill>
                </w14:textFill>
              </w:rPr>
              <w:t>＞</w:t>
            </w:r>
            <w:r>
              <w:rPr>
                <w:rFonts w:ascii="Calibri" w:hAnsi="Calibri"/>
                <w:color w:val="000000" w:themeColor="text1"/>
                <w:szCs w:val="21"/>
                <w14:textFill>
                  <w14:solidFill>
                    <w14:schemeClr w14:val="tx1"/>
                  </w14:solidFill>
                </w14:textFill>
              </w:rPr>
              <w:t>10</w:t>
            </w:r>
          </w:p>
        </w:tc>
        <w:tc>
          <w:tcPr>
            <w:tcW w:w="3103" w:type="dxa"/>
            <w:vAlign w:val="center"/>
          </w:tcPr>
          <w:p>
            <w:pPr>
              <w:spacing w:line="400" w:lineRule="exact"/>
              <w:ind w:firstLine="420" w:firstLineChars="200"/>
              <w:jc w:val="center"/>
              <w:rPr>
                <w:rFonts w:ascii="Calibri" w:hAnsi="Calibri"/>
                <w:color w:val="000000" w:themeColor="text1"/>
                <w:szCs w:val="21"/>
                <w14:textFill>
                  <w14:solidFill>
                    <w14:schemeClr w14:val="tx1"/>
                  </w14:solidFill>
                </w14:textFill>
              </w:rPr>
            </w:pPr>
            <w:r>
              <w:rPr>
                <w:rFonts w:ascii="Calibri" w:hAnsi="宋体"/>
                <w:color w:val="000000" w:themeColor="text1"/>
                <w:szCs w:val="21"/>
                <w14:textFill>
                  <w14:solidFill>
                    <w14:schemeClr w14:val="tx1"/>
                  </w14:solidFill>
                </w14:textFill>
              </w:rPr>
              <w:t>距工作面</w:t>
            </w:r>
            <w:r>
              <w:rPr>
                <w:rFonts w:ascii="Calibri" w:hAnsi="Calibri"/>
                <w:color w:val="000000" w:themeColor="text1"/>
                <w:szCs w:val="21"/>
                <w14:textFill>
                  <w14:solidFill>
                    <w14:schemeClr w14:val="tx1"/>
                  </w14:solidFill>
                </w14:textFill>
              </w:rPr>
              <w:t>1</w:t>
            </w:r>
            <w:r>
              <w:rPr>
                <w:rFonts w:ascii="Calibri" w:hAnsi="宋体"/>
                <w:color w:val="000000" w:themeColor="text1"/>
                <w:szCs w:val="21"/>
                <w14:textFill>
                  <w14:solidFill>
                    <w14:schemeClr w14:val="tx1"/>
                  </w14:solidFill>
                </w14:textFill>
              </w:rPr>
              <w:t>倍洞径</w:t>
            </w:r>
          </w:p>
        </w:tc>
        <w:tc>
          <w:tcPr>
            <w:tcW w:w="2632" w:type="dxa"/>
            <w:vAlign w:val="center"/>
          </w:tcPr>
          <w:p>
            <w:pPr>
              <w:spacing w:line="400" w:lineRule="exact"/>
              <w:ind w:firstLine="420" w:firstLineChars="200"/>
              <w:jc w:val="center"/>
              <w:rPr>
                <w:rFonts w:ascii="Calibri" w:hAnsi="Calibri"/>
                <w:color w:val="000000" w:themeColor="text1"/>
                <w:szCs w:val="21"/>
                <w14:textFill>
                  <w14:solidFill>
                    <w14:schemeClr w14:val="tx1"/>
                  </w14:solidFill>
                </w14:textFill>
              </w:rPr>
            </w:pPr>
            <w:r>
              <w:rPr>
                <w:rFonts w:ascii="Calibri" w:hAnsi="Calibri"/>
                <w:color w:val="000000" w:themeColor="text1"/>
                <w:szCs w:val="21"/>
                <w14:textFill>
                  <w14:solidFill>
                    <w14:schemeClr w14:val="tx1"/>
                  </w14:solidFill>
                </w14:textFill>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2787" w:type="dxa"/>
            <w:vAlign w:val="center"/>
          </w:tcPr>
          <w:p>
            <w:pPr>
              <w:spacing w:line="400" w:lineRule="exact"/>
              <w:ind w:firstLine="420" w:firstLineChars="200"/>
              <w:jc w:val="center"/>
              <w:rPr>
                <w:rFonts w:ascii="Calibri" w:hAnsi="Calibri"/>
                <w:color w:val="000000" w:themeColor="text1"/>
                <w:szCs w:val="21"/>
                <w14:textFill>
                  <w14:solidFill>
                    <w14:schemeClr w14:val="tx1"/>
                  </w14:solidFill>
                </w14:textFill>
              </w:rPr>
            </w:pPr>
            <w:r>
              <w:rPr>
                <w:rFonts w:ascii="Calibri" w:hAnsi="Calibri"/>
                <w:color w:val="000000" w:themeColor="text1"/>
                <w:szCs w:val="21"/>
                <w14:textFill>
                  <w14:solidFill>
                    <w14:schemeClr w14:val="tx1"/>
                  </w14:solidFill>
                </w14:textFill>
              </w:rPr>
              <w:t>10</w:t>
            </w:r>
            <w:r>
              <w:rPr>
                <w:rFonts w:hint="eastAsia" w:ascii="Calibri" w:hAnsi="Calibri"/>
                <w:color w:val="000000" w:themeColor="text1"/>
                <w:szCs w:val="21"/>
                <w14:textFill>
                  <w14:solidFill>
                    <w14:schemeClr w14:val="tx1"/>
                  </w14:solidFill>
                </w14:textFill>
              </w:rPr>
              <w:t>~</w:t>
            </w:r>
            <w:r>
              <w:rPr>
                <w:rFonts w:ascii="Calibri" w:hAnsi="Calibri"/>
                <w:color w:val="000000" w:themeColor="text1"/>
                <w:szCs w:val="21"/>
                <w14:textFill>
                  <w14:solidFill>
                    <w14:schemeClr w14:val="tx1"/>
                  </w14:solidFill>
                </w14:textFill>
              </w:rPr>
              <w:t>5</w:t>
            </w:r>
          </w:p>
        </w:tc>
        <w:tc>
          <w:tcPr>
            <w:tcW w:w="3103" w:type="dxa"/>
            <w:vAlign w:val="center"/>
          </w:tcPr>
          <w:p>
            <w:pPr>
              <w:spacing w:line="400" w:lineRule="exact"/>
              <w:ind w:firstLine="420" w:firstLineChars="200"/>
              <w:jc w:val="center"/>
              <w:rPr>
                <w:rFonts w:ascii="Calibri" w:hAnsi="Calibri"/>
                <w:color w:val="000000" w:themeColor="text1"/>
                <w:szCs w:val="21"/>
                <w14:textFill>
                  <w14:solidFill>
                    <w14:schemeClr w14:val="tx1"/>
                  </w14:solidFill>
                </w14:textFill>
              </w:rPr>
            </w:pPr>
            <w:r>
              <w:rPr>
                <w:rFonts w:ascii="Calibri" w:hAnsi="宋体"/>
                <w:color w:val="000000" w:themeColor="text1"/>
                <w:szCs w:val="21"/>
                <w14:textFill>
                  <w14:solidFill>
                    <w14:schemeClr w14:val="tx1"/>
                  </w14:solidFill>
                </w14:textFill>
              </w:rPr>
              <w:t>距工作面</w:t>
            </w:r>
            <w:r>
              <w:rPr>
                <w:rFonts w:ascii="Calibri" w:hAnsi="Calibri"/>
                <w:color w:val="000000" w:themeColor="text1"/>
                <w:szCs w:val="21"/>
                <w14:textFill>
                  <w14:solidFill>
                    <w14:schemeClr w14:val="tx1"/>
                  </w14:solidFill>
                </w14:textFill>
              </w:rPr>
              <w:t>1</w:t>
            </w:r>
            <w:r>
              <w:rPr>
                <w:rFonts w:ascii="Calibri" w:hAnsi="宋体"/>
                <w:color w:val="000000" w:themeColor="text1"/>
                <w:szCs w:val="21"/>
                <w14:textFill>
                  <w14:solidFill>
                    <w14:schemeClr w14:val="tx1"/>
                  </w14:solidFill>
                </w14:textFill>
              </w:rPr>
              <w:t>、</w:t>
            </w:r>
            <w:r>
              <w:rPr>
                <w:rFonts w:ascii="Calibri" w:hAnsi="Calibri"/>
                <w:color w:val="000000" w:themeColor="text1"/>
                <w:szCs w:val="21"/>
                <w14:textFill>
                  <w14:solidFill>
                    <w14:schemeClr w14:val="tx1"/>
                  </w14:solidFill>
                </w14:textFill>
              </w:rPr>
              <w:t>2</w:t>
            </w:r>
            <w:r>
              <w:rPr>
                <w:rFonts w:ascii="Calibri" w:hAnsi="宋体"/>
                <w:color w:val="000000" w:themeColor="text1"/>
                <w:szCs w:val="21"/>
                <w14:textFill>
                  <w14:solidFill>
                    <w14:schemeClr w14:val="tx1"/>
                  </w14:solidFill>
                </w14:textFill>
              </w:rPr>
              <w:t>倍洞径</w:t>
            </w:r>
          </w:p>
        </w:tc>
        <w:tc>
          <w:tcPr>
            <w:tcW w:w="2632" w:type="dxa"/>
            <w:vAlign w:val="center"/>
          </w:tcPr>
          <w:p>
            <w:pPr>
              <w:spacing w:line="400" w:lineRule="exact"/>
              <w:ind w:firstLine="420" w:firstLineChars="200"/>
              <w:jc w:val="center"/>
              <w:rPr>
                <w:rFonts w:ascii="Calibri" w:hAnsi="Calibri"/>
                <w:color w:val="000000" w:themeColor="text1"/>
                <w:szCs w:val="21"/>
                <w14:textFill>
                  <w14:solidFill>
                    <w14:schemeClr w14:val="tx1"/>
                  </w14:solidFill>
                </w14:textFill>
              </w:rPr>
            </w:pPr>
            <w:r>
              <w:rPr>
                <w:rFonts w:ascii="Calibri" w:hAnsi="Calibri"/>
                <w:color w:val="000000" w:themeColor="text1"/>
                <w:szCs w:val="21"/>
                <w14:textFill>
                  <w14:solidFill>
                    <w14:schemeClr w14:val="tx1"/>
                  </w14:solidFill>
                </w14:textFill>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2787" w:type="dxa"/>
            <w:vAlign w:val="center"/>
          </w:tcPr>
          <w:p>
            <w:pPr>
              <w:spacing w:line="400" w:lineRule="exact"/>
              <w:ind w:firstLine="420" w:firstLineChars="200"/>
              <w:jc w:val="center"/>
              <w:rPr>
                <w:rFonts w:ascii="Calibri" w:hAnsi="Calibri"/>
                <w:color w:val="000000" w:themeColor="text1"/>
                <w:szCs w:val="21"/>
                <w14:textFill>
                  <w14:solidFill>
                    <w14:schemeClr w14:val="tx1"/>
                  </w14:solidFill>
                </w14:textFill>
              </w:rPr>
            </w:pPr>
            <w:r>
              <w:rPr>
                <w:rFonts w:ascii="Calibri" w:hAnsi="Calibri"/>
                <w:color w:val="000000" w:themeColor="text1"/>
                <w:szCs w:val="21"/>
                <w14:textFill>
                  <w14:solidFill>
                    <w14:schemeClr w14:val="tx1"/>
                  </w14:solidFill>
                </w14:textFill>
              </w:rPr>
              <w:t>4</w:t>
            </w:r>
            <w:r>
              <w:rPr>
                <w:rFonts w:hint="eastAsia" w:ascii="Calibri" w:hAnsi="Calibri"/>
                <w:color w:val="000000" w:themeColor="text1"/>
                <w:szCs w:val="21"/>
                <w14:textFill>
                  <w14:solidFill>
                    <w14:schemeClr w14:val="tx1"/>
                  </w14:solidFill>
                </w14:textFill>
              </w:rPr>
              <w:t>~</w:t>
            </w:r>
            <w:r>
              <w:rPr>
                <w:rFonts w:ascii="Calibri" w:hAnsi="Calibri"/>
                <w:color w:val="000000" w:themeColor="text1"/>
                <w:szCs w:val="21"/>
                <w14:textFill>
                  <w14:solidFill>
                    <w14:schemeClr w14:val="tx1"/>
                  </w14:solidFill>
                </w14:textFill>
              </w:rPr>
              <w:t>1</w:t>
            </w:r>
          </w:p>
        </w:tc>
        <w:tc>
          <w:tcPr>
            <w:tcW w:w="3103" w:type="dxa"/>
            <w:vAlign w:val="center"/>
          </w:tcPr>
          <w:p>
            <w:pPr>
              <w:spacing w:line="400" w:lineRule="exact"/>
              <w:ind w:firstLine="420" w:firstLineChars="200"/>
              <w:jc w:val="center"/>
              <w:rPr>
                <w:rFonts w:ascii="Calibri" w:hAnsi="Calibri"/>
                <w:color w:val="000000" w:themeColor="text1"/>
                <w:szCs w:val="21"/>
                <w14:textFill>
                  <w14:solidFill>
                    <w14:schemeClr w14:val="tx1"/>
                  </w14:solidFill>
                </w14:textFill>
              </w:rPr>
            </w:pPr>
            <w:r>
              <w:rPr>
                <w:rFonts w:ascii="Calibri" w:hAnsi="宋体"/>
                <w:color w:val="000000" w:themeColor="text1"/>
                <w:szCs w:val="21"/>
                <w14:textFill>
                  <w14:solidFill>
                    <w14:schemeClr w14:val="tx1"/>
                  </w14:solidFill>
                </w14:textFill>
              </w:rPr>
              <w:t>距工作面</w:t>
            </w:r>
            <w:r>
              <w:rPr>
                <w:rFonts w:ascii="Calibri" w:hAnsi="Calibri"/>
                <w:color w:val="000000" w:themeColor="text1"/>
                <w:szCs w:val="21"/>
                <w14:textFill>
                  <w14:solidFill>
                    <w14:schemeClr w14:val="tx1"/>
                  </w14:solidFill>
                </w14:textFill>
              </w:rPr>
              <w:t>2-5</w:t>
            </w:r>
            <w:r>
              <w:rPr>
                <w:rFonts w:ascii="Calibri" w:hAnsi="宋体"/>
                <w:color w:val="000000" w:themeColor="text1"/>
                <w:szCs w:val="21"/>
                <w14:textFill>
                  <w14:solidFill>
                    <w14:schemeClr w14:val="tx1"/>
                  </w14:solidFill>
                </w14:textFill>
              </w:rPr>
              <w:t>倍洞径</w:t>
            </w:r>
          </w:p>
        </w:tc>
        <w:tc>
          <w:tcPr>
            <w:tcW w:w="2632" w:type="dxa"/>
            <w:vAlign w:val="center"/>
          </w:tcPr>
          <w:p>
            <w:pPr>
              <w:spacing w:line="400" w:lineRule="exact"/>
              <w:ind w:firstLine="420" w:firstLineChars="200"/>
              <w:jc w:val="center"/>
              <w:rPr>
                <w:rFonts w:ascii="Calibri" w:hAnsi="Calibri"/>
                <w:color w:val="000000" w:themeColor="text1"/>
                <w:szCs w:val="21"/>
                <w14:textFill>
                  <w14:solidFill>
                    <w14:schemeClr w14:val="tx1"/>
                  </w14:solidFill>
                </w14:textFill>
              </w:rPr>
            </w:pPr>
            <w:r>
              <w:rPr>
                <w:rFonts w:ascii="Calibri" w:hAnsi="Calibri"/>
                <w:color w:val="000000" w:themeColor="text1"/>
                <w:szCs w:val="21"/>
                <w14:textFill>
                  <w14:solidFill>
                    <w14:schemeClr w14:val="tx1"/>
                  </w14:solidFill>
                </w14:textFill>
              </w:rPr>
              <w:t>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2787" w:type="dxa"/>
            <w:vAlign w:val="center"/>
          </w:tcPr>
          <w:p>
            <w:pPr>
              <w:spacing w:line="400" w:lineRule="exact"/>
              <w:ind w:firstLine="420" w:firstLineChars="200"/>
              <w:jc w:val="center"/>
              <w:rPr>
                <w:rFonts w:ascii="Calibri" w:hAnsi="Calibri"/>
                <w:color w:val="000000" w:themeColor="text1"/>
                <w:szCs w:val="21"/>
                <w14:textFill>
                  <w14:solidFill>
                    <w14:schemeClr w14:val="tx1"/>
                  </w14:solidFill>
                </w14:textFill>
              </w:rPr>
            </w:pPr>
            <w:r>
              <w:rPr>
                <w:rFonts w:ascii="Calibri" w:hAnsi="宋体"/>
                <w:color w:val="000000" w:themeColor="text1"/>
                <w:szCs w:val="21"/>
                <w14:textFill>
                  <w14:solidFill>
                    <w14:schemeClr w14:val="tx1"/>
                  </w14:solidFill>
                </w14:textFill>
              </w:rPr>
              <w:t>＜</w:t>
            </w:r>
            <w:r>
              <w:rPr>
                <w:rFonts w:ascii="Calibri" w:hAnsi="Calibri"/>
                <w:color w:val="000000" w:themeColor="text1"/>
                <w:szCs w:val="21"/>
                <w14:textFill>
                  <w14:solidFill>
                    <w14:schemeClr w14:val="tx1"/>
                  </w14:solidFill>
                </w14:textFill>
              </w:rPr>
              <w:t>1</w:t>
            </w:r>
          </w:p>
        </w:tc>
        <w:tc>
          <w:tcPr>
            <w:tcW w:w="3103" w:type="dxa"/>
            <w:vAlign w:val="center"/>
          </w:tcPr>
          <w:p>
            <w:pPr>
              <w:spacing w:line="400" w:lineRule="exact"/>
              <w:ind w:firstLine="420" w:firstLineChars="200"/>
              <w:jc w:val="center"/>
              <w:rPr>
                <w:rFonts w:ascii="Calibri" w:hAnsi="Calibri"/>
                <w:color w:val="000000" w:themeColor="text1"/>
                <w:szCs w:val="21"/>
                <w14:textFill>
                  <w14:solidFill>
                    <w14:schemeClr w14:val="tx1"/>
                  </w14:solidFill>
                </w14:textFill>
              </w:rPr>
            </w:pPr>
            <w:r>
              <w:rPr>
                <w:rFonts w:ascii="Calibri" w:hAnsi="宋体"/>
                <w:color w:val="000000" w:themeColor="text1"/>
                <w:szCs w:val="21"/>
                <w14:textFill>
                  <w14:solidFill>
                    <w14:schemeClr w14:val="tx1"/>
                  </w14:solidFill>
                </w14:textFill>
              </w:rPr>
              <w:t>距工作面＞</w:t>
            </w:r>
            <w:r>
              <w:rPr>
                <w:rFonts w:ascii="Calibri" w:hAnsi="Calibri"/>
                <w:color w:val="000000" w:themeColor="text1"/>
                <w:szCs w:val="21"/>
                <w14:textFill>
                  <w14:solidFill>
                    <w14:schemeClr w14:val="tx1"/>
                  </w14:solidFill>
                </w14:textFill>
              </w:rPr>
              <w:t>5</w:t>
            </w:r>
            <w:r>
              <w:rPr>
                <w:rFonts w:ascii="Calibri" w:hAnsi="宋体"/>
                <w:color w:val="000000" w:themeColor="text1"/>
                <w:szCs w:val="21"/>
                <w14:textFill>
                  <w14:solidFill>
                    <w14:schemeClr w14:val="tx1"/>
                  </w14:solidFill>
                </w14:textFill>
              </w:rPr>
              <w:t>倍洞径</w:t>
            </w:r>
          </w:p>
        </w:tc>
        <w:tc>
          <w:tcPr>
            <w:tcW w:w="2632" w:type="dxa"/>
            <w:vAlign w:val="center"/>
          </w:tcPr>
          <w:p>
            <w:pPr>
              <w:spacing w:line="400" w:lineRule="exact"/>
              <w:ind w:firstLine="420" w:firstLineChars="200"/>
              <w:jc w:val="center"/>
              <w:rPr>
                <w:rFonts w:ascii="Calibri" w:hAnsi="Calibri"/>
                <w:color w:val="000000" w:themeColor="text1"/>
                <w:szCs w:val="21"/>
                <w14:textFill>
                  <w14:solidFill>
                    <w14:schemeClr w14:val="tx1"/>
                  </w14:solidFill>
                </w14:textFill>
              </w:rPr>
            </w:pPr>
            <w:r>
              <w:rPr>
                <w:rFonts w:ascii="Calibri" w:hAnsi="Calibri"/>
                <w:color w:val="000000" w:themeColor="text1"/>
                <w:szCs w:val="21"/>
                <w14:textFill>
                  <w14:solidFill>
                    <w14:schemeClr w14:val="tx1"/>
                  </w14:solidFill>
                </w14:textFill>
              </w:rPr>
              <w:t>1/</w:t>
            </w:r>
            <w:r>
              <w:rPr>
                <w:rFonts w:ascii="Calibri" w:hAnsi="宋体"/>
                <w:color w:val="000000" w:themeColor="text1"/>
                <w:szCs w:val="21"/>
                <w14:textFill>
                  <w14:solidFill>
                    <w14:schemeClr w14:val="tx1"/>
                  </w14:solidFill>
                </w14:textFill>
              </w:rPr>
              <w:t>＞</w:t>
            </w:r>
            <w:r>
              <w:rPr>
                <w:rFonts w:ascii="Calibri" w:hAnsi="Calibri"/>
                <w:color w:val="000000" w:themeColor="text1"/>
                <w:szCs w:val="21"/>
                <w14:textFill>
                  <w14:solidFill>
                    <w14:schemeClr w14:val="tx1"/>
                  </w14:solidFill>
                </w14:textFill>
              </w:rPr>
              <w:t>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8522" w:type="dxa"/>
            <w:gridSpan w:val="3"/>
            <w:vAlign w:val="center"/>
          </w:tcPr>
          <w:p>
            <w:pPr>
              <w:spacing w:line="400" w:lineRule="exact"/>
              <w:ind w:firstLine="420" w:firstLineChars="200"/>
              <w:rPr>
                <w:rFonts w:ascii="Calibri" w:hAnsi="Calibri"/>
                <w:color w:val="000000" w:themeColor="text1"/>
                <w:szCs w:val="21"/>
                <w14:textFill>
                  <w14:solidFill>
                    <w14:schemeClr w14:val="tx1"/>
                  </w14:solidFill>
                </w14:textFill>
              </w:rPr>
            </w:pPr>
            <w:r>
              <w:rPr>
                <w:rFonts w:ascii="Calibri" w:hAnsi="宋体"/>
                <w:color w:val="000000" w:themeColor="text1"/>
                <w:szCs w:val="21"/>
                <w14:textFill>
                  <w14:solidFill>
                    <w14:schemeClr w14:val="tx1"/>
                  </w14:solidFill>
                </w14:textFill>
              </w:rPr>
              <w:t>注：</w:t>
            </w:r>
            <w:r>
              <w:rPr>
                <w:rFonts w:ascii="Calibri" w:hAnsi="Calibri"/>
                <w:color w:val="000000" w:themeColor="text1"/>
                <w:szCs w:val="21"/>
                <w14:textFill>
                  <w14:solidFill>
                    <w14:schemeClr w14:val="tx1"/>
                  </w14:solidFill>
                </w14:textFill>
              </w:rPr>
              <w:t>d</w:t>
            </w:r>
            <w:r>
              <w:rPr>
                <w:rFonts w:ascii="Calibri" w:hAnsi="宋体"/>
                <w:color w:val="000000" w:themeColor="text1"/>
                <w:szCs w:val="21"/>
                <w14:textFill>
                  <w14:solidFill>
                    <w14:schemeClr w14:val="tx1"/>
                  </w14:solidFill>
                </w14:textFill>
              </w:rPr>
              <w:t>为天数</w:t>
            </w:r>
          </w:p>
        </w:tc>
      </w:tr>
    </w:tbl>
    <w:p>
      <w:pPr>
        <w:pStyle w:val="22"/>
        <w:tabs>
          <w:tab w:val="left" w:pos="851"/>
        </w:tabs>
        <w:snapToGrid w:val="0"/>
        <w:spacing w:line="360" w:lineRule="auto"/>
        <w:ind w:firstLine="0" w:firstLineChars="0"/>
        <w:jc w:val="left"/>
        <w:rPr>
          <w:rFonts w:hAnsi="宋体"/>
          <w:b/>
          <w:bCs/>
          <w:color w:val="000000" w:themeColor="text1"/>
          <w:szCs w:val="21"/>
          <w14:textFill>
            <w14:solidFill>
              <w14:schemeClr w14:val="tx1"/>
            </w14:solidFill>
          </w14:textFill>
        </w:rPr>
      </w:pP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461" w:name="_Toc1084"/>
      <w:bookmarkStart w:id="462" w:name="_Toc15211"/>
      <w:bookmarkStart w:id="463" w:name="_Toc29633"/>
      <w:bookmarkStart w:id="464" w:name="_Toc24975"/>
      <w:bookmarkStart w:id="465" w:name="_Toc13433"/>
      <w:bookmarkStart w:id="466" w:name="_Toc16471"/>
      <w:r>
        <w:rPr>
          <w:rFonts w:hint="eastAsia" w:hAnsi="宋体"/>
          <w:b/>
          <w:color w:val="000000" w:themeColor="text1"/>
          <w:sz w:val="24"/>
          <w14:textFill>
            <w14:solidFill>
              <w14:schemeClr w14:val="tx1"/>
            </w14:solidFill>
          </w14:textFill>
        </w:rPr>
        <w:t>15.5  监控量测控制指标</w:t>
      </w:r>
      <w:bookmarkEnd w:id="461"/>
      <w:bookmarkEnd w:id="462"/>
      <w:bookmarkEnd w:id="463"/>
      <w:bookmarkEnd w:id="464"/>
      <w:bookmarkEnd w:id="465"/>
      <w:bookmarkEnd w:id="466"/>
    </w:p>
    <w:p>
      <w:pPr>
        <w:spacing w:line="360" w:lineRule="auto"/>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15.5.1 </w:t>
      </w:r>
      <w:r>
        <w:rPr>
          <w:rFonts w:hint="eastAsia" w:ascii="宋体" w:hAnsi="宋体" w:cstheme="minorEastAsia"/>
          <w:color w:val="000000" w:themeColor="text1"/>
          <w:kern w:val="0"/>
          <w:szCs w:val="21"/>
          <w14:textFill>
            <w14:solidFill>
              <w14:schemeClr w14:val="tx1"/>
            </w14:solidFill>
          </w14:textFill>
        </w:rPr>
        <w:t>锚喷暗挖法施工监控量测控制值应符合表</w:t>
      </w:r>
      <w:r>
        <w:rPr>
          <w:rFonts w:hint="eastAsia" w:hAnsi="宋体"/>
          <w:b/>
          <w:bCs/>
          <w:color w:val="000000" w:themeColor="text1"/>
          <w:szCs w:val="21"/>
          <w14:textFill>
            <w14:solidFill>
              <w14:schemeClr w14:val="tx1"/>
            </w14:solidFill>
          </w14:textFill>
        </w:rPr>
        <w:t>15.5.1</w:t>
      </w:r>
      <w:r>
        <w:rPr>
          <w:rFonts w:hint="eastAsia" w:ascii="宋体" w:hAnsi="宋体" w:cstheme="minorEastAsia"/>
          <w:color w:val="000000" w:themeColor="text1"/>
          <w:kern w:val="0"/>
          <w:szCs w:val="21"/>
          <w14:textFill>
            <w14:solidFill>
              <w14:schemeClr w14:val="tx1"/>
            </w14:solidFill>
          </w14:textFill>
        </w:rPr>
        <w:t>的规定。</w:t>
      </w:r>
    </w:p>
    <w:p>
      <w:pPr>
        <w:adjustRightInd w:val="0"/>
        <w:snapToGrid w:val="0"/>
        <w:spacing w:line="360" w:lineRule="auto"/>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表</w:t>
      </w:r>
      <w:r>
        <w:rPr>
          <w:rFonts w:hint="eastAsia" w:hAnsi="宋体"/>
          <w:b/>
          <w:bCs/>
          <w:color w:val="000000" w:themeColor="text1"/>
          <w:szCs w:val="21"/>
          <w14:textFill>
            <w14:solidFill>
              <w14:schemeClr w14:val="tx1"/>
            </w14:solidFill>
          </w14:textFill>
        </w:rPr>
        <w:t>15.5.1</w:t>
      </w:r>
      <w:r>
        <w:rPr>
          <w:rFonts w:hint="eastAsia" w:hAnsi="宋体"/>
          <w:color w:val="000000" w:themeColor="text1"/>
          <w:szCs w:val="21"/>
          <w14:textFill>
            <w14:solidFill>
              <w14:schemeClr w14:val="tx1"/>
            </w14:solidFill>
          </w14:textFill>
        </w:rPr>
        <w:t xml:space="preserve">   锚喷暗挖法施工监控量测值控制标准</w:t>
      </w:r>
    </w:p>
    <w:tbl>
      <w:tblPr>
        <w:tblStyle w:val="12"/>
        <w:tblW w:w="83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1217"/>
        <w:gridCol w:w="1217"/>
        <w:gridCol w:w="1706"/>
        <w:gridCol w:w="1800"/>
        <w:gridCol w:w="18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8"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序号</w:t>
            </w:r>
          </w:p>
        </w:tc>
        <w:tc>
          <w:tcPr>
            <w:tcW w:w="2434" w:type="dxa"/>
            <w:gridSpan w:val="2"/>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监测项目及范围</w:t>
            </w:r>
          </w:p>
        </w:tc>
        <w:tc>
          <w:tcPr>
            <w:tcW w:w="1706"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允许位移控制值U0（mm）</w:t>
            </w:r>
          </w:p>
        </w:tc>
        <w:tc>
          <w:tcPr>
            <w:tcW w:w="1800"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位移平均速率控制值（mm/d）</w:t>
            </w:r>
          </w:p>
        </w:tc>
        <w:tc>
          <w:tcPr>
            <w:tcW w:w="1800"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位移最大速率控制值（mm/d）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8" w:type="dxa"/>
            <w:vMerge w:val="restart"/>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1</w:t>
            </w:r>
          </w:p>
        </w:tc>
        <w:tc>
          <w:tcPr>
            <w:tcW w:w="1217" w:type="dxa"/>
            <w:vMerge w:val="restart"/>
            <w:vAlign w:val="center"/>
          </w:tcPr>
          <w:p>
            <w:pPr>
              <w:adjustRightInd w:val="0"/>
              <w:snapToGrid w:val="0"/>
              <w:spacing w:line="360" w:lineRule="auto"/>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地表沉降</w:t>
            </w:r>
          </w:p>
        </w:tc>
        <w:tc>
          <w:tcPr>
            <w:tcW w:w="1217"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区间</w:t>
            </w:r>
          </w:p>
        </w:tc>
        <w:tc>
          <w:tcPr>
            <w:tcW w:w="1706"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30</w:t>
            </w:r>
          </w:p>
        </w:tc>
        <w:tc>
          <w:tcPr>
            <w:tcW w:w="1800"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2</w:t>
            </w:r>
          </w:p>
        </w:tc>
        <w:tc>
          <w:tcPr>
            <w:tcW w:w="1800"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8" w:type="dxa"/>
            <w:vMerge w:val="continue"/>
            <w:vAlign w:val="center"/>
          </w:tcPr>
          <w:p>
            <w:pPr>
              <w:adjustRightInd w:val="0"/>
              <w:snapToGrid w:val="0"/>
              <w:jc w:val="center"/>
              <w:rPr>
                <w:rFonts w:ascii="Calibri" w:hAnsi="宋体"/>
                <w:color w:val="000000" w:themeColor="text1"/>
                <w:szCs w:val="21"/>
                <w14:textFill>
                  <w14:solidFill>
                    <w14:schemeClr w14:val="tx1"/>
                  </w14:solidFill>
                </w14:textFill>
              </w:rPr>
            </w:pPr>
          </w:p>
        </w:tc>
        <w:tc>
          <w:tcPr>
            <w:tcW w:w="1217" w:type="dxa"/>
            <w:vMerge w:val="continue"/>
            <w:vAlign w:val="center"/>
          </w:tcPr>
          <w:p>
            <w:pPr>
              <w:adjustRightInd w:val="0"/>
              <w:snapToGrid w:val="0"/>
              <w:jc w:val="center"/>
              <w:rPr>
                <w:rFonts w:ascii="Calibri" w:hAnsi="宋体"/>
                <w:color w:val="000000" w:themeColor="text1"/>
                <w:szCs w:val="21"/>
                <w14:textFill>
                  <w14:solidFill>
                    <w14:schemeClr w14:val="tx1"/>
                  </w14:solidFill>
                </w14:textFill>
              </w:rPr>
            </w:pPr>
          </w:p>
        </w:tc>
        <w:tc>
          <w:tcPr>
            <w:tcW w:w="1217"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车站</w:t>
            </w:r>
          </w:p>
        </w:tc>
        <w:tc>
          <w:tcPr>
            <w:tcW w:w="1706"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60</w:t>
            </w:r>
          </w:p>
        </w:tc>
        <w:tc>
          <w:tcPr>
            <w:tcW w:w="1800" w:type="dxa"/>
            <w:vAlign w:val="center"/>
          </w:tcPr>
          <w:p>
            <w:pPr>
              <w:adjustRightInd w:val="0"/>
              <w:snapToGrid w:val="0"/>
              <w:jc w:val="center"/>
              <w:rPr>
                <w:rFonts w:ascii="Calibri" w:hAnsi="宋体"/>
                <w:color w:val="000000" w:themeColor="text1"/>
                <w:szCs w:val="21"/>
                <w14:textFill>
                  <w14:solidFill>
                    <w14:schemeClr w14:val="tx1"/>
                  </w14:solidFill>
                </w14:textFill>
              </w:rPr>
            </w:pPr>
          </w:p>
        </w:tc>
        <w:tc>
          <w:tcPr>
            <w:tcW w:w="1800" w:type="dxa"/>
            <w:vAlign w:val="center"/>
          </w:tcPr>
          <w:p>
            <w:pPr>
              <w:adjustRightInd w:val="0"/>
              <w:snapToGrid w:val="0"/>
              <w:jc w:val="center"/>
              <w:rPr>
                <w:rFonts w:ascii="Calibri" w:hAnsi="宋体"/>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8"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2</w:t>
            </w:r>
          </w:p>
        </w:tc>
        <w:tc>
          <w:tcPr>
            <w:tcW w:w="1217" w:type="dxa"/>
            <w:vMerge w:val="restart"/>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拱顶沉降</w:t>
            </w:r>
          </w:p>
        </w:tc>
        <w:tc>
          <w:tcPr>
            <w:tcW w:w="1217"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区间</w:t>
            </w:r>
          </w:p>
        </w:tc>
        <w:tc>
          <w:tcPr>
            <w:tcW w:w="1706"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30</w:t>
            </w:r>
          </w:p>
        </w:tc>
        <w:tc>
          <w:tcPr>
            <w:tcW w:w="1800"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2</w:t>
            </w:r>
          </w:p>
        </w:tc>
        <w:tc>
          <w:tcPr>
            <w:tcW w:w="1800"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8"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3</w:t>
            </w:r>
          </w:p>
        </w:tc>
        <w:tc>
          <w:tcPr>
            <w:tcW w:w="1217" w:type="dxa"/>
            <w:vMerge w:val="continue"/>
            <w:vAlign w:val="center"/>
          </w:tcPr>
          <w:p>
            <w:pPr>
              <w:adjustRightInd w:val="0"/>
              <w:snapToGrid w:val="0"/>
              <w:jc w:val="center"/>
              <w:rPr>
                <w:rFonts w:ascii="Calibri" w:hAnsi="宋体"/>
                <w:color w:val="000000" w:themeColor="text1"/>
                <w:szCs w:val="21"/>
                <w14:textFill>
                  <w14:solidFill>
                    <w14:schemeClr w14:val="tx1"/>
                  </w14:solidFill>
                </w14:textFill>
              </w:rPr>
            </w:pPr>
          </w:p>
        </w:tc>
        <w:tc>
          <w:tcPr>
            <w:tcW w:w="1217"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车站</w:t>
            </w:r>
          </w:p>
        </w:tc>
        <w:tc>
          <w:tcPr>
            <w:tcW w:w="1706"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40</w:t>
            </w:r>
          </w:p>
        </w:tc>
        <w:tc>
          <w:tcPr>
            <w:tcW w:w="1800" w:type="dxa"/>
            <w:vAlign w:val="center"/>
          </w:tcPr>
          <w:p>
            <w:pPr>
              <w:adjustRightInd w:val="0"/>
              <w:snapToGrid w:val="0"/>
              <w:jc w:val="center"/>
              <w:rPr>
                <w:rFonts w:ascii="Calibri" w:hAnsi="宋体"/>
                <w:color w:val="000000" w:themeColor="text1"/>
                <w:szCs w:val="21"/>
                <w14:textFill>
                  <w14:solidFill>
                    <w14:schemeClr w14:val="tx1"/>
                  </w14:solidFill>
                </w14:textFill>
              </w:rPr>
            </w:pPr>
          </w:p>
        </w:tc>
        <w:tc>
          <w:tcPr>
            <w:tcW w:w="1800" w:type="dxa"/>
            <w:vAlign w:val="center"/>
          </w:tcPr>
          <w:p>
            <w:pPr>
              <w:adjustRightInd w:val="0"/>
              <w:snapToGrid w:val="0"/>
              <w:jc w:val="center"/>
              <w:rPr>
                <w:rFonts w:ascii="Calibri" w:hAnsi="宋体"/>
                <w:color w:val="000000" w:themeColor="text1"/>
                <w:szCs w:val="2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8"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4</w:t>
            </w:r>
          </w:p>
        </w:tc>
        <w:tc>
          <w:tcPr>
            <w:tcW w:w="2434" w:type="dxa"/>
            <w:gridSpan w:val="2"/>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水平收敛</w:t>
            </w:r>
          </w:p>
        </w:tc>
        <w:tc>
          <w:tcPr>
            <w:tcW w:w="1706"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20</w:t>
            </w:r>
          </w:p>
        </w:tc>
        <w:tc>
          <w:tcPr>
            <w:tcW w:w="1800"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1</w:t>
            </w:r>
          </w:p>
        </w:tc>
        <w:tc>
          <w:tcPr>
            <w:tcW w:w="1800" w:type="dxa"/>
            <w:vAlign w:val="center"/>
          </w:tcPr>
          <w:p>
            <w:pPr>
              <w:adjustRightInd w:val="0"/>
              <w:snapToGrid w:val="0"/>
              <w:jc w:val="center"/>
              <w:rPr>
                <w:rFonts w:ascii="Calibri" w:hAnsi="宋体"/>
                <w:color w:val="000000" w:themeColor="text1"/>
                <w:szCs w:val="21"/>
                <w14:textFill>
                  <w14:solidFill>
                    <w14:schemeClr w14:val="tx1"/>
                  </w14:solidFill>
                </w14:textFill>
              </w:rPr>
            </w:pPr>
            <w:r>
              <w:rPr>
                <w:rFonts w:hint="eastAsia" w:ascii="Calibri" w:hAnsi="宋体"/>
                <w:color w:val="000000" w:themeColor="text1"/>
                <w:szCs w:val="21"/>
                <w14:textFill>
                  <w14:solidFill>
                    <w14:schemeClr w14:val="tx1"/>
                  </w14:solidFill>
                </w14:textFill>
              </w:rPr>
              <w:t>3</w:t>
            </w:r>
          </w:p>
        </w:tc>
      </w:tr>
    </w:tbl>
    <w:p>
      <w:pPr>
        <w:adjustRightInd w:val="0"/>
        <w:snapToGrid w:val="0"/>
        <w:spacing w:line="360" w:lineRule="auto"/>
        <w:ind w:firstLine="360" w:firstLineChars="200"/>
        <w:rPr>
          <w:rFonts w:hAnsi="宋体"/>
          <w:color w:val="000000" w:themeColor="text1"/>
          <w:sz w:val="18"/>
          <w:szCs w:val="18"/>
          <w14:textFill>
            <w14:solidFill>
              <w14:schemeClr w14:val="tx1"/>
            </w14:solidFill>
          </w14:textFill>
        </w:rPr>
      </w:pPr>
      <w:r>
        <w:rPr>
          <w:rFonts w:hint="eastAsia" w:hAnsi="宋体"/>
          <w:color w:val="000000" w:themeColor="text1"/>
          <w:sz w:val="18"/>
          <w:szCs w:val="18"/>
          <w14:textFill>
            <w14:solidFill>
              <w14:schemeClr w14:val="tx1"/>
            </w14:solidFill>
          </w14:textFill>
        </w:rPr>
        <w:t>注：1、位移平均速率为任意7天位移平均值；位移最大速率为任意1天最大位移值（下同）。</w:t>
      </w:r>
    </w:p>
    <w:p>
      <w:pPr>
        <w:pStyle w:val="22"/>
        <w:numPr>
          <w:ilvl w:val="0"/>
          <w:numId w:val="3"/>
        </w:numPr>
        <w:adjustRightInd w:val="0"/>
        <w:snapToGrid w:val="0"/>
        <w:spacing w:line="360" w:lineRule="auto"/>
        <w:ind w:firstLineChars="0"/>
        <w:rPr>
          <w:rFonts w:hAnsi="宋体"/>
          <w:color w:val="000000" w:themeColor="text1"/>
          <w:sz w:val="18"/>
          <w:szCs w:val="18"/>
          <w14:textFill>
            <w14:solidFill>
              <w14:schemeClr w14:val="tx1"/>
            </w14:solidFill>
          </w14:textFill>
        </w:rPr>
      </w:pPr>
      <w:r>
        <w:rPr>
          <w:rFonts w:hint="eastAsia" w:hAnsi="宋体"/>
          <w:color w:val="000000" w:themeColor="text1"/>
          <w:sz w:val="18"/>
          <w:szCs w:val="18"/>
          <w14:textFill>
            <w14:solidFill>
              <w14:schemeClr w14:val="tx1"/>
            </w14:solidFill>
          </w14:textFill>
        </w:rPr>
        <w:t>本表中区间隧道跨度为＜8m；16m&lt;车站跨度≤25m。</w:t>
      </w:r>
    </w:p>
    <w:p>
      <w:pPr>
        <w:adjustRightInd w:val="0"/>
        <w:snapToGrid w:val="0"/>
        <w:spacing w:line="360" w:lineRule="auto"/>
        <w:ind w:left="720"/>
        <w:rPr>
          <w:rFonts w:hAnsi="宋体"/>
          <w:color w:val="000000" w:themeColor="text1"/>
          <w:sz w:val="18"/>
          <w:szCs w:val="18"/>
          <w14:textFill>
            <w14:solidFill>
              <w14:schemeClr w14:val="tx1"/>
            </w14:solidFill>
          </w14:textFill>
        </w:rPr>
      </w:pPr>
      <w:r>
        <w:rPr>
          <w:rFonts w:hint="eastAsia" w:hAnsi="宋体"/>
          <w:color w:val="000000" w:themeColor="text1"/>
          <w:sz w:val="18"/>
          <w:szCs w:val="18"/>
          <w14:textFill>
            <w14:solidFill>
              <w14:schemeClr w14:val="tx1"/>
            </w14:solidFill>
          </w14:textFill>
        </w:rPr>
        <w:t>3、本表中拱顶沉降系指供部开挖以后设置在拱顶的沉降测点所测值。</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15.5.2 </w:t>
      </w:r>
      <w:r>
        <w:rPr>
          <w:rFonts w:hint="eastAsia" w:ascii="宋体" w:hAnsi="宋体" w:cstheme="minorEastAsia"/>
          <w:color w:val="000000" w:themeColor="text1"/>
          <w:kern w:val="0"/>
          <w:szCs w:val="21"/>
          <w14:textFill>
            <w14:solidFill>
              <w14:schemeClr w14:val="tx1"/>
            </w14:solidFill>
          </w14:textFill>
        </w:rPr>
        <w:t>临近、穿越重大风险源监测控制值应符合设计要求。</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15.5.3 </w:t>
      </w:r>
      <w:r>
        <w:rPr>
          <w:rFonts w:hint="eastAsia" w:hAnsi="宋体"/>
          <w:color w:val="000000" w:themeColor="text1"/>
          <w:szCs w:val="21"/>
          <w14:textFill>
            <w14:solidFill>
              <w14:schemeClr w14:val="tx1"/>
            </w14:solidFill>
          </w14:textFill>
        </w:rPr>
        <w:t>监测项目应按“分区、分级、分阶段”的原则制定监控量测控制标准，并按黄色、橙色和红色三级预警进行反馈和控制。</w:t>
      </w:r>
    </w:p>
    <w:p>
      <w:pPr>
        <w:spacing w:line="360" w:lineRule="auto"/>
        <w:ind w:firstLine="420" w:firstLineChars="200"/>
        <w:rPr>
          <w:rFonts w:ascii="宋体" w:hAnsi="宋体" w:cstheme="minorEastAsia"/>
          <w:color w:val="000000" w:themeColor="text1"/>
          <w:kern w:val="0"/>
          <w:szCs w:val="21"/>
          <w14:textFill>
            <w14:solidFill>
              <w14:schemeClr w14:val="tx1"/>
            </w14:solidFill>
          </w14:textFill>
        </w:rPr>
      </w:pP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467" w:name="_Toc20771"/>
      <w:bookmarkStart w:id="468" w:name="_Toc3688"/>
      <w:bookmarkStart w:id="469" w:name="_Toc14995"/>
      <w:bookmarkStart w:id="470" w:name="_Toc26554"/>
      <w:bookmarkStart w:id="471" w:name="_Toc15156"/>
      <w:bookmarkStart w:id="472" w:name="_Toc19454"/>
      <w:r>
        <w:rPr>
          <w:rFonts w:hint="eastAsia" w:hAnsi="宋体"/>
          <w:b/>
          <w:color w:val="000000" w:themeColor="text1"/>
          <w:sz w:val="24"/>
          <w14:textFill>
            <w14:solidFill>
              <w14:schemeClr w14:val="tx1"/>
            </w14:solidFill>
          </w14:textFill>
        </w:rPr>
        <w:t>15.6  监测成果及信息反馈</w:t>
      </w:r>
      <w:bookmarkEnd w:id="467"/>
      <w:bookmarkEnd w:id="468"/>
      <w:bookmarkEnd w:id="469"/>
      <w:bookmarkEnd w:id="470"/>
      <w:bookmarkEnd w:id="471"/>
      <w:bookmarkEnd w:id="472"/>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15.6.1 </w:t>
      </w:r>
      <w:r>
        <w:rPr>
          <w:rFonts w:hint="eastAsia" w:hAnsi="宋体"/>
          <w:color w:val="000000" w:themeColor="text1"/>
          <w:szCs w:val="21"/>
          <w14:textFill>
            <w14:solidFill>
              <w14:schemeClr w14:val="tx1"/>
            </w14:solidFill>
          </w14:textFill>
        </w:rPr>
        <w:t>应建立监控量测管理制度和信息反馈制度，应建立变形监测信息数据库，及时采集、整理变形监测信息。</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15.6.2 </w:t>
      </w:r>
      <w:r>
        <w:rPr>
          <w:rFonts w:hint="eastAsia" w:hAnsi="宋体"/>
          <w:color w:val="000000" w:themeColor="text1"/>
          <w:szCs w:val="21"/>
          <w14:textFill>
            <w14:solidFill>
              <w14:schemeClr w14:val="tx1"/>
            </w14:solidFill>
          </w14:textFill>
        </w:rPr>
        <w:t>应结合施工和现场状况定期对变形监测信息进行综合分析，并应绘制隧道净空水平收敛、拱顶下沉、地表沉降等监测的时态曲线图及绘制的变形与施工开挖工作面距离关系图。</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15.6.3 </w:t>
      </w:r>
      <w:r>
        <w:rPr>
          <w:rFonts w:hint="eastAsia" w:hAnsi="宋体"/>
          <w:color w:val="000000" w:themeColor="text1"/>
          <w:szCs w:val="21"/>
          <w14:textFill>
            <w14:solidFill>
              <w14:schemeClr w14:val="tx1"/>
            </w14:solidFill>
          </w14:textFill>
        </w:rPr>
        <w:t>应对变形前期的时态曲线进行回归分析，选择与实测数据拟合较好的函数进行处理，定期向建设单位、设计单位、监理单位报告变形观测的各种报表，并对变形趋势进行预测预报。</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15.6.4 </w:t>
      </w:r>
      <w:r>
        <w:rPr>
          <w:rFonts w:hint="eastAsia" w:hAnsi="宋体"/>
          <w:color w:val="000000" w:themeColor="text1"/>
          <w:szCs w:val="21"/>
          <w14:textFill>
            <w14:solidFill>
              <w14:schemeClr w14:val="tx1"/>
            </w14:solidFill>
          </w14:textFill>
        </w:rPr>
        <w:t>监测数据应真实有效，测点和仪器应稳定可靠，数据处理、反馈应及时，监测应完整。各阶段监控量测成果应提交下列资料：</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变形监测成果表（日报、周报、月报、年报）；</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hAnsi="宋体"/>
          <w:color w:val="000000" w:themeColor="text1"/>
          <w:szCs w:val="21"/>
          <w14:textFill>
            <w14:solidFill>
              <w14:schemeClr w14:val="tx1"/>
            </w14:solidFill>
          </w14:textFill>
        </w:rPr>
        <w:t>变</w:t>
      </w:r>
      <w:r>
        <w:rPr>
          <w:rFonts w:hint="eastAsia" w:ascii="宋体" w:hAnsi="宋体" w:cstheme="minorEastAsia"/>
          <w:color w:val="000000" w:themeColor="text1"/>
          <w:kern w:val="0"/>
          <w:szCs w:val="21"/>
          <w14:textFill>
            <w14:solidFill>
              <w14:schemeClr w14:val="tx1"/>
            </w14:solidFill>
          </w14:textFill>
        </w:rPr>
        <w:t>形监测点位置图；</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3</w:t>
      </w:r>
      <w:r>
        <w:rPr>
          <w:rFonts w:hint="eastAsia" w:ascii="宋体" w:hAnsi="宋体" w:cstheme="minorEastAsia"/>
          <w:color w:val="000000" w:themeColor="text1"/>
          <w:kern w:val="0"/>
          <w:szCs w:val="21"/>
          <w14:textFill>
            <w14:solidFill>
              <w14:schemeClr w14:val="tx1"/>
            </w14:solidFill>
          </w14:textFill>
        </w:rPr>
        <w:t xml:space="preserve"> 隧道变形、应变、应力等物理量随时间、荷载变化的时态曲线图；</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ascii="宋体" w:hAnsi="宋体" w:cstheme="minorEastAsia"/>
          <w:color w:val="000000" w:themeColor="text1"/>
          <w:kern w:val="0"/>
          <w:szCs w:val="21"/>
          <w14:textFill>
            <w14:solidFill>
              <w14:schemeClr w14:val="tx1"/>
            </w14:solidFill>
          </w14:textFill>
        </w:rPr>
        <w:t>变形分析预测、预报报告；</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5</w:t>
      </w:r>
      <w:r>
        <w:rPr>
          <w:rFonts w:hint="eastAsia" w:ascii="宋体" w:hAnsi="宋体" w:cstheme="minorEastAsia"/>
          <w:color w:val="000000" w:themeColor="text1"/>
          <w:kern w:val="0"/>
          <w:szCs w:val="21"/>
          <w14:textFill>
            <w14:solidFill>
              <w14:schemeClr w14:val="tx1"/>
            </w14:solidFill>
          </w14:textFill>
        </w:rPr>
        <w:t xml:space="preserve"> 变形观测技术总结；</w:t>
      </w:r>
    </w:p>
    <w:p>
      <w:pPr>
        <w:adjustRightInd w:val="0"/>
        <w:snapToGrid w:val="0"/>
        <w:spacing w:line="360" w:lineRule="auto"/>
        <w:ind w:firstLine="422" w:firstLineChars="200"/>
        <w:rPr>
          <w:rFonts w:hAnsi="宋体"/>
          <w:color w:val="000000" w:themeColor="text1"/>
          <w:sz w:val="18"/>
          <w:szCs w:val="18"/>
          <w14:textFill>
            <w14:solidFill>
              <w14:schemeClr w14:val="tx1"/>
            </w14:solidFill>
          </w14:textFill>
        </w:rPr>
      </w:pPr>
      <w:r>
        <w:rPr>
          <w:rFonts w:hint="eastAsia" w:hAnsi="宋体"/>
          <w:b/>
          <w:bCs/>
          <w:color w:val="000000" w:themeColor="text1"/>
          <w:szCs w:val="21"/>
          <w14:textFill>
            <w14:solidFill>
              <w14:schemeClr w14:val="tx1"/>
            </w14:solidFill>
          </w14:textFill>
        </w:rPr>
        <w:t>6</w:t>
      </w:r>
      <w:r>
        <w:rPr>
          <w:rFonts w:hint="eastAsia" w:ascii="宋体" w:hAnsi="宋体" w:cstheme="minorEastAsia"/>
          <w:color w:val="000000" w:themeColor="text1"/>
          <w:kern w:val="0"/>
          <w:szCs w:val="21"/>
          <w14:textFill>
            <w14:solidFill>
              <w14:schemeClr w14:val="tx1"/>
            </w14:solidFill>
          </w14:textFill>
        </w:rPr>
        <w:t xml:space="preserve"> 停测报告。</w:t>
      </w:r>
    </w:p>
    <w:p>
      <w:pPr>
        <w:pStyle w:val="22"/>
        <w:tabs>
          <w:tab w:val="left" w:pos="851"/>
        </w:tabs>
        <w:snapToGrid w:val="0"/>
        <w:spacing w:line="360" w:lineRule="auto"/>
        <w:ind w:firstLine="0" w:firstLineChars="0"/>
        <w:jc w:val="left"/>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15.6.5 </w:t>
      </w:r>
      <w:r>
        <w:rPr>
          <w:rFonts w:hint="eastAsia" w:hAnsi="宋体"/>
          <w:color w:val="000000" w:themeColor="text1"/>
          <w:szCs w:val="21"/>
          <w14:textFill>
            <w14:solidFill>
              <w14:schemeClr w14:val="tx1"/>
            </w14:solidFill>
          </w14:textFill>
        </w:rPr>
        <w:t>监测数据及资料应完整、齐全和有效，记录应包括图表、曲线、文字报告等。</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15.6.6 </w:t>
      </w:r>
      <w:r>
        <w:rPr>
          <w:rFonts w:hint="eastAsia" w:hAnsi="宋体"/>
          <w:color w:val="000000" w:themeColor="text1"/>
          <w:szCs w:val="21"/>
          <w14:textFill>
            <w14:solidFill>
              <w14:schemeClr w14:val="tx1"/>
            </w14:solidFill>
          </w14:textFill>
        </w:rPr>
        <w:t>应及时对各种数据进行整理分析，判断工程的稳定性，并及时将有关信息反馈到施工中。</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15.6.7 </w:t>
      </w:r>
      <w:r>
        <w:rPr>
          <w:rFonts w:hint="eastAsia" w:hAnsi="宋体"/>
          <w:color w:val="000000" w:themeColor="text1"/>
          <w:szCs w:val="21"/>
          <w14:textFill>
            <w14:solidFill>
              <w14:schemeClr w14:val="tx1"/>
            </w14:solidFill>
          </w14:textFill>
        </w:rPr>
        <w:t>应及时对监测数据进行整理分析。施工监控量测的各类数据均应及时绘制成时态曲线，同时应注明开挖方法和施工工序和开挖面距监测断面的距离等信息。</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15.6.8  </w:t>
      </w:r>
      <w:r>
        <w:rPr>
          <w:rFonts w:hint="eastAsia" w:hAnsi="宋体"/>
          <w:color w:val="000000" w:themeColor="text1"/>
          <w:szCs w:val="21"/>
          <w14:textFill>
            <w14:solidFill>
              <w14:schemeClr w14:val="tx1"/>
            </w14:solidFill>
          </w14:textFill>
        </w:rPr>
        <w:t>当实测数据出现变形预警状态时，监测组应立即向施工主管、监理、建设和其他相关单位报告，提交预警报告。</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p>
    <w:p>
      <w:pP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br w:type="page"/>
      </w:r>
    </w:p>
    <w:p>
      <w:pPr>
        <w:pageBreakBefore/>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473" w:name="_Toc1567"/>
      <w:bookmarkStart w:id="474" w:name="_Toc21175"/>
      <w:bookmarkStart w:id="475" w:name="_Toc30042"/>
      <w:bookmarkStart w:id="476" w:name="_Toc3376"/>
      <w:bookmarkStart w:id="477" w:name="_Toc3620"/>
      <w:bookmarkStart w:id="478" w:name="_Toc282"/>
      <w:r>
        <w:rPr>
          <w:rFonts w:hint="eastAsia"/>
          <w:b/>
          <w:color w:val="000000" w:themeColor="text1"/>
          <w:sz w:val="28"/>
          <w:szCs w:val="28"/>
          <w14:textFill>
            <w14:solidFill>
              <w14:schemeClr w14:val="tx1"/>
            </w14:solidFill>
          </w14:textFill>
        </w:rPr>
        <w:t>16  水平和垂直运输</w:t>
      </w:r>
      <w:bookmarkEnd w:id="473"/>
      <w:bookmarkEnd w:id="474"/>
      <w:bookmarkEnd w:id="475"/>
      <w:bookmarkEnd w:id="476"/>
      <w:bookmarkEnd w:id="477"/>
      <w:bookmarkEnd w:id="478"/>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479" w:name="_Toc20147"/>
      <w:bookmarkStart w:id="480" w:name="_Toc13638"/>
      <w:bookmarkStart w:id="481" w:name="_Toc3277"/>
      <w:bookmarkStart w:id="482" w:name="_Toc3141"/>
      <w:bookmarkStart w:id="483" w:name="_Toc24321"/>
      <w:bookmarkStart w:id="484" w:name="_Toc11859"/>
      <w:r>
        <w:rPr>
          <w:rFonts w:hint="eastAsia" w:hAnsi="宋体"/>
          <w:b/>
          <w:color w:val="000000" w:themeColor="text1"/>
          <w:sz w:val="24"/>
          <w14:textFill>
            <w14:solidFill>
              <w14:schemeClr w14:val="tx1"/>
            </w14:solidFill>
          </w14:textFill>
        </w:rPr>
        <w:t>16.1  一般规定</w:t>
      </w:r>
      <w:bookmarkEnd w:id="479"/>
      <w:bookmarkEnd w:id="480"/>
      <w:bookmarkEnd w:id="481"/>
      <w:bookmarkEnd w:id="482"/>
      <w:bookmarkEnd w:id="483"/>
      <w:bookmarkEnd w:id="484"/>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16.1.1</w:t>
      </w:r>
      <w:r>
        <w:rPr>
          <w:rFonts w:hint="eastAsia" w:hAnsi="宋体"/>
          <w:color w:val="000000" w:themeColor="text1"/>
          <w:szCs w:val="21"/>
          <w14:textFill>
            <w14:solidFill>
              <w14:schemeClr w14:val="tx1"/>
            </w14:solidFill>
          </w14:textFill>
        </w:rPr>
        <w:t xml:space="preserve"> 施工水平运输及垂直提升方法应根据开挖断面、深度、长度、坡度、运输量和挖运机械设备、施工方法及进度等确定。</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16.1.2</w:t>
      </w:r>
      <w:r>
        <w:rPr>
          <w:rFonts w:hint="eastAsia" w:hAnsi="宋体"/>
          <w:color w:val="000000" w:themeColor="text1"/>
          <w:szCs w:val="21"/>
          <w14:textFill>
            <w14:solidFill>
              <w14:schemeClr w14:val="tx1"/>
            </w14:solidFill>
          </w14:textFill>
        </w:rPr>
        <w:t xml:space="preserve"> 应根据可能的最大施工荷载对提升设备吊运能力及索具、挂钩、杆件的承载力等进行验算。</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16.1.3</w:t>
      </w:r>
      <w:r>
        <w:rPr>
          <w:rFonts w:hint="eastAsia" w:hAnsi="宋体"/>
          <w:color w:val="000000" w:themeColor="text1"/>
          <w:szCs w:val="21"/>
          <w14:textFill>
            <w14:solidFill>
              <w14:schemeClr w14:val="tx1"/>
            </w14:solidFill>
          </w14:textFill>
        </w:rPr>
        <w:t xml:space="preserve"> 水平运输和垂直提升应采取防溜和防坠落措施。</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16.1.4</w:t>
      </w:r>
      <w:r>
        <w:rPr>
          <w:rFonts w:hint="eastAsia" w:hAnsi="宋体"/>
          <w:color w:val="000000" w:themeColor="text1"/>
          <w:szCs w:val="21"/>
          <w14:textFill>
            <w14:solidFill>
              <w14:schemeClr w14:val="tx1"/>
            </w14:solidFill>
          </w14:textFill>
        </w:rPr>
        <w:t xml:space="preserve"> 水平运输设备、线路及提升设备应设专人维修保养，废渣余料等应及时清理干净。</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16.1.5</w:t>
      </w:r>
      <w:r>
        <w:rPr>
          <w:rFonts w:hint="eastAsia" w:hAnsi="宋体"/>
          <w:color w:val="000000" w:themeColor="text1"/>
          <w:szCs w:val="21"/>
          <w14:textFill>
            <w14:solidFill>
              <w14:schemeClr w14:val="tx1"/>
            </w14:solidFill>
          </w14:textFill>
        </w:rPr>
        <w:t xml:space="preserve"> 渣土由竖井转运时，应设专人统一调配隧道内水平和垂直运输。</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16.1.6</w:t>
      </w:r>
      <w:r>
        <w:rPr>
          <w:rFonts w:hint="eastAsia" w:hAnsi="宋体"/>
          <w:color w:val="000000" w:themeColor="text1"/>
          <w:szCs w:val="21"/>
          <w14:textFill>
            <w14:solidFill>
              <w14:schemeClr w14:val="tx1"/>
            </w14:solidFill>
          </w14:textFill>
        </w:rPr>
        <w:t xml:space="preserve"> 渣土外运应符合下列规定：</w:t>
      </w:r>
    </w:p>
    <w:p>
      <w:pPr>
        <w:pStyle w:val="22"/>
        <w:tabs>
          <w:tab w:val="left" w:pos="851"/>
          <w:tab w:val="left" w:pos="5835"/>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 </w:t>
      </w:r>
      <w:r>
        <w:rPr>
          <w:rFonts w:hint="eastAsia" w:hAnsi="宋体"/>
          <w:color w:val="000000" w:themeColor="text1"/>
          <w:szCs w:val="21"/>
          <w14:textFill>
            <w14:solidFill>
              <w14:schemeClr w14:val="tx1"/>
            </w14:solidFill>
          </w14:textFill>
        </w:rPr>
        <w:t>渣土应按规定的路线运输到弃渣场，不得随意弃渣；</w:t>
      </w:r>
    </w:p>
    <w:p>
      <w:pPr>
        <w:pStyle w:val="22"/>
        <w:tabs>
          <w:tab w:val="left" w:pos="851"/>
          <w:tab w:val="left" w:pos="5835"/>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2 </w:t>
      </w:r>
      <w:r>
        <w:rPr>
          <w:rFonts w:hint="eastAsia" w:hAnsi="宋体"/>
          <w:color w:val="000000" w:themeColor="text1"/>
          <w:szCs w:val="21"/>
          <w14:textFill>
            <w14:solidFill>
              <w14:schemeClr w14:val="tx1"/>
            </w14:solidFill>
          </w14:textFill>
        </w:rPr>
        <w:t>渣土运输车辆应采用符合环保要求的封闭自卸汽车，卸渣时应有专人指挥；</w:t>
      </w:r>
    </w:p>
    <w:p>
      <w:pPr>
        <w:pStyle w:val="22"/>
        <w:tabs>
          <w:tab w:val="left" w:pos="851"/>
          <w:tab w:val="left" w:pos="5835"/>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3 </w:t>
      </w:r>
      <w:r>
        <w:rPr>
          <w:rFonts w:hint="eastAsia" w:hAnsi="宋体"/>
          <w:color w:val="000000" w:themeColor="text1"/>
          <w:szCs w:val="21"/>
          <w14:textFill>
            <w14:solidFill>
              <w14:schemeClr w14:val="tx1"/>
            </w14:solidFill>
          </w14:textFill>
        </w:rPr>
        <w:t>施工场地出入口应设置车辆冲洗设施，运输车辆应冲洗干净后方可进出场；</w:t>
      </w:r>
    </w:p>
    <w:p>
      <w:pPr>
        <w:pStyle w:val="22"/>
        <w:tabs>
          <w:tab w:val="left" w:pos="851"/>
          <w:tab w:val="left" w:pos="5835"/>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4 </w:t>
      </w:r>
      <w:r>
        <w:rPr>
          <w:rFonts w:hint="eastAsia" w:hAnsi="宋体"/>
          <w:color w:val="000000" w:themeColor="text1"/>
          <w:szCs w:val="21"/>
          <w14:textFill>
            <w14:solidFill>
              <w14:schemeClr w14:val="tx1"/>
            </w14:solidFill>
          </w14:textFill>
        </w:rPr>
        <w:t>应及时清理场内外散落的渣土。</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485" w:name="_Toc8581"/>
      <w:bookmarkStart w:id="486" w:name="_Toc3500"/>
      <w:bookmarkStart w:id="487" w:name="_Toc25089"/>
      <w:bookmarkStart w:id="488" w:name="_Toc3842"/>
      <w:bookmarkStart w:id="489" w:name="_Toc22079"/>
      <w:bookmarkStart w:id="490" w:name="_Toc16203"/>
      <w:r>
        <w:rPr>
          <w:rFonts w:hint="eastAsia" w:hAnsi="宋体"/>
          <w:b/>
          <w:color w:val="000000" w:themeColor="text1"/>
          <w:sz w:val="24"/>
          <w14:textFill>
            <w14:solidFill>
              <w14:schemeClr w14:val="tx1"/>
            </w14:solidFill>
          </w14:textFill>
        </w:rPr>
        <w:t>16.2  水平运输</w:t>
      </w:r>
      <w:bookmarkEnd w:id="485"/>
      <w:bookmarkEnd w:id="486"/>
      <w:bookmarkEnd w:id="487"/>
      <w:bookmarkEnd w:id="488"/>
      <w:bookmarkEnd w:id="489"/>
      <w:bookmarkEnd w:id="490"/>
    </w:p>
    <w:p>
      <w:pPr>
        <w:pStyle w:val="22"/>
        <w:tabs>
          <w:tab w:val="left" w:pos="851"/>
          <w:tab w:val="left" w:pos="1723"/>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16.2.1</w:t>
      </w:r>
      <w:r>
        <w:rPr>
          <w:rFonts w:hint="eastAsia" w:hAnsi="宋体"/>
          <w:color w:val="000000" w:themeColor="text1"/>
          <w:szCs w:val="21"/>
          <w14:textFill>
            <w14:solidFill>
              <w14:schemeClr w14:val="tx1"/>
            </w14:solidFill>
          </w14:textFill>
        </w:rPr>
        <w:t xml:space="preserve"> </w:t>
      </w:r>
      <w:r>
        <w:rPr>
          <w:color w:val="000000" w:themeColor="text1"/>
          <w14:textFill>
            <w14:solidFill>
              <w14:schemeClr w14:val="tx1"/>
            </w14:solidFill>
          </w14:textFill>
        </w:rPr>
        <w:t>隧道内</w:t>
      </w:r>
      <w:r>
        <w:rPr>
          <w:rFonts w:hint="eastAsia" w:hAnsi="宋体"/>
          <w:color w:val="000000" w:themeColor="text1"/>
          <w:szCs w:val="21"/>
          <w14:textFill>
            <w14:solidFill>
              <w14:schemeClr w14:val="tx1"/>
            </w14:solidFill>
          </w14:textFill>
        </w:rPr>
        <w:t>水平运输</w:t>
      </w:r>
      <w:r>
        <w:rPr>
          <w:color w:val="000000" w:themeColor="text1"/>
          <w14:textFill>
            <w14:solidFill>
              <w14:schemeClr w14:val="tx1"/>
            </w14:solidFill>
          </w14:textFill>
        </w:rPr>
        <w:t>宜选用电力驱动的施工机械和车辆</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使用内燃机械和车辆时，应选用带净化装置的柴油机</w:t>
      </w:r>
      <w:r>
        <w:rPr>
          <w:rFonts w:hint="eastAsia"/>
          <w:color w:val="000000" w:themeColor="text1"/>
          <w14:textFill>
            <w14:solidFill>
              <w14:schemeClr w14:val="tx1"/>
            </w14:solidFill>
          </w14:textFill>
        </w:rPr>
        <w:t>，不得</w:t>
      </w:r>
      <w:r>
        <w:rPr>
          <w:color w:val="000000" w:themeColor="text1"/>
          <w14:textFill>
            <w14:solidFill>
              <w14:schemeClr w14:val="tx1"/>
            </w14:solidFill>
          </w14:textFill>
        </w:rPr>
        <w:t>使用汽油机械和车辆。</w:t>
      </w:r>
    </w:p>
    <w:p>
      <w:pPr>
        <w:pStyle w:val="22"/>
        <w:tabs>
          <w:tab w:val="left" w:pos="851"/>
          <w:tab w:val="left" w:pos="1723"/>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16.2.2</w:t>
      </w:r>
      <w:r>
        <w:rPr>
          <w:rFonts w:hint="eastAsia" w:hAnsi="宋体"/>
          <w:color w:val="000000" w:themeColor="text1"/>
          <w:szCs w:val="21"/>
          <w14:textFill>
            <w14:solidFill>
              <w14:schemeClr w14:val="tx1"/>
            </w14:solidFill>
          </w14:textFill>
        </w:rPr>
        <w:t xml:space="preserve"> 运输车辆应车况良好，安全装置齐全、有效，报监理工程师验收合格后使用。</w:t>
      </w:r>
    </w:p>
    <w:p>
      <w:pPr>
        <w:pStyle w:val="22"/>
        <w:tabs>
          <w:tab w:val="left" w:pos="851"/>
          <w:tab w:val="left" w:pos="1723"/>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16.2.3</w:t>
      </w:r>
      <w:r>
        <w:rPr>
          <w:rFonts w:hint="eastAsia" w:hAnsi="宋体"/>
          <w:color w:val="000000" w:themeColor="text1"/>
          <w:szCs w:val="21"/>
          <w14:textFill>
            <w14:solidFill>
              <w14:schemeClr w14:val="tx1"/>
            </w14:solidFill>
          </w14:textFill>
        </w:rPr>
        <w:t xml:space="preserve"> 运输设备应专人定期检查、维修、保养，并做好维保记录，严格按照规程操作，建立设备管理台账。</w:t>
      </w:r>
    </w:p>
    <w:p>
      <w:pPr>
        <w:pStyle w:val="22"/>
        <w:tabs>
          <w:tab w:val="left" w:pos="851"/>
          <w:tab w:val="left" w:pos="1723"/>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16.2.4</w:t>
      </w:r>
      <w:r>
        <w:rPr>
          <w:rFonts w:hint="eastAsia" w:hAnsi="宋体"/>
          <w:color w:val="000000" w:themeColor="text1"/>
          <w:szCs w:val="21"/>
          <w14:textFill>
            <w14:solidFill>
              <w14:schemeClr w14:val="tx1"/>
            </w14:solidFill>
          </w14:textFill>
        </w:rPr>
        <w:t xml:space="preserve"> 洞内应设置完善的运输设备照明、信号系统，启动前应鸣笛示意</w:t>
      </w:r>
      <w:r>
        <w:rPr>
          <w:rFonts w:hint="eastAsia"/>
          <w:color w:val="000000" w:themeColor="text1"/>
          <w14:textFill>
            <w14:solidFill>
              <w14:schemeClr w14:val="tx1"/>
            </w14:solidFill>
          </w14:textFill>
        </w:rPr>
        <w:t>。</w:t>
      </w:r>
    </w:p>
    <w:p>
      <w:pPr>
        <w:pStyle w:val="22"/>
        <w:tabs>
          <w:tab w:val="left" w:pos="851"/>
          <w:tab w:val="left" w:pos="1723"/>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16.2.5</w:t>
      </w:r>
      <w:r>
        <w:rPr>
          <w:rFonts w:hint="eastAsia" w:hAnsi="宋体"/>
          <w:color w:val="000000" w:themeColor="text1"/>
          <w:szCs w:val="21"/>
          <w14:textFill>
            <w14:solidFill>
              <w14:schemeClr w14:val="tx1"/>
            </w14:solidFill>
          </w14:textFill>
        </w:rPr>
        <w:t xml:space="preserve"> 车辆设备应设置雷达探测报警装置，防止作业时碰撞及伤害。</w:t>
      </w:r>
      <w:r>
        <w:rPr>
          <w:rFonts w:hAnsi="宋体"/>
          <w:color w:val="000000" w:themeColor="text1"/>
          <w:szCs w:val="21"/>
          <w14:textFill>
            <w14:solidFill>
              <w14:schemeClr w14:val="tx1"/>
            </w14:solidFill>
          </w14:textFill>
        </w:rPr>
        <w:t xml:space="preserve"> </w:t>
      </w:r>
    </w:p>
    <w:p>
      <w:pPr>
        <w:pStyle w:val="22"/>
        <w:tabs>
          <w:tab w:val="left" w:pos="851"/>
          <w:tab w:val="left" w:pos="1723"/>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16.2.6</w:t>
      </w:r>
      <w:r>
        <w:rPr>
          <w:rFonts w:hint="eastAsia" w:hAnsi="宋体"/>
          <w:color w:val="000000" w:themeColor="text1"/>
          <w:szCs w:val="21"/>
          <w14:textFill>
            <w14:solidFill>
              <w14:schemeClr w14:val="tx1"/>
            </w14:solidFill>
          </w14:textFill>
        </w:rPr>
        <w:t xml:space="preserve"> 运输道路应满足最小行车限界要求，并应设置安全警示、限速等交通标识，应定期检查维护，保持通畅。</w:t>
      </w:r>
      <w:r>
        <w:rPr>
          <w:rFonts w:hAnsi="宋体"/>
          <w:color w:val="000000" w:themeColor="text1"/>
          <w:szCs w:val="21"/>
          <w14:textFill>
            <w14:solidFill>
              <w14:schemeClr w14:val="tx1"/>
            </w14:solidFill>
          </w14:textFill>
        </w:rPr>
        <w:t xml:space="preserve"> </w:t>
      </w:r>
    </w:p>
    <w:p>
      <w:pPr>
        <w:pStyle w:val="22"/>
        <w:tabs>
          <w:tab w:val="left" w:pos="851"/>
          <w:tab w:val="left" w:pos="1723"/>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16.2.7</w:t>
      </w:r>
      <w:r>
        <w:rPr>
          <w:rFonts w:hint="eastAsia" w:hAnsi="宋体"/>
          <w:color w:val="000000" w:themeColor="text1"/>
          <w:szCs w:val="21"/>
          <w14:textFill>
            <w14:solidFill>
              <w14:schemeClr w14:val="tx1"/>
            </w14:solidFill>
          </w14:textFill>
        </w:rPr>
        <w:t xml:space="preserve"> 隧道内各种运输设备禁止载人。</w:t>
      </w:r>
    </w:p>
    <w:p>
      <w:pPr>
        <w:pStyle w:val="22"/>
        <w:tabs>
          <w:tab w:val="left" w:pos="851"/>
          <w:tab w:val="left" w:pos="1723"/>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16.2.8</w:t>
      </w:r>
      <w:r>
        <w:rPr>
          <w:rFonts w:hint="eastAsia" w:hAnsi="宋体"/>
          <w:color w:val="000000" w:themeColor="text1"/>
          <w:szCs w:val="21"/>
          <w14:textFill>
            <w14:solidFill>
              <w14:schemeClr w14:val="tx1"/>
            </w14:solidFill>
          </w14:textFill>
        </w:rPr>
        <w:t xml:space="preserve"> 隧道内运输车辆不应超载、超高、超宽作业，斗车装料高度不应高于车顶</w:t>
      </w:r>
      <w:r>
        <w:rPr>
          <w:rFonts w:hAnsi="宋体"/>
          <w:color w:val="000000" w:themeColor="text1"/>
          <w:szCs w:val="21"/>
          <w14:textFill>
            <w14:solidFill>
              <w14:schemeClr w14:val="tx1"/>
            </w14:solidFill>
          </w14:textFill>
        </w:rPr>
        <w:t xml:space="preserve"> 400mm</w:t>
      </w:r>
      <w:r>
        <w:rPr>
          <w:rFonts w:hint="eastAsia" w:hAnsi="宋体"/>
          <w:color w:val="000000" w:themeColor="text1"/>
          <w:szCs w:val="21"/>
          <w14:textFill>
            <w14:solidFill>
              <w14:schemeClr w14:val="tx1"/>
            </w14:solidFill>
          </w14:textFill>
        </w:rPr>
        <w:t>；平板车装料高度不应大于</w:t>
      </w:r>
      <w:r>
        <w:rPr>
          <w:rFonts w:hAnsi="宋体"/>
          <w:color w:val="000000" w:themeColor="text1"/>
          <w:szCs w:val="21"/>
          <w14:textFill>
            <w14:solidFill>
              <w14:schemeClr w14:val="tx1"/>
            </w14:solidFill>
          </w14:textFill>
        </w:rPr>
        <w:t>1m</w:t>
      </w:r>
      <w:r>
        <w:rPr>
          <w:rFonts w:hint="eastAsia" w:hAnsi="宋体"/>
          <w:color w:val="000000" w:themeColor="text1"/>
          <w:szCs w:val="21"/>
          <w14:textFill>
            <w14:solidFill>
              <w14:schemeClr w14:val="tx1"/>
            </w14:solidFill>
          </w14:textFill>
        </w:rPr>
        <w:t>，并应有可靠固定装置，宽度不应大于</w:t>
      </w:r>
      <w:r>
        <w:rPr>
          <w:rFonts w:hAnsi="宋体"/>
          <w:color w:val="000000" w:themeColor="text1"/>
          <w:szCs w:val="21"/>
          <w14:textFill>
            <w14:solidFill>
              <w14:schemeClr w14:val="tx1"/>
            </w14:solidFill>
          </w14:textFill>
        </w:rPr>
        <w:t>150mm</w:t>
      </w:r>
      <w:r>
        <w:rPr>
          <w:rFonts w:hint="eastAsia" w:hAnsi="宋体"/>
          <w:color w:val="000000" w:themeColor="text1"/>
          <w:szCs w:val="21"/>
          <w14:textFill>
            <w14:solidFill>
              <w14:schemeClr w14:val="tx1"/>
            </w14:solidFill>
          </w14:textFill>
        </w:rPr>
        <w:t>。</w:t>
      </w:r>
    </w:p>
    <w:p>
      <w:pPr>
        <w:pStyle w:val="22"/>
        <w:tabs>
          <w:tab w:val="left" w:pos="851"/>
          <w:tab w:val="left" w:pos="1723"/>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16.2.9</w:t>
      </w:r>
      <w:r>
        <w:rPr>
          <w:rFonts w:hint="eastAsia" w:hAnsi="宋体"/>
          <w:color w:val="000000" w:themeColor="text1"/>
          <w:szCs w:val="21"/>
          <w14:textFill>
            <w14:solidFill>
              <w14:schemeClr w14:val="tx1"/>
            </w14:solidFill>
          </w14:textFill>
        </w:rPr>
        <w:t xml:space="preserve"> </w:t>
      </w:r>
      <w:r>
        <w:rPr>
          <w:rFonts w:hint="eastAsia" w:hAnsi="宋体" w:cstheme="minorEastAsia"/>
          <w:color w:val="000000" w:themeColor="text1"/>
          <w:szCs w:val="21"/>
          <w14:textFill>
            <w14:solidFill>
              <w14:schemeClr w14:val="tx1"/>
            </w14:solidFill>
          </w14:textFill>
        </w:rPr>
        <w:t>运输过程中，电动三轮车行使速度不得超过5km/h。</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491" w:name="_Toc23266"/>
      <w:bookmarkStart w:id="492" w:name="_Toc16913"/>
      <w:bookmarkStart w:id="493" w:name="_Toc18307"/>
      <w:bookmarkStart w:id="494" w:name="_Toc17325"/>
      <w:bookmarkStart w:id="495" w:name="_Toc10331"/>
      <w:bookmarkStart w:id="496" w:name="_Toc31458"/>
      <w:r>
        <w:rPr>
          <w:rFonts w:hint="eastAsia" w:hAnsi="宋体"/>
          <w:b/>
          <w:color w:val="000000" w:themeColor="text1"/>
          <w:sz w:val="24"/>
          <w14:textFill>
            <w14:solidFill>
              <w14:schemeClr w14:val="tx1"/>
            </w14:solidFill>
          </w14:textFill>
        </w:rPr>
        <w:t>16.3  垂直运输</w:t>
      </w:r>
      <w:bookmarkEnd w:id="491"/>
      <w:bookmarkEnd w:id="492"/>
      <w:bookmarkEnd w:id="493"/>
      <w:bookmarkEnd w:id="494"/>
      <w:bookmarkEnd w:id="495"/>
      <w:bookmarkEnd w:id="496"/>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16.3.1</w:t>
      </w:r>
      <w:r>
        <w:rPr>
          <w:rFonts w:hint="eastAsia" w:hAnsi="宋体"/>
          <w:color w:val="000000" w:themeColor="text1"/>
          <w:szCs w:val="21"/>
          <w14:textFill>
            <w14:solidFill>
              <w14:schemeClr w14:val="tx1"/>
            </w14:solidFill>
          </w14:textFill>
        </w:rPr>
        <w:t xml:space="preserve"> 竖井垂直运输应设专人指挥，上、下应设联络信号，井底紧急停车信号应能及时发送给提升司机。</w:t>
      </w:r>
      <w:r>
        <w:rPr>
          <w:rFonts w:hAnsi="宋体"/>
          <w:color w:val="000000" w:themeColor="text1"/>
          <w:szCs w:val="21"/>
          <w14:textFill>
            <w14:solidFill>
              <w14:schemeClr w14:val="tx1"/>
            </w14:solidFill>
          </w14:textFill>
        </w:rPr>
        <w:t xml:space="preserve"> </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16.3.2</w:t>
      </w:r>
      <w:r>
        <w:rPr>
          <w:rFonts w:hint="eastAsia" w:hAnsi="宋体"/>
          <w:color w:val="000000" w:themeColor="text1"/>
          <w:szCs w:val="21"/>
          <w14:textFill>
            <w14:solidFill>
              <w14:schemeClr w14:val="tx1"/>
            </w14:solidFill>
          </w14:textFill>
        </w:rPr>
        <w:t xml:space="preserve"> 竖井坑底应设置集水坑、集土坑。</w:t>
      </w:r>
      <w:r>
        <w:rPr>
          <w:rFonts w:hAnsi="宋体"/>
          <w:color w:val="000000" w:themeColor="text1"/>
          <w:szCs w:val="21"/>
          <w14:textFill>
            <w14:solidFill>
              <w14:schemeClr w14:val="tx1"/>
            </w14:solidFill>
          </w14:textFill>
        </w:rPr>
        <w:t xml:space="preserve"> </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16.3.3</w:t>
      </w:r>
      <w:r>
        <w:rPr>
          <w:rFonts w:hint="eastAsia" w:hAnsi="宋体"/>
          <w:color w:val="000000" w:themeColor="text1"/>
          <w:szCs w:val="21"/>
          <w14:textFill>
            <w14:solidFill>
              <w14:schemeClr w14:val="tx1"/>
            </w14:solidFill>
          </w14:textFill>
        </w:rPr>
        <w:t xml:space="preserve"> 竖井口应设安全栅栏和安全门，通向井口的轨道应设阻车器。</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16.3.4</w:t>
      </w:r>
      <w:r>
        <w:rPr>
          <w:rFonts w:hint="eastAsia" w:hAnsi="宋体"/>
          <w:color w:val="000000" w:themeColor="text1"/>
          <w:szCs w:val="21"/>
          <w14:textFill>
            <w14:solidFill>
              <w14:schemeClr w14:val="tx1"/>
            </w14:solidFill>
          </w14:textFill>
        </w:rPr>
        <w:t xml:space="preserve"> 竖井内吊装区域应设置隔离栏杆进行封闭，应悬挂安全警示标牌及车辆限速标牌。</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16.3.5</w:t>
      </w:r>
      <w:r>
        <w:rPr>
          <w:rFonts w:hint="eastAsia" w:hAnsi="宋体"/>
          <w:color w:val="000000" w:themeColor="text1"/>
          <w:szCs w:val="21"/>
          <w14:textFill>
            <w14:solidFill>
              <w14:schemeClr w14:val="tx1"/>
            </w14:solidFill>
          </w14:textFill>
        </w:rPr>
        <w:t xml:space="preserve"> 竖井垂直运输不应与井内施工同时作业，运输材料时，井下作业人员应撤离至安全地带。</w:t>
      </w:r>
      <w:r>
        <w:rPr>
          <w:rFonts w:hAnsi="宋体"/>
          <w:color w:val="000000" w:themeColor="text1"/>
          <w:szCs w:val="21"/>
          <w14:textFill>
            <w14:solidFill>
              <w14:schemeClr w14:val="tx1"/>
            </w14:solidFill>
          </w14:textFill>
        </w:rPr>
        <w:t xml:space="preserve"> </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16.3.6</w:t>
      </w:r>
      <w:r>
        <w:rPr>
          <w:rFonts w:hint="eastAsia" w:hAnsi="宋体"/>
          <w:color w:val="000000" w:themeColor="text1"/>
          <w:szCs w:val="21"/>
          <w14:textFill>
            <w14:solidFill>
              <w14:schemeClr w14:val="tx1"/>
            </w14:solidFill>
          </w14:textFill>
        </w:rPr>
        <w:t xml:space="preserve"> 井架、龙门架物料提升机等设备严禁超额定负荷起吊，物料不得超出土斗上口，严禁斜吊平拉、骤然停车，速度升降应平稳，不应超速运行；严禁限位器作开关使用、起吊重物不应得过久空悬。</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p>
    <w:p>
      <w:pPr>
        <w:pageBreakBefore/>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497" w:name="_Toc29103"/>
      <w:bookmarkStart w:id="498" w:name="_Toc11087"/>
      <w:bookmarkStart w:id="499" w:name="_Toc1261"/>
      <w:bookmarkStart w:id="500" w:name="_Toc14582"/>
      <w:bookmarkStart w:id="501" w:name="_Toc12056"/>
      <w:bookmarkStart w:id="502" w:name="_Toc23041"/>
      <w:r>
        <w:rPr>
          <w:rFonts w:hint="eastAsia"/>
          <w:b/>
          <w:color w:val="000000" w:themeColor="text1"/>
          <w:sz w:val="28"/>
          <w:szCs w:val="28"/>
          <w14:textFill>
            <w14:solidFill>
              <w14:schemeClr w14:val="tx1"/>
            </w14:solidFill>
          </w14:textFill>
        </w:rPr>
        <w:t>17  风、水、电、通风</w:t>
      </w:r>
      <w:bookmarkEnd w:id="497"/>
      <w:r>
        <w:rPr>
          <w:rFonts w:hint="eastAsia"/>
          <w:b/>
          <w:color w:val="000000" w:themeColor="text1"/>
          <w:sz w:val="28"/>
          <w:szCs w:val="28"/>
          <w14:textFill>
            <w14:solidFill>
              <w14:schemeClr w14:val="tx1"/>
            </w14:solidFill>
          </w14:textFill>
        </w:rPr>
        <w:t>和扬尘控制</w:t>
      </w:r>
      <w:bookmarkEnd w:id="498"/>
      <w:bookmarkEnd w:id="499"/>
      <w:bookmarkEnd w:id="500"/>
      <w:bookmarkEnd w:id="501"/>
      <w:bookmarkEnd w:id="502"/>
    </w:p>
    <w:p>
      <w:pPr>
        <w:tabs>
          <w:tab w:val="left" w:pos="3270"/>
          <w:tab w:val="left" w:pos="5835"/>
        </w:tabs>
        <w:adjustRightInd w:val="0"/>
        <w:snapToGrid w:val="0"/>
        <w:spacing w:before="312" w:beforeLines="100" w:after="312" w:afterLines="100"/>
        <w:ind w:firstLine="482" w:firstLineChars="200"/>
        <w:jc w:val="center"/>
        <w:outlineLvl w:val="1"/>
        <w:rPr>
          <w:rFonts w:hAnsi="宋体"/>
          <w:b/>
          <w:color w:val="000000" w:themeColor="text1"/>
          <w:sz w:val="24"/>
          <w14:textFill>
            <w14:solidFill>
              <w14:schemeClr w14:val="tx1"/>
            </w14:solidFill>
          </w14:textFill>
        </w:rPr>
      </w:pPr>
      <w:bookmarkStart w:id="503" w:name="_Toc14477"/>
      <w:bookmarkStart w:id="504" w:name="_Toc26696"/>
      <w:bookmarkStart w:id="505" w:name="_Toc30516"/>
      <w:bookmarkStart w:id="506" w:name="_Toc6039"/>
      <w:bookmarkStart w:id="507" w:name="_Toc24193"/>
      <w:bookmarkStart w:id="508" w:name="_Toc18249"/>
      <w:r>
        <w:rPr>
          <w:rFonts w:hint="eastAsia" w:hAnsi="宋体"/>
          <w:b/>
          <w:color w:val="000000" w:themeColor="text1"/>
          <w:sz w:val="24"/>
          <w14:textFill>
            <w14:solidFill>
              <w14:schemeClr w14:val="tx1"/>
            </w14:solidFill>
          </w14:textFill>
        </w:rPr>
        <w:t>17.1 供风系统</w:t>
      </w:r>
      <w:bookmarkEnd w:id="503"/>
      <w:bookmarkEnd w:id="504"/>
      <w:bookmarkEnd w:id="505"/>
      <w:bookmarkEnd w:id="506"/>
      <w:bookmarkEnd w:id="507"/>
      <w:bookmarkEnd w:id="508"/>
    </w:p>
    <w:p>
      <w:pPr>
        <w:pStyle w:val="22"/>
        <w:tabs>
          <w:tab w:val="left" w:pos="851"/>
          <w:tab w:val="left" w:pos="5835"/>
        </w:tabs>
        <w:snapToGrid w:val="0"/>
        <w:spacing w:line="360" w:lineRule="auto"/>
        <w:ind w:firstLine="0" w:firstLineChars="0"/>
        <w:jc w:val="left"/>
        <w:rPr>
          <w:color w:val="000000" w:themeColor="text1"/>
          <w14:textFill>
            <w14:solidFill>
              <w14:schemeClr w14:val="tx1"/>
            </w14:solidFill>
          </w14:textFill>
        </w:rPr>
      </w:pPr>
      <w:r>
        <w:rPr>
          <w:rFonts w:hint="eastAsia"/>
          <w:b/>
          <w:color w:val="000000" w:themeColor="text1"/>
          <w14:textFill>
            <w14:solidFill>
              <w14:schemeClr w14:val="tx1"/>
            </w14:solidFill>
          </w14:textFill>
        </w:rPr>
        <w:t>17</w:t>
      </w:r>
      <w:r>
        <w:rPr>
          <w:b/>
          <w:color w:val="000000" w:themeColor="text1"/>
          <w14:textFill>
            <w14:solidFill>
              <w14:schemeClr w14:val="tx1"/>
            </w14:solidFill>
          </w14:textFill>
        </w:rPr>
        <w:t xml:space="preserve">.1.1 </w:t>
      </w:r>
      <w:r>
        <w:rPr>
          <w:rFonts w:hint="eastAsia"/>
          <w:color w:val="000000" w:themeColor="text1"/>
          <w14:textFill>
            <w14:solidFill>
              <w14:schemeClr w14:val="tx1"/>
            </w14:solidFill>
          </w14:textFill>
        </w:rPr>
        <w:t>暗挖隧道施工应采用电动空气压缩机供风，并应设置备用空压机组。空气压缩机宜设置在洞口适宜位置，空压机站宜在竖井附近设置。</w:t>
      </w:r>
    </w:p>
    <w:p>
      <w:pPr>
        <w:pStyle w:val="11"/>
        <w:snapToGrid w:val="0"/>
        <w:spacing w:line="360" w:lineRule="auto"/>
        <w:ind w:left="0" w:leftChars="0"/>
        <w:jc w:val="left"/>
        <w:rPr>
          <w:rFonts w:hAnsi="宋体"/>
          <w:color w:val="000000" w:themeColor="text1"/>
          <w:szCs w:val="21"/>
          <w14:textFill>
            <w14:solidFill>
              <w14:schemeClr w14:val="tx1"/>
            </w14:solidFill>
          </w14:textFill>
        </w:rPr>
      </w:pPr>
      <w:r>
        <w:rPr>
          <w:rFonts w:hint="eastAsia"/>
          <w:b/>
          <w:color w:val="000000" w:themeColor="text1"/>
          <w14:textFill>
            <w14:solidFill>
              <w14:schemeClr w14:val="tx1"/>
            </w14:solidFill>
          </w14:textFill>
        </w:rPr>
        <w:t>17</w:t>
      </w:r>
      <w:r>
        <w:rPr>
          <w:b/>
          <w:color w:val="000000" w:themeColor="text1"/>
          <w14:textFill>
            <w14:solidFill>
              <w14:schemeClr w14:val="tx1"/>
            </w14:solidFill>
          </w14:textFill>
        </w:rPr>
        <w:t>.1.2</w:t>
      </w:r>
      <w:r>
        <w:rPr>
          <w:rFonts w:hint="eastAsia"/>
          <w:color w:val="000000" w:themeColor="text1"/>
          <w14:textFill>
            <w14:solidFill>
              <w14:schemeClr w14:val="tx1"/>
            </w14:solidFill>
          </w14:textFill>
        </w:rPr>
        <w:t xml:space="preserve"> </w:t>
      </w:r>
      <w:r>
        <w:rPr>
          <w:rFonts w:hint="eastAsia" w:hAnsi="宋体"/>
          <w:color w:val="000000" w:themeColor="text1"/>
          <w:szCs w:val="21"/>
          <w14:textFill>
            <w14:solidFill>
              <w14:schemeClr w14:val="tx1"/>
            </w14:solidFill>
          </w14:textFill>
        </w:rPr>
        <w:t>空气压缩机（站）应采取防水、降温、保温及防噪声、防振动措施。</w:t>
      </w:r>
    </w:p>
    <w:p>
      <w:pPr>
        <w:pStyle w:val="11"/>
        <w:snapToGrid w:val="0"/>
        <w:spacing w:line="360" w:lineRule="auto"/>
        <w:ind w:left="0" w:left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 xml:space="preserve">.1.3 </w:t>
      </w:r>
      <w:r>
        <w:rPr>
          <w:rFonts w:hint="eastAsia" w:hAnsi="宋体"/>
          <w:color w:val="000000" w:themeColor="text1"/>
          <w:szCs w:val="21"/>
          <w14:textFill>
            <w14:solidFill>
              <w14:schemeClr w14:val="tx1"/>
            </w14:solidFill>
          </w14:textFill>
        </w:rPr>
        <w:t>空气压缩机站的供风能力应根据同时工作的风动机具耗风量和管路的漏风量经计算确定，总需风量可按下式计算。</w:t>
      </w:r>
    </w:p>
    <w:p>
      <w:pPr>
        <w:pStyle w:val="22"/>
        <w:tabs>
          <w:tab w:val="left" w:pos="851"/>
          <w:tab w:val="left" w:pos="5835"/>
        </w:tabs>
        <w:snapToGrid w:val="0"/>
        <w:spacing w:line="360" w:lineRule="auto"/>
        <w:ind w:firstLine="1575" w:firstLineChars="750"/>
        <w:jc w:val="left"/>
        <w:rPr>
          <w:rFonts w:hAnsi="宋体"/>
          <w:color w:val="000000" w:themeColor="text1"/>
          <w:szCs w:val="21"/>
          <w14:textFill>
            <w14:solidFill>
              <w14:schemeClr w14:val="tx1"/>
            </w14:solidFill>
          </w14:textFill>
        </w:rPr>
      </w:pPr>
      <m:oMathPara>
        <m:oMath>
          <m:r>
            <m:rPr>
              <m:nor/>
            </m:rPr>
            <w:rPr>
              <w:rFonts w:hint="eastAsia" w:ascii="Cambria Math" w:hAnsiTheme="minorEastAsia" w:eastAsiaTheme="minorEastAsia"/>
              <w:i/>
              <w:color w:val="000000" w:themeColor="text1"/>
              <w:szCs w:val="21"/>
              <w14:textFill>
                <w14:solidFill>
                  <w14:schemeClr w14:val="tx1"/>
                </w14:solidFill>
              </w14:textFill>
            </w:rPr>
            <m:t>Q</m:t>
          </m:r>
          <m:r>
            <m:rPr>
              <m:nor/>
            </m:rPr>
            <w:rPr>
              <w:rFonts w:ascii="Cambria Math" w:hAnsi="Cambria Math" w:eastAsia="Cambria Math"/>
              <w:i/>
              <w:color w:val="000000" w:themeColor="text1"/>
              <w:szCs w:val="21"/>
              <w14:textFill>
                <w14:solidFill>
                  <w14:schemeClr w14:val="tx1"/>
                </w14:solidFill>
              </w14:textFill>
            </w:rPr>
            <m:t>=</m:t>
          </m:r>
          <m:sSub>
            <m:sSubPr>
              <m:ctrlPr>
                <w:rPr>
                  <w:rFonts w:ascii="Cambria Math" w:hAnsi="Cambria Math" w:eastAsia="Cambria Math"/>
                  <w:i/>
                  <w:color w:val="000000" w:themeColor="text1"/>
                  <w:szCs w:val="21"/>
                  <w14:textFill>
                    <w14:solidFill>
                      <w14:schemeClr w14:val="tx1"/>
                    </w14:solidFill>
                  </w14:textFill>
                </w:rPr>
              </m:ctrlPr>
            </m:sSubPr>
            <m:e>
              <m:r>
                <m:rPr/>
                <w:rPr>
                  <w:rFonts w:hint="eastAsia" w:ascii="Cambria Math" w:hAnsi="Cambria Math" w:eastAsiaTheme="minorEastAsia"/>
                  <w:color w:val="000000" w:themeColor="text1"/>
                  <w:szCs w:val="21"/>
                  <w14:textFill>
                    <w14:solidFill>
                      <w14:schemeClr w14:val="tx1"/>
                    </w14:solidFill>
                  </w14:textFill>
                </w:rPr>
                <m:t>K</m:t>
              </m:r>
              <m:ctrlPr>
                <w:rPr>
                  <w:rFonts w:ascii="Cambria Math" w:hAnsi="Cambria Math" w:eastAsia="Cambria Math"/>
                  <w:i/>
                  <w:color w:val="000000" w:themeColor="text1"/>
                  <w:szCs w:val="21"/>
                  <w14:textFill>
                    <w14:solidFill>
                      <w14:schemeClr w14:val="tx1"/>
                    </w14:solidFill>
                  </w14:textFill>
                </w:rPr>
              </m:ctrlPr>
            </m:e>
            <m:sub>
              <m:r>
                <m:rPr/>
                <w:rPr>
                  <w:rFonts w:ascii="Cambria Math" w:hAnsi="Cambria Math" w:eastAsia="Cambria Math"/>
                  <w:color w:val="000000" w:themeColor="text1"/>
                  <w:szCs w:val="21"/>
                  <w14:textFill>
                    <w14:solidFill>
                      <w14:schemeClr w14:val="tx1"/>
                    </w14:solidFill>
                  </w14:textFill>
                </w:rPr>
                <m:t>1</m:t>
              </m:r>
              <m:ctrlPr>
                <w:rPr>
                  <w:rFonts w:ascii="Cambria Math" w:hAnsi="Cambria Math" w:eastAsia="Cambria Math"/>
                  <w:i/>
                  <w:color w:val="000000" w:themeColor="text1"/>
                  <w:szCs w:val="21"/>
                  <w14:textFill>
                    <w14:solidFill>
                      <w14:schemeClr w14:val="tx1"/>
                    </w14:solidFill>
                  </w14:textFill>
                </w:rPr>
              </m:ctrlPr>
            </m:sub>
          </m:sSub>
          <m:sSub>
            <m:sSubPr>
              <m:ctrlPr>
                <w:rPr>
                  <w:rFonts w:ascii="Cambria Math" w:hAnsi="Cambria Math" w:eastAsia="Cambria Math"/>
                  <w:i/>
                  <w:color w:val="000000" w:themeColor="text1"/>
                  <w:szCs w:val="21"/>
                  <w14:textFill>
                    <w14:solidFill>
                      <w14:schemeClr w14:val="tx1"/>
                    </w14:solidFill>
                  </w14:textFill>
                </w:rPr>
              </m:ctrlPr>
            </m:sSubPr>
            <m:e>
              <m:r>
                <m:rPr/>
                <w:rPr>
                  <w:rFonts w:hint="eastAsia" w:ascii="Cambria Math" w:hAnsi="Cambria Math" w:eastAsiaTheme="minorEastAsia"/>
                  <w:color w:val="000000" w:themeColor="text1"/>
                  <w:szCs w:val="21"/>
                  <w14:textFill>
                    <w14:solidFill>
                      <w14:schemeClr w14:val="tx1"/>
                    </w14:solidFill>
                  </w14:textFill>
                </w:rPr>
                <m:t>K</m:t>
              </m:r>
              <m:ctrlPr>
                <w:rPr>
                  <w:rFonts w:ascii="Cambria Math" w:hAnsi="Cambria Math" w:eastAsia="Cambria Math"/>
                  <w:i/>
                  <w:color w:val="000000" w:themeColor="text1"/>
                  <w:szCs w:val="21"/>
                  <w14:textFill>
                    <w14:solidFill>
                      <w14:schemeClr w14:val="tx1"/>
                    </w14:solidFill>
                  </w14:textFill>
                </w:rPr>
              </m:ctrlPr>
            </m:e>
            <m:sub>
              <m:r>
                <m:rPr/>
                <w:rPr>
                  <w:rFonts w:ascii="Cambria Math" w:hAnsi="Cambria Math" w:eastAsia="Cambria Math"/>
                  <w:color w:val="000000" w:themeColor="text1"/>
                  <w:szCs w:val="21"/>
                  <w14:textFill>
                    <w14:solidFill>
                      <w14:schemeClr w14:val="tx1"/>
                    </w14:solidFill>
                  </w14:textFill>
                </w:rPr>
                <m:t>2</m:t>
              </m:r>
              <m:ctrlPr>
                <w:rPr>
                  <w:rFonts w:ascii="Cambria Math" w:hAnsi="Cambria Math" w:eastAsia="Cambria Math"/>
                  <w:i/>
                  <w:color w:val="000000" w:themeColor="text1"/>
                  <w:szCs w:val="21"/>
                  <w14:textFill>
                    <w14:solidFill>
                      <w14:schemeClr w14:val="tx1"/>
                    </w14:solidFill>
                  </w14:textFill>
                </w:rPr>
              </m:ctrlPr>
            </m:sub>
          </m:sSub>
          <m:sSub>
            <m:sSubPr>
              <m:ctrlPr>
                <w:rPr>
                  <w:rFonts w:ascii="Cambria Math" w:hAnsi="Cambria Math" w:eastAsia="Cambria Math"/>
                  <w:i/>
                  <w:color w:val="000000" w:themeColor="text1"/>
                  <w:szCs w:val="21"/>
                  <w14:textFill>
                    <w14:solidFill>
                      <w14:schemeClr w14:val="tx1"/>
                    </w14:solidFill>
                  </w14:textFill>
                </w:rPr>
              </m:ctrlPr>
            </m:sSubPr>
            <m:e>
              <m:r>
                <m:rPr/>
                <w:rPr>
                  <w:rFonts w:hint="eastAsia" w:ascii="Cambria Math" w:hAnsi="Cambria Math" w:eastAsiaTheme="minorEastAsia"/>
                  <w:color w:val="000000" w:themeColor="text1"/>
                  <w:szCs w:val="21"/>
                  <w14:textFill>
                    <w14:solidFill>
                      <w14:schemeClr w14:val="tx1"/>
                    </w14:solidFill>
                  </w14:textFill>
                </w:rPr>
                <m:t>K</m:t>
              </m:r>
              <m:ctrlPr>
                <w:rPr>
                  <w:rFonts w:ascii="Cambria Math" w:hAnsi="Cambria Math" w:eastAsia="Cambria Math"/>
                  <w:i/>
                  <w:color w:val="000000" w:themeColor="text1"/>
                  <w:szCs w:val="21"/>
                  <w14:textFill>
                    <w14:solidFill>
                      <w14:schemeClr w14:val="tx1"/>
                    </w14:solidFill>
                  </w14:textFill>
                </w:rPr>
              </m:ctrlPr>
            </m:e>
            <m:sub>
              <m:r>
                <m:rPr/>
                <w:rPr>
                  <w:rFonts w:ascii="Cambria Math" w:hAnsi="Cambria Math" w:eastAsia="Cambria Math"/>
                  <w:color w:val="000000" w:themeColor="text1"/>
                  <w:szCs w:val="21"/>
                  <w14:textFill>
                    <w14:solidFill>
                      <w14:schemeClr w14:val="tx1"/>
                    </w14:solidFill>
                  </w14:textFill>
                </w:rPr>
                <m:t>3</m:t>
              </m:r>
              <m:ctrlPr>
                <w:rPr>
                  <w:rFonts w:ascii="Cambria Math" w:hAnsi="Cambria Math" w:eastAsia="Cambria Math"/>
                  <w:i/>
                  <w:color w:val="000000" w:themeColor="text1"/>
                  <w:szCs w:val="21"/>
                  <w14:textFill>
                    <w14:solidFill>
                      <w14:schemeClr w14:val="tx1"/>
                    </w14:solidFill>
                  </w14:textFill>
                </w:rPr>
              </m:ctrlPr>
            </m:sub>
          </m:sSub>
          <m:nary>
            <m:naryPr>
              <m:chr m:val="∑"/>
              <m:limLoc m:val="undOvr"/>
              <m:subHide m:val="1"/>
              <m:supHide m:val="1"/>
              <m:ctrlPr>
                <w:rPr>
                  <w:rFonts w:ascii="Cambria Math" w:hAnsi="Cambria Math" w:eastAsia="Cambria Math"/>
                  <w:i/>
                  <w:color w:val="000000" w:themeColor="text1"/>
                  <w:szCs w:val="21"/>
                  <w14:textFill>
                    <w14:solidFill>
                      <w14:schemeClr w14:val="tx1"/>
                    </w14:solidFill>
                  </w14:textFill>
                </w:rPr>
              </m:ctrlPr>
            </m:naryPr>
            <m:sub>
              <m:ctrlPr>
                <w:rPr>
                  <w:rFonts w:ascii="Cambria Math" w:hAnsi="Cambria Math" w:eastAsia="Cambria Math"/>
                  <w:i/>
                  <w:color w:val="000000" w:themeColor="text1"/>
                  <w:szCs w:val="21"/>
                  <w14:textFill>
                    <w14:solidFill>
                      <w14:schemeClr w14:val="tx1"/>
                    </w14:solidFill>
                  </w14:textFill>
                </w:rPr>
              </m:ctrlPr>
            </m:sub>
            <m:sup>
              <m:ctrlPr>
                <w:rPr>
                  <w:rFonts w:ascii="Cambria Math" w:hAnsi="Cambria Math" w:eastAsia="Cambria Math"/>
                  <w:i/>
                  <w:color w:val="000000" w:themeColor="text1"/>
                  <w:szCs w:val="21"/>
                  <w14:textFill>
                    <w14:solidFill>
                      <w14:schemeClr w14:val="tx1"/>
                    </w14:solidFill>
                  </w14:textFill>
                </w:rPr>
              </m:ctrlPr>
            </m:sup>
            <m:e>
              <m:d>
                <m:dPr>
                  <m:ctrlPr>
                    <w:rPr>
                      <w:rFonts w:ascii="Cambria Math" w:hAnsi="Cambria Math" w:eastAsia="Cambria Math"/>
                      <w:i/>
                      <w:color w:val="000000" w:themeColor="text1"/>
                      <w:szCs w:val="21"/>
                      <w14:textFill>
                        <w14:solidFill>
                          <w14:schemeClr w14:val="tx1"/>
                        </w14:solidFill>
                      </w14:textFill>
                    </w:rPr>
                  </m:ctrlPr>
                </m:dPr>
                <m:e>
                  <m:r>
                    <m:rPr/>
                    <w:rPr>
                      <w:rFonts w:hint="eastAsia" w:ascii="Cambria Math" w:hAnsi="Cambria Math" w:eastAsiaTheme="minorEastAsia"/>
                      <w:color w:val="000000" w:themeColor="text1"/>
                      <w:szCs w:val="21"/>
                      <w14:textFill>
                        <w14:solidFill>
                          <w14:schemeClr w14:val="tx1"/>
                        </w14:solidFill>
                      </w14:textFill>
                    </w:rPr>
                    <m:t>nq</m:t>
                  </m:r>
                  <m:sSub>
                    <m:sSubPr>
                      <m:ctrlPr>
                        <w:rPr>
                          <w:rFonts w:ascii="Cambria Math" w:hAnsi="Cambria Math" w:eastAsiaTheme="minorEastAsia"/>
                          <w:i/>
                          <w:color w:val="000000" w:themeColor="text1"/>
                          <w:szCs w:val="21"/>
                          <w14:textFill>
                            <w14:solidFill>
                              <w14:schemeClr w14:val="tx1"/>
                            </w14:solidFill>
                          </w14:textFill>
                        </w:rPr>
                      </m:ctrlPr>
                    </m:sSubPr>
                    <m:e>
                      <m:r>
                        <m:rPr/>
                        <w:rPr>
                          <w:rFonts w:hint="eastAsia" w:ascii="Cambria Math" w:hAnsi="Cambria Math" w:eastAsiaTheme="minorEastAsia"/>
                          <w:color w:val="000000" w:themeColor="text1"/>
                          <w:szCs w:val="21"/>
                          <w14:textFill>
                            <w14:solidFill>
                              <w14:schemeClr w14:val="tx1"/>
                            </w14:solidFill>
                          </w14:textFill>
                        </w:rPr>
                        <m:t>K</m:t>
                      </m:r>
                      <m:ctrlPr>
                        <w:rPr>
                          <w:rFonts w:ascii="Cambria Math" w:hAnsi="Cambria Math" w:eastAsiaTheme="minorEastAsia"/>
                          <w:i/>
                          <w:color w:val="000000" w:themeColor="text1"/>
                          <w:szCs w:val="21"/>
                          <w14:textFill>
                            <w14:solidFill>
                              <w14:schemeClr w14:val="tx1"/>
                            </w14:solidFill>
                          </w14:textFill>
                        </w:rPr>
                      </m:ctrlPr>
                    </m:e>
                    <m:sub>
                      <m:r>
                        <m:rPr/>
                        <w:rPr>
                          <w:rFonts w:ascii="Cambria Math" w:hAnsi="Cambria Math" w:eastAsiaTheme="minorEastAsia"/>
                          <w:color w:val="000000" w:themeColor="text1"/>
                          <w:szCs w:val="21"/>
                          <w14:textFill>
                            <w14:solidFill>
                              <w14:schemeClr w14:val="tx1"/>
                            </w14:solidFill>
                          </w14:textFill>
                        </w:rPr>
                        <m:t>4</m:t>
                      </m:r>
                      <m:ctrlPr>
                        <w:rPr>
                          <w:rFonts w:ascii="Cambria Math" w:hAnsi="Cambria Math" w:eastAsiaTheme="minorEastAsia"/>
                          <w:i/>
                          <w:color w:val="000000" w:themeColor="text1"/>
                          <w:szCs w:val="21"/>
                          <w14:textFill>
                            <w14:solidFill>
                              <w14:schemeClr w14:val="tx1"/>
                            </w14:solidFill>
                          </w14:textFill>
                        </w:rPr>
                      </m:ctrlPr>
                    </m:sub>
                  </m:sSub>
                  <m:sSub>
                    <m:sSubPr>
                      <m:ctrlPr>
                        <w:rPr>
                          <w:rFonts w:ascii="Cambria Math" w:hAnsi="Cambria Math" w:eastAsiaTheme="minorEastAsia"/>
                          <w:i/>
                          <w:color w:val="000000" w:themeColor="text1"/>
                          <w:szCs w:val="21"/>
                          <w14:textFill>
                            <w14:solidFill>
                              <w14:schemeClr w14:val="tx1"/>
                            </w14:solidFill>
                          </w14:textFill>
                        </w:rPr>
                      </m:ctrlPr>
                    </m:sSubPr>
                    <m:e>
                      <m:r>
                        <m:rPr/>
                        <w:rPr>
                          <w:rFonts w:hint="eastAsia" w:ascii="Cambria Math" w:hAnsi="Cambria Math" w:eastAsiaTheme="minorEastAsia"/>
                          <w:color w:val="000000" w:themeColor="text1"/>
                          <w:szCs w:val="21"/>
                          <w14:textFill>
                            <w14:solidFill>
                              <w14:schemeClr w14:val="tx1"/>
                            </w14:solidFill>
                          </w14:textFill>
                        </w:rPr>
                        <m:t>K</m:t>
                      </m:r>
                      <m:ctrlPr>
                        <w:rPr>
                          <w:rFonts w:ascii="Cambria Math" w:hAnsi="Cambria Math" w:eastAsiaTheme="minorEastAsia"/>
                          <w:i/>
                          <w:color w:val="000000" w:themeColor="text1"/>
                          <w:szCs w:val="21"/>
                          <w14:textFill>
                            <w14:solidFill>
                              <w14:schemeClr w14:val="tx1"/>
                            </w14:solidFill>
                          </w14:textFill>
                        </w:rPr>
                      </m:ctrlPr>
                    </m:e>
                    <m:sub>
                      <m:r>
                        <m:rPr/>
                        <w:rPr>
                          <w:rFonts w:ascii="Cambria Math" w:hAnsi="Cambria Math" w:eastAsiaTheme="minorEastAsia"/>
                          <w:color w:val="000000" w:themeColor="text1"/>
                          <w:szCs w:val="21"/>
                          <w14:textFill>
                            <w14:solidFill>
                              <w14:schemeClr w14:val="tx1"/>
                            </w14:solidFill>
                          </w14:textFill>
                        </w:rPr>
                        <m:t>5</m:t>
                      </m:r>
                      <m:ctrlPr>
                        <w:rPr>
                          <w:rFonts w:ascii="Cambria Math" w:hAnsi="Cambria Math" w:eastAsiaTheme="minorEastAsia"/>
                          <w:i/>
                          <w:color w:val="000000" w:themeColor="text1"/>
                          <w:szCs w:val="21"/>
                          <w14:textFill>
                            <w14:solidFill>
                              <w14:schemeClr w14:val="tx1"/>
                            </w14:solidFill>
                          </w14:textFill>
                        </w:rPr>
                      </m:ctrlPr>
                    </m:sub>
                  </m:sSub>
                  <m:ctrlPr>
                    <w:rPr>
                      <w:rFonts w:ascii="Cambria Math" w:hAnsi="Cambria Math" w:eastAsia="Cambria Math"/>
                      <w:i/>
                      <w:color w:val="000000" w:themeColor="text1"/>
                      <w:szCs w:val="21"/>
                      <w14:textFill>
                        <w14:solidFill>
                          <w14:schemeClr w14:val="tx1"/>
                        </w14:solidFill>
                      </w14:textFill>
                    </w:rPr>
                  </m:ctrlPr>
                </m:e>
              </m:d>
              <m:ctrlPr>
                <w:rPr>
                  <w:rFonts w:ascii="Cambria Math" w:hAnsi="Cambria Math" w:eastAsia="Cambria Math"/>
                  <w:i/>
                  <w:color w:val="000000" w:themeColor="text1"/>
                  <w:szCs w:val="21"/>
                  <w14:textFill>
                    <w14:solidFill>
                      <w14:schemeClr w14:val="tx1"/>
                    </w14:solidFill>
                  </w14:textFill>
                </w:rPr>
              </m:ctrlPr>
            </m:e>
          </m:nary>
        </m:oMath>
      </m:oMathPara>
    </w:p>
    <w:p>
      <w:pPr>
        <w:snapToGrid w:val="0"/>
        <w:spacing w:line="360" w:lineRule="auto"/>
        <w:ind w:firstLine="420" w:firstLineChars="20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式中：</w:t>
      </w:r>
      <m:oMath>
        <m:r>
          <m:rPr>
            <m:nor/>
          </m:rPr>
          <w:rPr>
            <w:rFonts w:hint="eastAsia" w:ascii="Cambria Math" w:hAnsiTheme="minorEastAsia" w:eastAsiaTheme="minorEastAsia"/>
            <w:i/>
            <w:color w:val="000000" w:themeColor="text1"/>
            <w:szCs w:val="21"/>
            <w14:textFill>
              <w14:solidFill>
                <w14:schemeClr w14:val="tx1"/>
              </w14:solidFill>
            </w14:textFill>
          </w:rPr>
          <m:t>Q</m:t>
        </m:r>
      </m:oMath>
      <w:r>
        <w:rPr>
          <w:rFonts w:hAnsi="宋体"/>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—压缩空气需用量（</w:t>
      </w:r>
      <w:r>
        <w:rPr>
          <w:rFonts w:hAnsi="宋体"/>
          <w:color w:val="000000" w:themeColor="text1"/>
          <w:szCs w:val="21"/>
          <w14:textFill>
            <w14:solidFill>
              <w14:schemeClr w14:val="tx1"/>
            </w14:solidFill>
          </w14:textFill>
        </w:rPr>
        <w:t>m</w:t>
      </w:r>
      <w:r>
        <w:rPr>
          <w:rFonts w:hAnsi="宋体"/>
          <w:color w:val="000000" w:themeColor="text1"/>
          <w:szCs w:val="21"/>
          <w:vertAlign w:val="superscript"/>
          <w14:textFill>
            <w14:solidFill>
              <w14:schemeClr w14:val="tx1"/>
            </w14:solidFill>
          </w14:textFill>
        </w:rPr>
        <w:t>3</w:t>
      </w:r>
      <w:r>
        <w:rPr>
          <w:rFonts w:hAnsi="宋体"/>
          <w:color w:val="000000" w:themeColor="text1"/>
          <w:szCs w:val="21"/>
          <w14:textFill>
            <w14:solidFill>
              <w14:schemeClr w14:val="tx1"/>
            </w14:solidFill>
          </w14:textFill>
        </w:rPr>
        <w:t>/min</w:t>
      </w:r>
      <w:r>
        <w:rPr>
          <w:rFonts w:hint="eastAsia" w:hAnsi="宋体"/>
          <w:color w:val="000000" w:themeColor="text1"/>
          <w:szCs w:val="21"/>
          <w14:textFill>
            <w14:solidFill>
              <w14:schemeClr w14:val="tx1"/>
            </w14:solidFill>
          </w14:textFill>
        </w:rPr>
        <w:t>）</w:t>
      </w:r>
    </w:p>
    <w:p>
      <w:pPr>
        <w:pStyle w:val="22"/>
        <w:tabs>
          <w:tab w:val="left" w:pos="851"/>
          <w:tab w:val="left" w:pos="5835"/>
        </w:tabs>
        <w:snapToGrid w:val="0"/>
        <w:spacing w:line="360" w:lineRule="auto"/>
        <w:ind w:firstLine="945" w:firstLineChars="450"/>
        <w:jc w:val="left"/>
        <w:rPr>
          <w:rFonts w:hAnsi="宋体"/>
          <w:color w:val="000000" w:themeColor="text1"/>
          <w:szCs w:val="21"/>
          <w14:textFill>
            <w14:solidFill>
              <w14:schemeClr w14:val="tx1"/>
            </w14:solidFill>
          </w14:textFill>
        </w:rPr>
      </w:pPr>
      <m:oMath>
        <m:sSub>
          <m:sSubPr>
            <m:ctrlPr>
              <w:rPr>
                <w:rFonts w:ascii="Cambria Math" w:hAnsi="Cambria Math" w:eastAsia="Cambria Math"/>
                <w:i/>
                <w:color w:val="000000" w:themeColor="text1"/>
                <w:szCs w:val="21"/>
                <w14:textFill>
                  <w14:solidFill>
                    <w14:schemeClr w14:val="tx1"/>
                  </w14:solidFill>
                </w14:textFill>
              </w:rPr>
            </m:ctrlPr>
          </m:sSubPr>
          <m:e>
            <m:r>
              <m:rPr/>
              <w:rPr>
                <w:rFonts w:hint="eastAsia" w:ascii="Cambria Math" w:hAnsi="Cambria Math" w:eastAsiaTheme="minorEastAsia"/>
                <w:color w:val="000000" w:themeColor="text1"/>
                <w:szCs w:val="21"/>
                <w14:textFill>
                  <w14:solidFill>
                    <w14:schemeClr w14:val="tx1"/>
                  </w14:solidFill>
                </w14:textFill>
              </w:rPr>
              <m:t>K</m:t>
            </m:r>
            <m:ctrlPr>
              <w:rPr>
                <w:rFonts w:ascii="Cambria Math" w:hAnsi="Cambria Math" w:eastAsia="Cambria Math"/>
                <w:i/>
                <w:color w:val="000000" w:themeColor="text1"/>
                <w:szCs w:val="21"/>
                <w14:textFill>
                  <w14:solidFill>
                    <w14:schemeClr w14:val="tx1"/>
                  </w14:solidFill>
                </w14:textFill>
              </w:rPr>
            </m:ctrlPr>
          </m:e>
          <m:sub>
            <m:r>
              <m:rPr/>
              <w:rPr>
                <w:rFonts w:ascii="Cambria Math" w:hAnsi="Cambria Math" w:eastAsia="Cambria Math"/>
                <w:color w:val="000000" w:themeColor="text1"/>
                <w:szCs w:val="21"/>
                <w14:textFill>
                  <w14:solidFill>
                    <w14:schemeClr w14:val="tx1"/>
                  </w14:solidFill>
                </w14:textFill>
              </w:rPr>
              <m:t>1</m:t>
            </m:r>
            <m:ctrlPr>
              <w:rPr>
                <w:rFonts w:ascii="Cambria Math" w:hAnsi="Cambria Math" w:eastAsia="Cambria Math"/>
                <w:i/>
                <w:color w:val="000000" w:themeColor="text1"/>
                <w:szCs w:val="21"/>
                <w14:textFill>
                  <w14:solidFill>
                    <w14:schemeClr w14:val="tx1"/>
                  </w14:solidFill>
                </w14:textFill>
              </w:rPr>
            </m:ctrlPr>
          </m:sub>
        </m:sSub>
      </m:oMath>
      <w:r>
        <w:rPr>
          <w:rFonts w:hint="eastAsia" w:hAnsi="宋体"/>
          <w:color w:val="000000" w:themeColor="text1"/>
          <w:szCs w:val="21"/>
          <w14:textFill>
            <w14:solidFill>
              <w14:schemeClr w14:val="tx1"/>
            </w14:solidFill>
          </w14:textFill>
        </w:rPr>
        <w:t>—由于压缩空气效率降低以及未预计的少量增加用风的不确定系数，取1.1；</w:t>
      </w:r>
    </w:p>
    <w:p>
      <w:pPr>
        <w:pStyle w:val="22"/>
        <w:tabs>
          <w:tab w:val="left" w:pos="851"/>
          <w:tab w:val="left" w:pos="5835"/>
        </w:tabs>
        <w:snapToGrid w:val="0"/>
        <w:spacing w:line="360" w:lineRule="auto"/>
        <w:ind w:firstLine="945" w:firstLineChars="450"/>
        <w:jc w:val="left"/>
        <w:rPr>
          <w:rFonts w:hAnsi="宋体"/>
          <w:color w:val="000000" w:themeColor="text1"/>
          <w:szCs w:val="21"/>
          <w14:textFill>
            <w14:solidFill>
              <w14:schemeClr w14:val="tx1"/>
            </w14:solidFill>
          </w14:textFill>
        </w:rPr>
      </w:pPr>
      <m:oMath>
        <m:sSub>
          <m:sSubPr>
            <m:ctrlPr>
              <w:rPr>
                <w:rFonts w:ascii="Cambria Math" w:hAnsi="Cambria Math" w:eastAsia="Cambria Math"/>
                <w:i/>
                <w:color w:val="000000" w:themeColor="text1"/>
                <w:szCs w:val="21"/>
                <w14:textFill>
                  <w14:solidFill>
                    <w14:schemeClr w14:val="tx1"/>
                  </w14:solidFill>
                </w14:textFill>
              </w:rPr>
            </m:ctrlPr>
          </m:sSubPr>
          <m:e>
            <m:r>
              <m:rPr/>
              <w:rPr>
                <w:rFonts w:hint="eastAsia" w:ascii="Cambria Math" w:hAnsi="Cambria Math" w:eastAsiaTheme="minorEastAsia"/>
                <w:color w:val="000000" w:themeColor="text1"/>
                <w:szCs w:val="21"/>
                <w14:textFill>
                  <w14:solidFill>
                    <w14:schemeClr w14:val="tx1"/>
                  </w14:solidFill>
                </w14:textFill>
              </w:rPr>
              <m:t>K</m:t>
            </m:r>
            <m:ctrlPr>
              <w:rPr>
                <w:rFonts w:ascii="Cambria Math" w:hAnsi="Cambria Math" w:eastAsia="Cambria Math"/>
                <w:i/>
                <w:color w:val="000000" w:themeColor="text1"/>
                <w:szCs w:val="21"/>
                <w14:textFill>
                  <w14:solidFill>
                    <w14:schemeClr w14:val="tx1"/>
                  </w14:solidFill>
                </w14:textFill>
              </w:rPr>
            </m:ctrlPr>
          </m:e>
          <m:sub>
            <m:r>
              <m:rPr/>
              <w:rPr>
                <w:rFonts w:ascii="Cambria Math" w:hAnsi="Cambria Math" w:eastAsia="Cambria Math"/>
                <w:color w:val="000000" w:themeColor="text1"/>
                <w:szCs w:val="21"/>
                <w14:textFill>
                  <w14:solidFill>
                    <w14:schemeClr w14:val="tx1"/>
                  </w14:solidFill>
                </w14:textFill>
              </w:rPr>
              <m:t>2</m:t>
            </m:r>
            <m:ctrlPr>
              <w:rPr>
                <w:rFonts w:ascii="Cambria Math" w:hAnsi="Cambria Math" w:eastAsia="Cambria Math"/>
                <w:i/>
                <w:color w:val="000000" w:themeColor="text1"/>
                <w:szCs w:val="21"/>
                <w14:textFill>
                  <w14:solidFill>
                    <w14:schemeClr w14:val="tx1"/>
                  </w14:solidFill>
                </w14:textFill>
              </w:rPr>
            </m:ctrlPr>
          </m:sub>
        </m:sSub>
      </m:oMath>
      <w:r>
        <w:rPr>
          <w:rFonts w:hint="eastAsia" w:hAnsi="宋体"/>
          <w:color w:val="000000" w:themeColor="text1"/>
          <w:szCs w:val="21"/>
          <w14:textFill>
            <w14:solidFill>
              <w14:schemeClr w14:val="tx1"/>
            </w14:solidFill>
          </w14:textFill>
        </w:rPr>
        <w:t>—高程修正系数，取1.03；</w:t>
      </w:r>
    </w:p>
    <w:p>
      <w:pPr>
        <w:pStyle w:val="22"/>
        <w:tabs>
          <w:tab w:val="left" w:pos="851"/>
          <w:tab w:val="left" w:pos="5835"/>
        </w:tabs>
        <w:snapToGrid w:val="0"/>
        <w:spacing w:line="360" w:lineRule="auto"/>
        <w:ind w:firstLine="945" w:firstLineChars="450"/>
        <w:jc w:val="left"/>
        <w:rPr>
          <w:rFonts w:hAnsi="宋体"/>
          <w:color w:val="000000" w:themeColor="text1"/>
          <w:szCs w:val="21"/>
          <w14:textFill>
            <w14:solidFill>
              <w14:schemeClr w14:val="tx1"/>
            </w14:solidFill>
          </w14:textFill>
        </w:rPr>
      </w:pPr>
      <m:oMath>
        <m:sSub>
          <m:sSubPr>
            <m:ctrlPr>
              <w:rPr>
                <w:rFonts w:ascii="Cambria Math" w:hAnsi="Cambria Math" w:eastAsia="Cambria Math"/>
                <w:i/>
                <w:color w:val="000000" w:themeColor="text1"/>
                <w:szCs w:val="21"/>
                <w14:textFill>
                  <w14:solidFill>
                    <w14:schemeClr w14:val="tx1"/>
                  </w14:solidFill>
                </w14:textFill>
              </w:rPr>
            </m:ctrlPr>
          </m:sSubPr>
          <m:e>
            <m:r>
              <m:rPr/>
              <w:rPr>
                <w:rFonts w:hint="eastAsia" w:ascii="Cambria Math" w:hAnsi="Cambria Math" w:eastAsiaTheme="minorEastAsia"/>
                <w:color w:val="000000" w:themeColor="text1"/>
                <w:szCs w:val="21"/>
                <w14:textFill>
                  <w14:solidFill>
                    <w14:schemeClr w14:val="tx1"/>
                  </w14:solidFill>
                </w14:textFill>
              </w:rPr>
              <m:t>K</m:t>
            </m:r>
            <m:ctrlPr>
              <w:rPr>
                <w:rFonts w:ascii="Cambria Math" w:hAnsi="Cambria Math" w:eastAsia="Cambria Math"/>
                <w:i/>
                <w:color w:val="000000" w:themeColor="text1"/>
                <w:szCs w:val="21"/>
                <w14:textFill>
                  <w14:solidFill>
                    <w14:schemeClr w14:val="tx1"/>
                  </w14:solidFill>
                </w14:textFill>
              </w:rPr>
            </m:ctrlPr>
          </m:e>
          <m:sub>
            <m:r>
              <m:rPr/>
              <w:rPr>
                <w:rFonts w:ascii="Cambria Math" w:hAnsi="Cambria Math" w:eastAsia="Cambria Math"/>
                <w:color w:val="000000" w:themeColor="text1"/>
                <w:szCs w:val="21"/>
                <w14:textFill>
                  <w14:solidFill>
                    <w14:schemeClr w14:val="tx1"/>
                  </w14:solidFill>
                </w14:textFill>
              </w:rPr>
              <m:t>3</m:t>
            </m:r>
            <m:ctrlPr>
              <w:rPr>
                <w:rFonts w:ascii="Cambria Math" w:hAnsi="Cambria Math" w:eastAsia="Cambria Math"/>
                <w:i/>
                <w:color w:val="000000" w:themeColor="text1"/>
                <w:szCs w:val="21"/>
                <w14:textFill>
                  <w14:solidFill>
                    <w14:schemeClr w14:val="tx1"/>
                  </w14:solidFill>
                </w14:textFill>
              </w:rPr>
            </m:ctrlPr>
          </m:sub>
        </m:sSub>
      </m:oMath>
      <w:r>
        <w:rPr>
          <w:rFonts w:hint="eastAsia" w:hAnsi="宋体"/>
          <w:color w:val="000000" w:themeColor="text1"/>
          <w:szCs w:val="21"/>
          <w14:textFill>
            <w14:solidFill>
              <w14:schemeClr w14:val="tx1"/>
            </w14:solidFill>
          </w14:textFill>
        </w:rPr>
        <w:t>—管网漏风系数，取1.25；</w:t>
      </w:r>
    </w:p>
    <w:p>
      <w:pPr>
        <w:pStyle w:val="22"/>
        <w:tabs>
          <w:tab w:val="left" w:pos="851"/>
          <w:tab w:val="left" w:pos="5835"/>
        </w:tabs>
        <w:snapToGrid w:val="0"/>
        <w:spacing w:line="360" w:lineRule="auto"/>
        <w:ind w:firstLine="945" w:firstLineChars="450"/>
        <w:jc w:val="left"/>
        <w:rPr>
          <w:rFonts w:hAnsi="宋体"/>
          <w:color w:val="000000" w:themeColor="text1"/>
          <w:szCs w:val="21"/>
          <w14:textFill>
            <w14:solidFill>
              <w14:schemeClr w14:val="tx1"/>
            </w14:solidFill>
          </w14:textFill>
        </w:rPr>
      </w:pPr>
      <m:oMath>
        <m:sSub>
          <m:sSubPr>
            <m:ctrlPr>
              <w:rPr>
                <w:rFonts w:ascii="Cambria Math" w:hAnsi="Cambria Math" w:eastAsiaTheme="minorEastAsia"/>
                <w:i/>
                <w:color w:val="000000" w:themeColor="text1"/>
                <w:szCs w:val="21"/>
                <w14:textFill>
                  <w14:solidFill>
                    <w14:schemeClr w14:val="tx1"/>
                  </w14:solidFill>
                </w14:textFill>
              </w:rPr>
            </m:ctrlPr>
          </m:sSubPr>
          <m:e>
            <m:r>
              <m:rPr/>
              <w:rPr>
                <w:rFonts w:hint="eastAsia" w:ascii="Cambria Math" w:hAnsi="Cambria Math" w:eastAsiaTheme="minorEastAsia"/>
                <w:color w:val="000000" w:themeColor="text1"/>
                <w:szCs w:val="21"/>
                <w14:textFill>
                  <w14:solidFill>
                    <w14:schemeClr w14:val="tx1"/>
                  </w14:solidFill>
                </w14:textFill>
              </w:rPr>
              <m:t>K</m:t>
            </m:r>
            <m:ctrlPr>
              <w:rPr>
                <w:rFonts w:ascii="Cambria Math" w:hAnsi="Cambria Math" w:eastAsiaTheme="minorEastAsia"/>
                <w:i/>
                <w:color w:val="000000" w:themeColor="text1"/>
                <w:szCs w:val="21"/>
                <w14:textFill>
                  <w14:solidFill>
                    <w14:schemeClr w14:val="tx1"/>
                  </w14:solidFill>
                </w14:textFill>
              </w:rPr>
            </m:ctrlPr>
          </m:e>
          <m:sub>
            <m:r>
              <m:rPr/>
              <w:rPr>
                <w:rFonts w:ascii="Cambria Math" w:hAnsi="Cambria Math" w:eastAsiaTheme="minorEastAsia"/>
                <w:color w:val="000000" w:themeColor="text1"/>
                <w:szCs w:val="21"/>
                <w14:textFill>
                  <w14:solidFill>
                    <w14:schemeClr w14:val="tx1"/>
                  </w14:solidFill>
                </w14:textFill>
              </w:rPr>
              <m:t>4</m:t>
            </m:r>
            <m:ctrlPr>
              <w:rPr>
                <w:rFonts w:ascii="Cambria Math" w:hAnsi="Cambria Math" w:eastAsiaTheme="minorEastAsia"/>
                <w:i/>
                <w:color w:val="000000" w:themeColor="text1"/>
                <w:szCs w:val="21"/>
                <w14:textFill>
                  <w14:solidFill>
                    <w14:schemeClr w14:val="tx1"/>
                  </w14:solidFill>
                </w14:textFill>
              </w:rPr>
            </m:ctrlPr>
          </m:sub>
        </m:sSub>
      </m:oMath>
      <w:r>
        <w:rPr>
          <w:rFonts w:hint="eastAsia" w:hAnsi="宋体"/>
          <w:color w:val="000000" w:themeColor="text1"/>
          <w:szCs w:val="21"/>
          <w14:textFill>
            <w14:solidFill>
              <w14:schemeClr w14:val="tx1"/>
            </w14:solidFill>
          </w14:textFill>
        </w:rPr>
        <w:t>—各类风动机具同时工作系数，取值0.8；</w:t>
      </w:r>
    </w:p>
    <w:p>
      <w:pPr>
        <w:pStyle w:val="22"/>
        <w:tabs>
          <w:tab w:val="left" w:pos="851"/>
          <w:tab w:val="left" w:pos="5835"/>
        </w:tabs>
        <w:snapToGrid w:val="0"/>
        <w:spacing w:line="360" w:lineRule="auto"/>
        <w:ind w:firstLine="945" w:firstLineChars="450"/>
        <w:jc w:val="left"/>
        <w:rPr>
          <w:rFonts w:hAnsi="宋体"/>
          <w:color w:val="000000" w:themeColor="text1"/>
          <w:szCs w:val="21"/>
          <w14:textFill>
            <w14:solidFill>
              <w14:schemeClr w14:val="tx1"/>
            </w14:solidFill>
          </w14:textFill>
        </w:rPr>
      </w:pPr>
      <m:oMath>
        <m:sSub>
          <m:sSubPr>
            <m:ctrlPr>
              <w:rPr>
                <w:rFonts w:ascii="Cambria Math" w:hAnsi="Cambria Math" w:eastAsiaTheme="minorEastAsia"/>
                <w:i/>
                <w:color w:val="000000" w:themeColor="text1"/>
                <w:szCs w:val="21"/>
                <w14:textFill>
                  <w14:solidFill>
                    <w14:schemeClr w14:val="tx1"/>
                  </w14:solidFill>
                </w14:textFill>
              </w:rPr>
            </m:ctrlPr>
          </m:sSubPr>
          <m:e>
            <m:r>
              <m:rPr/>
              <w:rPr>
                <w:rFonts w:hint="eastAsia" w:ascii="Cambria Math" w:hAnsi="Cambria Math" w:eastAsiaTheme="minorEastAsia"/>
                <w:color w:val="000000" w:themeColor="text1"/>
                <w:szCs w:val="21"/>
                <w14:textFill>
                  <w14:solidFill>
                    <w14:schemeClr w14:val="tx1"/>
                  </w14:solidFill>
                </w14:textFill>
              </w:rPr>
              <m:t>K</m:t>
            </m:r>
            <m:ctrlPr>
              <w:rPr>
                <w:rFonts w:ascii="Cambria Math" w:hAnsi="Cambria Math" w:eastAsiaTheme="minorEastAsia"/>
                <w:i/>
                <w:color w:val="000000" w:themeColor="text1"/>
                <w:szCs w:val="21"/>
                <w14:textFill>
                  <w14:solidFill>
                    <w14:schemeClr w14:val="tx1"/>
                  </w14:solidFill>
                </w14:textFill>
              </w:rPr>
            </m:ctrlPr>
          </m:e>
          <m:sub>
            <m:r>
              <m:rPr/>
              <w:rPr>
                <w:rFonts w:ascii="Cambria Math" w:hAnsi="Cambria Math" w:eastAsiaTheme="minorEastAsia"/>
                <w:color w:val="000000" w:themeColor="text1"/>
                <w:szCs w:val="21"/>
                <w14:textFill>
                  <w14:solidFill>
                    <w14:schemeClr w14:val="tx1"/>
                  </w14:solidFill>
                </w14:textFill>
              </w:rPr>
              <m:t>5</m:t>
            </m:r>
            <m:ctrlPr>
              <w:rPr>
                <w:rFonts w:ascii="Cambria Math" w:hAnsi="Cambria Math" w:eastAsiaTheme="minorEastAsia"/>
                <w:i/>
                <w:color w:val="000000" w:themeColor="text1"/>
                <w:szCs w:val="21"/>
                <w14:textFill>
                  <w14:solidFill>
                    <w14:schemeClr w14:val="tx1"/>
                  </w14:solidFill>
                </w14:textFill>
              </w:rPr>
            </m:ctrlPr>
          </m:sub>
        </m:sSub>
      </m:oMath>
      <w:r>
        <w:rPr>
          <w:rFonts w:hint="eastAsia" w:hAnsi="宋体"/>
          <w:color w:val="000000" w:themeColor="text1"/>
          <w:szCs w:val="21"/>
          <w14:textFill>
            <w14:solidFill>
              <w14:schemeClr w14:val="tx1"/>
            </w14:solidFill>
          </w14:textFill>
        </w:rPr>
        <w:t>—风动机具磨损修正系数，一般风动机具取1.1；</w:t>
      </w:r>
    </w:p>
    <w:p>
      <w:pPr>
        <w:pStyle w:val="22"/>
        <w:tabs>
          <w:tab w:val="left" w:pos="851"/>
          <w:tab w:val="left" w:pos="5835"/>
        </w:tabs>
        <w:snapToGrid w:val="0"/>
        <w:spacing w:line="360" w:lineRule="auto"/>
        <w:ind w:firstLine="945" w:firstLineChars="450"/>
        <w:jc w:val="left"/>
        <w:rPr>
          <w:rFonts w:hAnsi="宋体"/>
          <w:color w:val="000000" w:themeColor="text1"/>
          <w:szCs w:val="21"/>
          <w14:textFill>
            <w14:solidFill>
              <w14:schemeClr w14:val="tx1"/>
            </w14:solidFill>
          </w14:textFill>
        </w:rPr>
      </w:pPr>
      <m:oMath>
        <m:r>
          <m:rPr/>
          <w:rPr>
            <w:rFonts w:hint="eastAsia" w:ascii="Cambria Math" w:hAnsi="Cambria Math" w:eastAsiaTheme="minorEastAsia"/>
            <w:color w:val="000000" w:themeColor="text1"/>
            <w:szCs w:val="21"/>
            <w14:textFill>
              <w14:solidFill>
                <w14:schemeClr w14:val="tx1"/>
              </w14:solidFill>
            </w14:textFill>
          </w:rPr>
          <m:t>n</m:t>
        </m:r>
      </m:oMath>
      <w:r>
        <w:rPr>
          <w:rFonts w:hint="eastAsia" w:hAnsi="宋体"/>
          <w:color w:val="000000" w:themeColor="text1"/>
          <w:szCs w:val="21"/>
          <w14:textFill>
            <w14:solidFill>
              <w14:schemeClr w14:val="tx1"/>
            </w14:solidFill>
          </w14:textFill>
        </w:rPr>
        <w:t xml:space="preserve"> — 同时工作的同类型风动机具台数；</w:t>
      </w:r>
    </w:p>
    <w:p>
      <w:pPr>
        <w:pStyle w:val="22"/>
        <w:tabs>
          <w:tab w:val="left" w:pos="851"/>
          <w:tab w:val="left" w:pos="5835"/>
        </w:tabs>
        <w:snapToGrid w:val="0"/>
        <w:spacing w:line="360" w:lineRule="auto"/>
        <w:ind w:firstLine="945" w:firstLineChars="450"/>
        <w:jc w:val="left"/>
        <w:rPr>
          <w:rFonts w:hAnsi="宋体"/>
          <w:color w:val="000000" w:themeColor="text1"/>
          <w:szCs w:val="21"/>
          <w14:textFill>
            <w14:solidFill>
              <w14:schemeClr w14:val="tx1"/>
            </w14:solidFill>
          </w14:textFill>
        </w:rPr>
      </w:pPr>
      <m:oMath>
        <m:r>
          <m:rPr/>
          <w:rPr>
            <w:rFonts w:hint="eastAsia" w:ascii="Cambria Math" w:hAnsi="Cambria Math" w:eastAsiaTheme="minorEastAsia"/>
            <w:color w:val="000000" w:themeColor="text1"/>
            <w:szCs w:val="21"/>
            <w14:textFill>
              <w14:solidFill>
                <w14:schemeClr w14:val="tx1"/>
              </w14:solidFill>
            </w14:textFill>
          </w:rPr>
          <m:t>q</m:t>
        </m:r>
      </m:oMath>
      <w:r>
        <w:rPr>
          <w:rFonts w:hint="eastAsia" w:hAnsi="宋体"/>
          <w:color w:val="000000" w:themeColor="text1"/>
          <w:szCs w:val="21"/>
          <w14:textFill>
            <w14:solidFill>
              <w14:schemeClr w14:val="tx1"/>
            </w14:solidFill>
          </w14:textFill>
        </w:rPr>
        <w:t xml:space="preserve"> — 单台风动机具耗风量，混凝土喷射机取10.0m</w:t>
      </w:r>
      <w:r>
        <w:rPr>
          <w:rFonts w:hAnsi="宋体"/>
          <w:color w:val="000000" w:themeColor="text1"/>
          <w:szCs w:val="21"/>
          <w:vertAlign w:val="superscript"/>
          <w14:textFill>
            <w14:solidFill>
              <w14:schemeClr w14:val="tx1"/>
            </w14:solidFill>
          </w14:textFill>
        </w:rPr>
        <w:t>3</w:t>
      </w:r>
      <w:r>
        <w:rPr>
          <w:rFonts w:hint="eastAsia" w:hAnsi="宋体"/>
          <w:color w:val="000000" w:themeColor="text1"/>
          <w:szCs w:val="21"/>
          <w14:textFill>
            <w14:solidFill>
              <w14:schemeClr w14:val="tx1"/>
            </w14:solidFill>
          </w14:textFill>
        </w:rPr>
        <w:t>/min，风镐取1.2m</w:t>
      </w:r>
      <w:r>
        <w:rPr>
          <w:rFonts w:hint="eastAsia" w:hAnsi="宋体"/>
          <w:color w:val="000000" w:themeColor="text1"/>
          <w:szCs w:val="21"/>
          <w:vertAlign w:val="superscript"/>
          <w14:textFill>
            <w14:solidFill>
              <w14:schemeClr w14:val="tx1"/>
            </w14:solidFill>
          </w14:textFill>
        </w:rPr>
        <w:t>3</w:t>
      </w:r>
      <w:r>
        <w:rPr>
          <w:rFonts w:hint="eastAsia" w:hAnsi="宋体"/>
          <w:color w:val="000000" w:themeColor="text1"/>
          <w:szCs w:val="21"/>
          <w14:textFill>
            <w14:solidFill>
              <w14:schemeClr w14:val="tx1"/>
            </w14:solidFill>
          </w14:textFill>
        </w:rPr>
        <w:t>/min。</w:t>
      </w:r>
    </w:p>
    <w:p>
      <w:pPr>
        <w:pStyle w:val="11"/>
        <w:snapToGrid w:val="0"/>
        <w:spacing w:line="360" w:lineRule="auto"/>
        <w:ind w:left="0" w:left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 xml:space="preserve">.1.4 </w:t>
      </w:r>
      <w:r>
        <w:rPr>
          <w:rFonts w:hint="eastAsia" w:hAnsi="宋体"/>
          <w:color w:val="000000" w:themeColor="text1"/>
          <w:szCs w:val="21"/>
          <w14:textFill>
            <w14:solidFill>
              <w14:schemeClr w14:val="tx1"/>
            </w14:solidFill>
          </w14:textFill>
        </w:rPr>
        <w:t>供风管管径应根据风压力损失、作业要求的风压经计算确定，隧道工作面风压不应小于0.5MPa，钢质供风管终端的风压不应小于0.6MPa。</w:t>
      </w:r>
    </w:p>
    <w:p>
      <w:pPr>
        <w:pStyle w:val="11"/>
        <w:snapToGrid w:val="0"/>
        <w:spacing w:line="360" w:lineRule="auto"/>
        <w:ind w:left="0" w:left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 xml:space="preserve">.1.5 </w:t>
      </w:r>
      <w:r>
        <w:rPr>
          <w:rFonts w:hint="eastAsia" w:hAnsi="宋体"/>
          <w:color w:val="000000" w:themeColor="text1"/>
          <w:szCs w:val="21"/>
          <w14:textFill>
            <w14:solidFill>
              <w14:schemeClr w14:val="tx1"/>
            </w14:solidFill>
          </w14:textFill>
        </w:rPr>
        <w:t>供风管安装应符合下列规定：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供风管的材质、壁厚应符合施工方案的要求，表面应无裂纹、创伤、凹陷等现象；</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color w:val="000000" w:themeColor="text1"/>
          <w:szCs w:val="21"/>
          <w14:textFill>
            <w14:solidFill>
              <w14:schemeClr w14:val="tx1"/>
            </w14:solidFill>
          </w14:textFill>
        </w:rPr>
        <w:t>2</w:t>
      </w:r>
      <w:r>
        <w:rPr>
          <w:rFonts w:hint="eastAsia" w:ascii="宋体" w:hAnsi="宋体" w:cstheme="minorEastAsia"/>
          <w:color w:val="000000" w:themeColor="text1"/>
          <w:kern w:val="0"/>
          <w:szCs w:val="21"/>
          <w14:textFill>
            <w14:solidFill>
              <w14:schemeClr w14:val="tx1"/>
            </w14:solidFill>
          </w14:textFill>
        </w:rPr>
        <w:t xml:space="preserve"> 管路安装应直顺，接头严密、不漏风；</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color w:val="000000" w:themeColor="text1"/>
          <w:szCs w:val="21"/>
          <w14:textFill>
            <w14:solidFill>
              <w14:schemeClr w14:val="tx1"/>
            </w14:solidFill>
          </w14:textFill>
        </w:rPr>
        <w:t>3</w:t>
      </w:r>
      <w:r>
        <w:rPr>
          <w:rFonts w:hint="eastAsia" w:ascii="宋体" w:hAnsi="宋体" w:cstheme="minorEastAsia"/>
          <w:color w:val="000000" w:themeColor="text1"/>
          <w:kern w:val="0"/>
          <w:szCs w:val="21"/>
          <w14:textFill>
            <w14:solidFill>
              <w14:schemeClr w14:val="tx1"/>
            </w14:solidFill>
          </w14:textFill>
        </w:rPr>
        <w:t xml:space="preserve"> 空压机站总管应设阀门，干管阀门间距宜为200m，阀门应经试验合格方可使用；</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4 </w:t>
      </w:r>
      <w:r>
        <w:rPr>
          <w:rFonts w:hint="eastAsia" w:ascii="宋体" w:hAnsi="宋体" w:cstheme="minorEastAsia"/>
          <w:color w:val="000000" w:themeColor="text1"/>
          <w:kern w:val="0"/>
          <w:szCs w:val="21"/>
          <w14:textFill>
            <w14:solidFill>
              <w14:schemeClr w14:val="tx1"/>
            </w14:solidFill>
          </w14:textFill>
        </w:rPr>
        <w:t>供风管长度大于1000m时，应在管路最低处设油水分离器，并应定期排放管内积水、积油；隧道外供风管长度大于100m时，宜设置补偿器。冬季施工期间，隧道外供风管应采取保温措施；</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5 </w:t>
      </w:r>
      <w:r>
        <w:rPr>
          <w:rFonts w:hint="eastAsia" w:ascii="宋体" w:hAnsi="宋体" w:cstheme="minorEastAsia"/>
          <w:color w:val="000000" w:themeColor="text1"/>
          <w:kern w:val="0"/>
          <w:szCs w:val="21"/>
          <w14:textFill>
            <w14:solidFill>
              <w14:schemeClr w14:val="tx1"/>
            </w14:solidFill>
          </w14:textFill>
        </w:rPr>
        <w:t>供风管前端与工作面的距离宜为30m，隧道内宜设置分风器，高压软风管的长度不宜大于50m。</w:t>
      </w:r>
    </w:p>
    <w:p>
      <w:pPr>
        <w:tabs>
          <w:tab w:val="left" w:pos="3270"/>
          <w:tab w:val="left" w:pos="5835"/>
        </w:tabs>
        <w:adjustRightInd w:val="0"/>
        <w:snapToGrid w:val="0"/>
        <w:spacing w:before="312" w:beforeLines="100" w:after="312" w:afterLines="100"/>
        <w:ind w:firstLine="482" w:firstLineChars="200"/>
        <w:jc w:val="center"/>
        <w:outlineLvl w:val="1"/>
        <w:rPr>
          <w:rFonts w:hAnsi="宋体"/>
          <w:b/>
          <w:color w:val="000000" w:themeColor="text1"/>
          <w:sz w:val="24"/>
          <w14:textFill>
            <w14:solidFill>
              <w14:schemeClr w14:val="tx1"/>
            </w14:solidFill>
          </w14:textFill>
        </w:rPr>
      </w:pPr>
      <w:bookmarkStart w:id="509" w:name="_Toc7608"/>
      <w:bookmarkStart w:id="510" w:name="_Toc23575"/>
      <w:bookmarkStart w:id="511" w:name="_Toc4952"/>
      <w:bookmarkStart w:id="512" w:name="_Toc7721"/>
      <w:bookmarkStart w:id="513" w:name="_Toc2158"/>
      <w:bookmarkStart w:id="514" w:name="_Toc4473"/>
      <w:r>
        <w:rPr>
          <w:rFonts w:hint="eastAsia" w:hAnsi="宋体"/>
          <w:b/>
          <w:color w:val="000000" w:themeColor="text1"/>
          <w:sz w:val="24"/>
          <w14:textFill>
            <w14:solidFill>
              <w14:schemeClr w14:val="tx1"/>
            </w14:solidFill>
          </w14:textFill>
        </w:rPr>
        <w:t>17.2 供水系统</w:t>
      </w:r>
      <w:bookmarkEnd w:id="509"/>
      <w:bookmarkEnd w:id="510"/>
      <w:bookmarkEnd w:id="511"/>
      <w:bookmarkEnd w:id="512"/>
      <w:bookmarkEnd w:id="513"/>
      <w:bookmarkEnd w:id="514"/>
    </w:p>
    <w:p>
      <w:pPr>
        <w:spacing w:line="360" w:lineRule="auto"/>
        <w:rPr>
          <w:rFonts w:ascii="宋体" w:hAnsi="宋体" w:cstheme="minorEastAsia"/>
          <w:color w:val="000000" w:themeColor="text1"/>
          <w:kern w:val="0"/>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 xml:space="preserve">.2.1 </w:t>
      </w:r>
      <w:r>
        <w:rPr>
          <w:rFonts w:ascii="宋体" w:hAnsi="宋体" w:cstheme="minorEastAsia"/>
          <w:color w:val="000000" w:themeColor="text1"/>
          <w:kern w:val="0"/>
          <w:szCs w:val="21"/>
          <w14:textFill>
            <w14:solidFill>
              <w14:schemeClr w14:val="tx1"/>
            </w14:solidFill>
          </w14:textFill>
        </w:rPr>
        <w:t>暗挖隧道施工用水</w:t>
      </w:r>
      <w:r>
        <w:rPr>
          <w:rFonts w:hint="eastAsia" w:ascii="宋体" w:hAnsi="宋体" w:cstheme="minorEastAsia"/>
          <w:color w:val="000000" w:themeColor="text1"/>
          <w:kern w:val="0"/>
          <w:szCs w:val="21"/>
          <w14:textFill>
            <w14:solidFill>
              <w14:schemeClr w14:val="tx1"/>
            </w14:solidFill>
          </w14:textFill>
        </w:rPr>
        <w:t>宜</w:t>
      </w:r>
      <w:r>
        <w:rPr>
          <w:rFonts w:ascii="宋体" w:hAnsi="宋体" w:cstheme="minorEastAsia"/>
          <w:color w:val="000000" w:themeColor="text1"/>
          <w:kern w:val="0"/>
          <w:szCs w:val="21"/>
          <w14:textFill>
            <w14:solidFill>
              <w14:schemeClr w14:val="tx1"/>
            </w14:solidFill>
          </w14:textFill>
        </w:rPr>
        <w:t>用自来水。</w:t>
      </w:r>
    </w:p>
    <w:p>
      <w:pPr>
        <w:spacing w:line="360" w:lineRule="auto"/>
        <w:rPr>
          <w:rFonts w:ascii="宋体" w:hAnsi="宋体" w:cstheme="minorEastAsia"/>
          <w:color w:val="000000" w:themeColor="text1"/>
          <w:kern w:val="0"/>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.2.2</w:t>
      </w:r>
      <w:r>
        <w:rPr>
          <w:rFonts w:hint="eastAsia" w:hAnsi="宋体"/>
          <w:b/>
          <w:color w:val="000000" w:themeColor="text1"/>
          <w:szCs w:val="21"/>
          <w14:textFill>
            <w14:solidFill>
              <w14:schemeClr w14:val="tx1"/>
            </w14:solidFill>
          </w14:textFill>
        </w:rPr>
        <w:t xml:space="preserve"> </w:t>
      </w:r>
      <w:r>
        <w:rPr>
          <w:rFonts w:hint="eastAsia" w:ascii="宋体" w:hAnsi="宋体" w:cstheme="minorEastAsia"/>
          <w:color w:val="000000" w:themeColor="text1"/>
          <w:kern w:val="0"/>
          <w:szCs w:val="21"/>
          <w14:textFill>
            <w14:solidFill>
              <w14:schemeClr w14:val="tx1"/>
            </w14:solidFill>
          </w14:textFill>
        </w:rPr>
        <w:t>隧道供水管管径应按照施工最大需水量进行估算，压力宜为0.3MPa～0.5MPa。</w:t>
      </w:r>
    </w:p>
    <w:p>
      <w:pPr>
        <w:snapToGrid w:val="0"/>
        <w:spacing w:line="360" w:lineRule="auto"/>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 xml:space="preserve">.2.3 </w:t>
      </w:r>
      <w:r>
        <w:rPr>
          <w:rFonts w:hint="eastAsia" w:hAnsi="宋体"/>
          <w:color w:val="000000" w:themeColor="text1"/>
          <w:szCs w:val="21"/>
          <w14:textFill>
            <w14:solidFill>
              <w14:schemeClr w14:val="tx1"/>
            </w14:solidFill>
          </w14:textFill>
        </w:rPr>
        <w:t>供水管安装应符合下列规定：</w:t>
      </w:r>
    </w:p>
    <w:p>
      <w:pPr>
        <w:spacing w:line="360" w:lineRule="auto"/>
        <w:ind w:firstLine="361" w:firstLineChars="171"/>
        <w:rPr>
          <w:rFonts w:ascii="宋体" w:hAnsi="宋体" w:cstheme="minorEastAsia"/>
          <w:color w:val="000000" w:themeColor="text1"/>
          <w:kern w:val="0"/>
          <w:szCs w:val="21"/>
          <w14:textFill>
            <w14:solidFill>
              <w14:schemeClr w14:val="tx1"/>
            </w14:solidFill>
          </w14:textFill>
        </w:rPr>
      </w:pPr>
      <w:r>
        <w:rPr>
          <w:rFonts w:hAnsi="宋体"/>
          <w:b/>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供水管的材质、壁厚应符合施工方案的要求，表面应有裂纹、创伤、凹陷等现象；</w:t>
      </w:r>
    </w:p>
    <w:p>
      <w:pPr>
        <w:spacing w:line="360" w:lineRule="auto"/>
        <w:ind w:firstLine="361" w:firstLineChars="171"/>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2 </w:t>
      </w:r>
      <w:r>
        <w:rPr>
          <w:rFonts w:hint="eastAsia" w:ascii="宋体" w:hAnsi="宋体" w:cstheme="minorEastAsia"/>
          <w:color w:val="000000" w:themeColor="text1"/>
          <w:kern w:val="0"/>
          <w:szCs w:val="21"/>
          <w14:textFill>
            <w14:solidFill>
              <w14:schemeClr w14:val="tx1"/>
            </w14:solidFill>
          </w14:textFill>
        </w:rPr>
        <w:t>供水</w:t>
      </w:r>
      <w:r>
        <w:rPr>
          <w:rFonts w:hint="eastAsia" w:hAnsi="宋体"/>
          <w:color w:val="000000" w:themeColor="text1"/>
          <w:szCs w:val="21"/>
          <w14:textFill>
            <w14:solidFill>
              <w14:schemeClr w14:val="tx1"/>
            </w14:solidFill>
          </w14:textFill>
        </w:rPr>
        <w:t>管宜在隧道侧壁铺设，宜采用角钢或钢支架固定；安装应直顺，接头应严密、不漏水；</w:t>
      </w:r>
    </w:p>
    <w:p>
      <w:pPr>
        <w:spacing w:line="360" w:lineRule="auto"/>
        <w:ind w:firstLine="361" w:firstLineChars="171"/>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3 </w:t>
      </w:r>
      <w:r>
        <w:rPr>
          <w:rFonts w:hint="eastAsia" w:ascii="宋体" w:hAnsi="宋体" w:cstheme="minorEastAsia"/>
          <w:color w:val="000000" w:themeColor="text1"/>
          <w:kern w:val="0"/>
          <w:szCs w:val="21"/>
          <w14:textFill>
            <w14:solidFill>
              <w14:schemeClr w14:val="tx1"/>
            </w14:solidFill>
          </w14:textFill>
        </w:rPr>
        <w:t>供水系统与供电线路应分开设置，干管阀门间距宜为200m，阀门应经试验合格；</w:t>
      </w:r>
    </w:p>
    <w:p>
      <w:pPr>
        <w:spacing w:line="360" w:lineRule="auto"/>
        <w:ind w:firstLine="361" w:firstLineChars="171"/>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4 </w:t>
      </w:r>
      <w:r>
        <w:rPr>
          <w:rFonts w:hint="eastAsia" w:ascii="宋体" w:hAnsi="宋体" w:cstheme="minorEastAsia"/>
          <w:color w:val="000000" w:themeColor="text1"/>
          <w:kern w:val="0"/>
          <w:szCs w:val="21"/>
          <w14:textFill>
            <w14:solidFill>
              <w14:schemeClr w14:val="tx1"/>
            </w14:solidFill>
          </w14:textFill>
        </w:rPr>
        <w:t>冬季施工期间，隧道外、竖井内及洞口管路应有防冻措施。</w:t>
      </w:r>
    </w:p>
    <w:p>
      <w:pPr>
        <w:tabs>
          <w:tab w:val="left" w:pos="3270"/>
          <w:tab w:val="left" w:pos="5835"/>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15" w:name="_Toc6627"/>
      <w:bookmarkStart w:id="516" w:name="_Toc3357"/>
      <w:bookmarkStart w:id="517" w:name="_Toc12311"/>
      <w:bookmarkStart w:id="518" w:name="_Toc1631"/>
      <w:bookmarkStart w:id="519" w:name="_Toc11905"/>
      <w:bookmarkStart w:id="520" w:name="_Toc7520"/>
      <w:r>
        <w:rPr>
          <w:rFonts w:hint="eastAsia" w:hAnsi="宋体"/>
          <w:b/>
          <w:color w:val="000000" w:themeColor="text1"/>
          <w:sz w:val="24"/>
          <w14:textFill>
            <w14:solidFill>
              <w14:schemeClr w14:val="tx1"/>
            </w14:solidFill>
          </w14:textFill>
        </w:rPr>
        <w:t>17.3 供电和照明系统</w:t>
      </w:r>
      <w:bookmarkEnd w:id="515"/>
      <w:bookmarkEnd w:id="516"/>
      <w:bookmarkEnd w:id="517"/>
      <w:bookmarkEnd w:id="518"/>
      <w:bookmarkEnd w:id="519"/>
      <w:bookmarkEnd w:id="520"/>
    </w:p>
    <w:p>
      <w:pPr>
        <w:snapToGrid w:val="0"/>
        <w:spacing w:line="360" w:lineRule="auto"/>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 xml:space="preserve">.3.1 </w:t>
      </w:r>
      <w:r>
        <w:rPr>
          <w:rFonts w:hint="eastAsia" w:hAnsi="宋体"/>
          <w:color w:val="000000" w:themeColor="text1"/>
          <w:szCs w:val="21"/>
          <w14:textFill>
            <w14:solidFill>
              <w14:schemeClr w14:val="tx1"/>
            </w14:solidFill>
          </w14:textFill>
        </w:rPr>
        <w:t>暗挖隧道施工供电及照明系统设计、安装应符合现行国家标准《施工现场临时用电安全技术规范》</w:t>
      </w:r>
      <w:r>
        <w:rPr>
          <w:rFonts w:hAnsi="宋体"/>
          <w:color w:val="000000" w:themeColor="text1"/>
          <w:szCs w:val="21"/>
          <w14:textFill>
            <w14:solidFill>
              <w14:schemeClr w14:val="tx1"/>
            </w14:solidFill>
          </w14:textFill>
        </w:rPr>
        <w:t>JGJ46</w:t>
      </w:r>
      <w:r>
        <w:rPr>
          <w:rFonts w:hint="eastAsia" w:hAnsi="宋体"/>
          <w:color w:val="000000" w:themeColor="text1"/>
          <w:szCs w:val="21"/>
          <w14:textFill>
            <w14:solidFill>
              <w14:schemeClr w14:val="tx1"/>
            </w14:solidFill>
          </w14:textFill>
        </w:rPr>
        <w:t>的规定。</w:t>
      </w:r>
    </w:p>
    <w:p>
      <w:pPr>
        <w:snapToGrid w:val="0"/>
        <w:spacing w:line="360" w:lineRule="auto"/>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.3.2</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隧道施工供电应设置备用电源，并有可靠切换装置。</w:t>
      </w:r>
    </w:p>
    <w:p>
      <w:pPr>
        <w:snapToGrid w:val="0"/>
        <w:spacing w:line="360" w:lineRule="auto"/>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.3.3</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隧道内电缆布置与敷设应符合下列规定：</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Ansi="宋体"/>
          <w:b/>
          <w:color w:val="000000" w:themeColor="text1"/>
          <w:szCs w:val="21"/>
          <w14:textFill>
            <w14:solidFill>
              <w14:schemeClr w14:val="tx1"/>
            </w14:solidFill>
          </w14:textFill>
        </w:rPr>
        <w:t xml:space="preserve">1 </w:t>
      </w:r>
      <w:r>
        <w:rPr>
          <w:rFonts w:hint="eastAsia" w:ascii="宋体" w:hAnsi="宋体" w:cstheme="minorEastAsia"/>
          <w:color w:val="000000" w:themeColor="text1"/>
          <w:kern w:val="0"/>
          <w:szCs w:val="21"/>
          <w14:textFill>
            <w14:solidFill>
              <w14:schemeClr w14:val="tx1"/>
            </w14:solidFill>
          </w14:textFill>
        </w:rPr>
        <w:t>隧道内变压器、</w:t>
      </w:r>
      <w:r>
        <w:rPr>
          <w:rFonts w:hint="eastAsia" w:hAnsi="宋体"/>
          <w:color w:val="000000" w:themeColor="text1"/>
          <w:szCs w:val="21"/>
          <w14:textFill>
            <w14:solidFill>
              <w14:schemeClr w14:val="tx1"/>
            </w14:solidFill>
          </w14:textFill>
        </w:rPr>
        <w:t>配电箱</w:t>
      </w:r>
      <w:r>
        <w:rPr>
          <w:rFonts w:hint="eastAsia" w:ascii="宋体" w:hAnsi="宋体" w:cstheme="minorEastAsia"/>
          <w:color w:val="000000" w:themeColor="text1"/>
          <w:kern w:val="0"/>
          <w:szCs w:val="21"/>
          <w14:textFill>
            <w14:solidFill>
              <w14:schemeClr w14:val="tx1"/>
            </w14:solidFill>
          </w14:textFill>
        </w:rPr>
        <w:t>应设置在安全、干噪处，机壳应接地；</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Ansi="宋体"/>
          <w:b/>
          <w:color w:val="000000" w:themeColor="text1"/>
          <w:szCs w:val="21"/>
          <w14:textFill>
            <w14:solidFill>
              <w14:schemeClr w14:val="tx1"/>
            </w14:solidFill>
          </w14:textFill>
        </w:rPr>
        <w:t>2</w:t>
      </w:r>
      <w:r>
        <w:rPr>
          <w:rFonts w:hint="eastAsia" w:hAnsi="宋体"/>
          <w:b/>
          <w:color w:val="000000" w:themeColor="text1"/>
          <w:szCs w:val="21"/>
          <w14:textFill>
            <w14:solidFill>
              <w14:schemeClr w14:val="tx1"/>
            </w14:solidFill>
          </w14:textFill>
        </w:rPr>
        <w:t xml:space="preserve"> </w:t>
      </w:r>
      <w:r>
        <w:rPr>
          <w:rFonts w:hint="eastAsia" w:ascii="宋体" w:hAnsi="宋体" w:cstheme="minorEastAsia"/>
          <w:color w:val="000000" w:themeColor="text1"/>
          <w:kern w:val="0"/>
          <w:szCs w:val="21"/>
          <w14:textFill>
            <w14:solidFill>
              <w14:schemeClr w14:val="tx1"/>
            </w14:solidFill>
          </w14:textFill>
        </w:rPr>
        <w:t>成洞地段固定线路应采用绝缘线，工作面区段的临时电线路宜采用橡套电缆；竖井及区间隧道宜采用铠装电缆；</w:t>
      </w:r>
    </w:p>
    <w:p>
      <w:pPr>
        <w:spacing w:line="360" w:lineRule="auto"/>
        <w:ind w:firstLine="422" w:firstLineChars="200"/>
        <w:rPr>
          <w:rFonts w:ascii="宋体" w:hAnsi="宋体" w:cstheme="minorEastAsia"/>
          <w:color w:val="000000" w:themeColor="text1"/>
          <w:kern w:val="0"/>
          <w:szCs w:val="21"/>
          <w14:textFill>
            <w14:solidFill>
              <w14:schemeClr w14:val="tx1"/>
            </w14:solidFill>
          </w14:textFill>
        </w:rPr>
      </w:pPr>
      <w:r>
        <w:rPr>
          <w:rFonts w:hAnsi="宋体"/>
          <w:b/>
          <w:color w:val="000000" w:themeColor="text1"/>
          <w:szCs w:val="21"/>
          <w14:textFill>
            <w14:solidFill>
              <w14:schemeClr w14:val="tx1"/>
            </w14:solidFill>
          </w14:textFill>
        </w:rPr>
        <w:t>3</w:t>
      </w:r>
      <w:r>
        <w:rPr>
          <w:rFonts w:hint="eastAsia" w:hAnsi="宋体"/>
          <w:b/>
          <w:color w:val="000000" w:themeColor="text1"/>
          <w:szCs w:val="21"/>
          <w14:textFill>
            <w14:solidFill>
              <w14:schemeClr w14:val="tx1"/>
            </w14:solidFill>
          </w14:textFill>
        </w:rPr>
        <w:t xml:space="preserve"> </w:t>
      </w:r>
      <w:r>
        <w:rPr>
          <w:rFonts w:hint="eastAsia" w:ascii="宋体" w:hAnsi="宋体" w:cstheme="minorEastAsia"/>
          <w:color w:val="000000" w:themeColor="text1"/>
          <w:kern w:val="0"/>
          <w:szCs w:val="21"/>
          <w14:textFill>
            <w14:solidFill>
              <w14:schemeClr w14:val="tx1"/>
            </w14:solidFill>
          </w14:textFill>
        </w:rPr>
        <w:t>照明和动力电缆应分开架设，在隧道同侧安装时，应分层架设。照明设施不应架挂在动力线上；</w:t>
      </w:r>
    </w:p>
    <w:p>
      <w:pPr>
        <w:spacing w:line="360" w:lineRule="auto"/>
        <w:ind w:firstLine="361" w:firstLineChars="171"/>
        <w:rPr>
          <w:rFonts w:ascii="宋体" w:hAnsi="宋体" w:cstheme="minorEastAsia"/>
          <w:color w:val="000000" w:themeColor="text1"/>
          <w:kern w:val="0"/>
          <w:szCs w:val="21"/>
          <w14:textFill>
            <w14:solidFill>
              <w14:schemeClr w14:val="tx1"/>
            </w14:solidFill>
          </w14:textFill>
        </w:rPr>
      </w:pPr>
      <w:r>
        <w:rPr>
          <w:rFonts w:hAnsi="宋体"/>
          <w:b/>
          <w:color w:val="000000" w:themeColor="text1"/>
          <w:szCs w:val="21"/>
          <w14:textFill>
            <w14:solidFill>
              <w14:schemeClr w14:val="tx1"/>
            </w14:solidFill>
          </w14:textFill>
        </w:rPr>
        <w:t>4</w:t>
      </w:r>
      <w:r>
        <w:rPr>
          <w:rFonts w:hint="eastAsia" w:hAnsi="宋体"/>
          <w:b/>
          <w:color w:val="000000" w:themeColor="text1"/>
          <w:szCs w:val="21"/>
          <w14:textFill>
            <w14:solidFill>
              <w14:schemeClr w14:val="tx1"/>
            </w14:solidFill>
          </w14:textFill>
        </w:rPr>
        <w:t xml:space="preserve"> </w:t>
      </w:r>
      <w:r>
        <w:rPr>
          <w:rFonts w:hint="eastAsia" w:ascii="宋体" w:hAnsi="宋体" w:cstheme="minorEastAsia"/>
          <w:color w:val="000000" w:themeColor="text1"/>
          <w:kern w:val="0"/>
          <w:szCs w:val="21"/>
          <w14:textFill>
            <w14:solidFill>
              <w14:schemeClr w14:val="tx1"/>
            </w14:solidFill>
          </w14:textFill>
        </w:rPr>
        <w:t>电缆与地面高度不应小于2.0m；</w:t>
      </w:r>
    </w:p>
    <w:p>
      <w:pPr>
        <w:spacing w:line="360" w:lineRule="auto"/>
        <w:ind w:firstLine="361" w:firstLineChars="171"/>
        <w:rPr>
          <w:rFonts w:ascii="宋体" w:hAnsi="宋体" w:cstheme="minorEastAsia"/>
          <w:color w:val="000000" w:themeColor="text1"/>
          <w:kern w:val="0"/>
          <w:szCs w:val="21"/>
          <w14:textFill>
            <w14:solidFill>
              <w14:schemeClr w14:val="tx1"/>
            </w14:solidFill>
          </w14:textFill>
        </w:rPr>
      </w:pPr>
      <w:r>
        <w:rPr>
          <w:rFonts w:hAnsi="宋体"/>
          <w:b/>
          <w:color w:val="000000" w:themeColor="text1"/>
          <w:szCs w:val="21"/>
          <w14:textFill>
            <w14:solidFill>
              <w14:schemeClr w14:val="tx1"/>
            </w14:solidFill>
          </w14:textFill>
        </w:rPr>
        <w:t>5</w:t>
      </w:r>
      <w:r>
        <w:rPr>
          <w:rFonts w:hint="eastAsia" w:hAnsi="宋体"/>
          <w:b/>
          <w:color w:val="000000" w:themeColor="text1"/>
          <w:szCs w:val="21"/>
          <w14:textFill>
            <w14:solidFill>
              <w14:schemeClr w14:val="tx1"/>
            </w14:solidFill>
          </w14:textFill>
        </w:rPr>
        <w:t xml:space="preserve"> </w:t>
      </w:r>
      <w:r>
        <w:rPr>
          <w:rFonts w:hint="eastAsia" w:ascii="宋体" w:hAnsi="宋体" w:cstheme="minorEastAsia"/>
          <w:color w:val="000000" w:themeColor="text1"/>
          <w:kern w:val="0"/>
          <w:szCs w:val="21"/>
          <w14:textFill>
            <w14:solidFill>
              <w14:schemeClr w14:val="tx1"/>
            </w14:solidFill>
          </w14:textFill>
        </w:rPr>
        <w:t>隧道内的金属支架、供风钢管、供水钢管等应接地。</w:t>
      </w:r>
    </w:p>
    <w:p>
      <w:pPr>
        <w:pStyle w:val="22"/>
        <w:spacing w:line="360" w:lineRule="auto"/>
        <w:ind w:firstLine="0" w:firstLineChars="0"/>
        <w:rPr>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 xml:space="preserve">.3.4 </w:t>
      </w:r>
      <w:r>
        <w:rPr>
          <w:rFonts w:hint="eastAsia"/>
          <w:color w:val="000000" w:themeColor="text1"/>
          <w14:textFill>
            <w14:solidFill>
              <w14:schemeClr w14:val="tx1"/>
            </w14:solidFill>
          </w14:textFill>
        </w:rPr>
        <w:t>隧道内应有足够照明，照明线路电压不得大于</w:t>
      </w:r>
      <w:r>
        <w:rPr>
          <w:color w:val="000000" w:themeColor="text1"/>
          <w14:textFill>
            <w14:solidFill>
              <w14:schemeClr w14:val="tx1"/>
            </w14:solidFill>
          </w14:textFill>
        </w:rPr>
        <w:t>36V</w:t>
      </w:r>
      <w:r>
        <w:rPr>
          <w:rFonts w:hint="eastAsia"/>
          <w:color w:val="000000" w:themeColor="text1"/>
          <w14:textFill>
            <w14:solidFill>
              <w14:schemeClr w14:val="tx1"/>
            </w14:solidFill>
          </w14:textFill>
        </w:rPr>
        <w:t>。</w:t>
      </w:r>
    </w:p>
    <w:p>
      <w:pPr>
        <w:snapToGrid w:val="0"/>
        <w:spacing w:line="360" w:lineRule="auto"/>
        <w:jc w:val="left"/>
        <w:rPr>
          <w:rFonts w:ascii="宋体" w:hAnsi="宋体" w:cstheme="minorEastAsia"/>
          <w:color w:val="000000" w:themeColor="text1"/>
          <w:kern w:val="0"/>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 xml:space="preserve">.3.5 </w:t>
      </w:r>
      <w:r>
        <w:rPr>
          <w:rFonts w:hint="eastAsia" w:ascii="宋体" w:hAnsi="宋体" w:cstheme="minorEastAsia"/>
          <w:color w:val="000000" w:themeColor="text1"/>
          <w:kern w:val="0"/>
          <w:szCs w:val="21"/>
          <w14:textFill>
            <w14:solidFill>
              <w14:schemeClr w14:val="tx1"/>
            </w14:solidFill>
          </w14:textFill>
        </w:rPr>
        <w:t>隧道内应急照明装置的间距宜为</w:t>
      </w:r>
      <w:r>
        <w:rPr>
          <w:rFonts w:ascii="宋体" w:hAnsi="宋体" w:cstheme="minorEastAsia"/>
          <w:color w:val="000000" w:themeColor="text1"/>
          <w:kern w:val="0"/>
          <w:szCs w:val="21"/>
          <w14:textFill>
            <w14:solidFill>
              <w14:schemeClr w14:val="tx1"/>
            </w14:solidFill>
          </w14:textFill>
        </w:rPr>
        <w:t>50</w:t>
      </w:r>
      <w:r>
        <w:rPr>
          <w:rFonts w:hint="eastAsia" w:ascii="宋体" w:hAnsi="宋体" w:cstheme="minorEastAsia"/>
          <w:color w:val="000000" w:themeColor="text1"/>
          <w:kern w:val="0"/>
          <w:szCs w:val="21"/>
          <w14:textFill>
            <w14:solidFill>
              <w14:schemeClr w14:val="tx1"/>
            </w14:solidFill>
          </w14:textFill>
        </w:rPr>
        <w:t>m</w:t>
      </w:r>
      <w:r>
        <w:rPr>
          <w:rFonts w:ascii="宋体" w:hAnsi="宋体" w:cstheme="minorEastAsia"/>
          <w:color w:val="000000" w:themeColor="text1"/>
          <w:kern w:val="0"/>
          <w:szCs w:val="21"/>
          <w14:textFill>
            <w14:solidFill>
              <w14:schemeClr w14:val="tx1"/>
            </w14:solidFill>
          </w14:textFill>
        </w:rPr>
        <w:t>～100m</w:t>
      </w:r>
      <w:r>
        <w:rPr>
          <w:rFonts w:hint="eastAsia" w:ascii="宋体" w:hAnsi="宋体" w:cstheme="minorEastAsia"/>
          <w:color w:val="000000" w:themeColor="text1"/>
          <w:kern w:val="0"/>
          <w:szCs w:val="21"/>
          <w14:textFill>
            <w14:solidFill>
              <w14:schemeClr w14:val="tx1"/>
            </w14:solidFill>
          </w14:textFill>
        </w:rPr>
        <w:t>，交通要道、工作面和设备集中处应设置安全照明。</w:t>
      </w:r>
    </w:p>
    <w:p>
      <w:pPr>
        <w:snapToGrid w:val="0"/>
        <w:spacing w:line="360" w:lineRule="auto"/>
        <w:jc w:val="left"/>
        <w:rPr>
          <w:rFonts w:ascii="宋体" w:hAnsi="宋体" w:cstheme="minorEastAsia"/>
          <w:color w:val="000000" w:themeColor="text1"/>
          <w:kern w:val="0"/>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 xml:space="preserve">.3.6 </w:t>
      </w:r>
      <w:r>
        <w:rPr>
          <w:rFonts w:hint="eastAsia" w:ascii="宋体" w:hAnsi="宋体" w:cstheme="minorEastAsia"/>
          <w:color w:val="000000" w:themeColor="text1"/>
          <w:kern w:val="0"/>
          <w:szCs w:val="21"/>
          <w14:textFill>
            <w14:solidFill>
              <w14:schemeClr w14:val="tx1"/>
            </w14:solidFill>
          </w14:textFill>
        </w:rPr>
        <w:t>配电箱应封闭严密，应设专人定期检查、维修和保养。</w:t>
      </w:r>
    </w:p>
    <w:p>
      <w:pPr>
        <w:tabs>
          <w:tab w:val="left" w:pos="3270"/>
          <w:tab w:val="left" w:pos="5835"/>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21" w:name="_Toc15052"/>
      <w:bookmarkStart w:id="522" w:name="_Toc11742"/>
      <w:bookmarkStart w:id="523" w:name="_Toc15675"/>
      <w:bookmarkStart w:id="524" w:name="_Toc30724"/>
      <w:bookmarkStart w:id="525" w:name="_Toc29803"/>
      <w:bookmarkStart w:id="526" w:name="_Toc20597"/>
      <w:r>
        <w:rPr>
          <w:rFonts w:hint="eastAsia" w:hAnsi="宋体"/>
          <w:b/>
          <w:color w:val="000000" w:themeColor="text1"/>
          <w:sz w:val="24"/>
          <w14:textFill>
            <w14:solidFill>
              <w14:schemeClr w14:val="tx1"/>
            </w14:solidFill>
          </w14:textFill>
        </w:rPr>
        <w:t>17.4 通风系统</w:t>
      </w:r>
      <w:bookmarkEnd w:id="521"/>
      <w:r>
        <w:rPr>
          <w:rFonts w:hint="eastAsia" w:hAnsi="宋体"/>
          <w:b/>
          <w:color w:val="000000" w:themeColor="text1"/>
          <w:sz w:val="24"/>
          <w14:textFill>
            <w14:solidFill>
              <w14:schemeClr w14:val="tx1"/>
            </w14:solidFill>
          </w14:textFill>
        </w:rPr>
        <w:t>和扬尘控制</w:t>
      </w:r>
      <w:bookmarkEnd w:id="522"/>
      <w:bookmarkEnd w:id="523"/>
      <w:bookmarkEnd w:id="524"/>
      <w:bookmarkEnd w:id="525"/>
      <w:bookmarkEnd w:id="526"/>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.4.1</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隧道施工宜采用压入式、抽出式和混合式等机械通风方法，通风方式应根据隧道长度、施工方法和设备条件合理选择。</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.4.2</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压入式通风机宜设置在地面，距离洞口不应小于</w:t>
      </w:r>
      <w:r>
        <w:rPr>
          <w:rFonts w:hAnsi="宋体"/>
          <w:color w:val="000000" w:themeColor="text1"/>
          <w:szCs w:val="21"/>
          <w14:textFill>
            <w14:solidFill>
              <w14:schemeClr w14:val="tx1"/>
            </w14:solidFill>
          </w14:textFill>
        </w:rPr>
        <w:t>20m</w:t>
      </w:r>
      <w:r>
        <w:rPr>
          <w:rFonts w:hint="eastAsia" w:hAnsi="宋体"/>
          <w:color w:val="000000" w:themeColor="text1"/>
          <w:szCs w:val="21"/>
          <w14:textFill>
            <w14:solidFill>
              <w14:schemeClr w14:val="tx1"/>
            </w14:solidFill>
          </w14:textFill>
        </w:rPr>
        <w:t>。压入式风管出口与工作面的距离不大应于风流的有效射程，不宜大于15m。</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.4.</w:t>
      </w:r>
      <w:r>
        <w:rPr>
          <w:rFonts w:hint="eastAsia" w:hAnsi="宋体"/>
          <w:b/>
          <w:color w:val="000000" w:themeColor="text1"/>
          <w:szCs w:val="21"/>
          <w14:textFill>
            <w14:solidFill>
              <w14:schemeClr w14:val="tx1"/>
            </w14:solidFill>
          </w14:textFill>
        </w:rPr>
        <w:t>3</w:t>
      </w:r>
      <w:r>
        <w:rPr>
          <w:rFonts w:hAnsi="宋体"/>
          <w:b/>
          <w:color w:val="000000" w:themeColor="text1"/>
          <w:szCs w:val="21"/>
          <w14:textFill>
            <w14:solidFill>
              <w14:schemeClr w14:val="tx1"/>
            </w14:solidFill>
          </w14:textFill>
        </w:rPr>
        <w:t xml:space="preserve"> </w:t>
      </w:r>
      <w:r>
        <w:rPr>
          <w:rFonts w:hAnsi="宋体"/>
          <w:color w:val="000000" w:themeColor="text1"/>
          <w:szCs w:val="21"/>
          <w14:textFill>
            <w14:solidFill>
              <w14:schemeClr w14:val="tx1"/>
            </w14:solidFill>
          </w14:textFill>
        </w:rPr>
        <w:t>抽出式通风系统应采用硬质风管，当采用柔性风管时，应采用压出式通风。洞内压出式通风机应采用防爆风机。抽出</w:t>
      </w:r>
      <w:r>
        <w:rPr>
          <w:rFonts w:hint="eastAsia" w:hAnsi="宋体"/>
          <w:color w:val="000000" w:themeColor="text1"/>
          <w:szCs w:val="21"/>
          <w14:textFill>
            <w14:solidFill>
              <w14:schemeClr w14:val="tx1"/>
            </w14:solidFill>
          </w14:textFill>
        </w:rPr>
        <w:t>式</w:t>
      </w:r>
      <w:r>
        <w:rPr>
          <w:rFonts w:hAnsi="宋体"/>
          <w:color w:val="000000" w:themeColor="text1"/>
          <w:szCs w:val="21"/>
          <w14:textFill>
            <w14:solidFill>
              <w14:schemeClr w14:val="tx1"/>
            </w14:solidFill>
          </w14:textFill>
        </w:rPr>
        <w:t>风管端头与工作面的距离应满足排烟、降尘需要，</w:t>
      </w:r>
      <w:r>
        <w:rPr>
          <w:rFonts w:hint="eastAsia" w:hAnsi="宋体"/>
          <w:color w:val="000000" w:themeColor="text1"/>
          <w:szCs w:val="21"/>
          <w14:textFill>
            <w14:solidFill>
              <w14:schemeClr w14:val="tx1"/>
            </w14:solidFill>
          </w14:textFill>
        </w:rPr>
        <w:t>不宜大于</w:t>
      </w:r>
      <w:r>
        <w:rPr>
          <w:rFonts w:hAnsi="宋体"/>
          <w:color w:val="000000" w:themeColor="text1"/>
          <w:szCs w:val="21"/>
          <w14:textFill>
            <w14:solidFill>
              <w14:schemeClr w14:val="tx1"/>
            </w14:solidFill>
          </w14:textFill>
        </w:rPr>
        <w:t>5m</w:t>
      </w:r>
      <w:r>
        <w:rPr>
          <w:rFonts w:hint="eastAsia" w:hAnsi="宋体"/>
          <w:color w:val="000000" w:themeColor="text1"/>
          <w:szCs w:val="21"/>
          <w14:textFill>
            <w14:solidFill>
              <w14:schemeClr w14:val="tx1"/>
            </w14:solidFill>
          </w14:textFill>
        </w:rPr>
        <w:t>。</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.4.4</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大断面、长距离暗挖隧道宜采用混合式通风系统。当一组风机向前移动，另一组风机管路应相应接长，两管路相邻端交错长度不应小于20m。</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.4.</w:t>
      </w:r>
      <w:r>
        <w:rPr>
          <w:rFonts w:hint="eastAsia" w:hAnsi="宋体"/>
          <w:b/>
          <w:color w:val="000000" w:themeColor="text1"/>
          <w:szCs w:val="21"/>
          <w14:textFill>
            <w14:solidFill>
              <w14:schemeClr w14:val="tx1"/>
            </w14:solidFill>
          </w14:textFill>
        </w:rPr>
        <w:t>5</w:t>
      </w:r>
      <w:r>
        <w:rPr>
          <w:rFonts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隧道施工通风的最小风速，全断面开挖时不应小于</w:t>
      </w:r>
      <w:r>
        <w:rPr>
          <w:rFonts w:hAnsi="宋体"/>
          <w:color w:val="000000" w:themeColor="text1"/>
          <w:szCs w:val="21"/>
          <w14:textFill>
            <w14:solidFill>
              <w14:schemeClr w14:val="tx1"/>
            </w14:solidFill>
          </w14:textFill>
        </w:rPr>
        <w:t>0.15m/s</w:t>
      </w:r>
      <w:r>
        <w:rPr>
          <w:rFonts w:hint="eastAsia" w:hAnsi="宋体"/>
          <w:color w:val="000000" w:themeColor="text1"/>
          <w:szCs w:val="21"/>
          <w14:textFill>
            <w14:solidFill>
              <w14:schemeClr w14:val="tx1"/>
            </w14:solidFill>
          </w14:textFill>
        </w:rPr>
        <w:t>，分部开挖不应小于</w:t>
      </w:r>
      <w:r>
        <w:rPr>
          <w:rFonts w:hAnsi="宋体"/>
          <w:color w:val="000000" w:themeColor="text1"/>
          <w:szCs w:val="21"/>
          <w14:textFill>
            <w14:solidFill>
              <w14:schemeClr w14:val="tx1"/>
            </w14:solidFill>
          </w14:textFill>
        </w:rPr>
        <w:t>0.25m/s，最大风速不应大于</w:t>
      </w:r>
      <w:r>
        <w:rPr>
          <w:rFonts w:hint="eastAsia" w:hAnsi="宋体"/>
          <w:color w:val="000000" w:themeColor="text1"/>
          <w:szCs w:val="21"/>
          <w14:textFill>
            <w14:solidFill>
              <w14:schemeClr w14:val="tx1"/>
            </w14:solidFill>
          </w14:textFill>
        </w:rPr>
        <w:t>6m/s，每人每分钟供应新鲜空气不应小于3m³/min。</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.4.</w:t>
      </w:r>
      <w:r>
        <w:rPr>
          <w:rFonts w:hint="eastAsia" w:hAnsi="宋体"/>
          <w:b/>
          <w:color w:val="000000" w:themeColor="text1"/>
          <w:szCs w:val="21"/>
          <w14:textFill>
            <w14:solidFill>
              <w14:schemeClr w14:val="tx1"/>
            </w14:solidFill>
          </w14:textFill>
        </w:rPr>
        <w:t xml:space="preserve">6 </w:t>
      </w:r>
      <w:r>
        <w:rPr>
          <w:rFonts w:hint="eastAsia" w:hAnsi="宋体"/>
          <w:color w:val="000000" w:themeColor="text1"/>
          <w:szCs w:val="21"/>
          <w14:textFill>
            <w14:solidFill>
              <w14:schemeClr w14:val="tx1"/>
            </w14:solidFill>
          </w14:textFill>
        </w:rPr>
        <w:t>隧道施工通风能力应能满足洞内各项作业所必须的最大风量，通风量应根据洞内施工人数、洞内最小风速以及机械作业所需风量等条件，可按下列公式计算。</w:t>
      </w:r>
    </w:p>
    <w:p>
      <w:pPr>
        <w:tabs>
          <w:tab w:val="left" w:pos="851"/>
          <w:tab w:val="left" w:pos="5835"/>
        </w:tabs>
        <w:snapToGrid w:val="0"/>
        <w:spacing w:line="360" w:lineRule="auto"/>
        <w:ind w:firstLine="420" w:firstLineChars="199"/>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w:t>
      </w:r>
      <w:r>
        <w:rPr>
          <w:rFonts w:hint="eastAsia" w:hAnsi="宋体"/>
          <w:color w:val="000000" w:themeColor="text1"/>
          <w:szCs w:val="21"/>
          <w14:textFill>
            <w14:solidFill>
              <w14:schemeClr w14:val="tx1"/>
            </w14:solidFill>
          </w14:textFill>
        </w:rPr>
        <w:t xml:space="preserve"> 按最小风速计算通风量</w:t>
      </w:r>
      <m:oMath>
        <m:sSub>
          <m:sSubPr>
            <m:ctrlPr>
              <w:rPr>
                <w:rFonts w:ascii="Cambria Math" w:hAnsi="Cambria Math"/>
                <w:i/>
                <w:color w:val="000000" w:themeColor="text1"/>
                <w:szCs w:val="21"/>
                <w14:textFill>
                  <w14:solidFill>
                    <w14:schemeClr w14:val="tx1"/>
                  </w14:solidFill>
                </w14:textFill>
              </w:rPr>
            </m:ctrlPr>
          </m:sSubPr>
          <m:e>
            <m:r>
              <m:rPr/>
              <w:rPr>
                <w:rFonts w:ascii="Cambria Math" w:hAnsi="Cambria Math"/>
                <w:color w:val="000000" w:themeColor="text1"/>
                <w:szCs w:val="21"/>
                <w14:textFill>
                  <w14:solidFill>
                    <w14:schemeClr w14:val="tx1"/>
                  </w14:solidFill>
                </w14:textFill>
              </w:rPr>
              <m:t>V</m:t>
            </m:r>
            <m:ctrlPr>
              <w:rPr>
                <w:rFonts w:ascii="Cambria Math" w:hAnsi="Cambria Math"/>
                <w:i/>
                <w:color w:val="000000" w:themeColor="text1"/>
                <w:szCs w:val="21"/>
                <w14:textFill>
                  <w14:solidFill>
                    <w14:schemeClr w14:val="tx1"/>
                  </w14:solidFill>
                </w14:textFill>
              </w:rPr>
            </m:ctrlPr>
          </m:e>
          <m:sub>
            <m:r>
              <m:rPr/>
              <w:rPr>
                <w:rFonts w:ascii="Cambria Math" w:hAnsi="Cambria Math"/>
                <w:color w:val="000000" w:themeColor="text1"/>
                <w:szCs w:val="21"/>
                <w14:textFill>
                  <w14:solidFill>
                    <w14:schemeClr w14:val="tx1"/>
                  </w14:solidFill>
                </w14:textFill>
              </w:rPr>
              <m:t>1</m:t>
            </m:r>
            <m:ctrlPr>
              <w:rPr>
                <w:rFonts w:ascii="Cambria Math" w:hAnsi="Cambria Math"/>
                <w:i/>
                <w:color w:val="000000" w:themeColor="text1"/>
                <w:szCs w:val="21"/>
                <w14:textFill>
                  <w14:solidFill>
                    <w14:schemeClr w14:val="tx1"/>
                  </w14:solidFill>
                </w14:textFill>
              </w:rPr>
            </m:ctrlPr>
          </m:sub>
        </m:sSub>
      </m:oMath>
      <w:r>
        <w:rPr>
          <w:rFonts w:hint="eastAsia" w:hAnsi="宋体"/>
          <w:color w:val="000000" w:themeColor="text1"/>
          <w:szCs w:val="21"/>
          <w14:textFill>
            <w14:solidFill>
              <w14:schemeClr w14:val="tx1"/>
            </w14:solidFill>
          </w14:textFill>
        </w:rPr>
        <w:t>（m</w:t>
      </w:r>
      <w:r>
        <w:rPr>
          <w:rFonts w:hint="eastAsia" w:hAnsi="宋体"/>
          <w:color w:val="000000" w:themeColor="text1"/>
          <w:szCs w:val="21"/>
          <w:vertAlign w:val="superscript"/>
          <w14:textFill>
            <w14:solidFill>
              <w14:schemeClr w14:val="tx1"/>
            </w14:solidFill>
          </w14:textFill>
        </w:rPr>
        <w:t>3</w:t>
      </w:r>
      <w:r>
        <w:rPr>
          <w:rFonts w:hint="eastAsia" w:hAnsi="宋体"/>
          <w:color w:val="000000" w:themeColor="text1"/>
          <w:szCs w:val="21"/>
          <w14:textFill>
            <w14:solidFill>
              <w14:schemeClr w14:val="tx1"/>
            </w14:solidFill>
          </w14:textFill>
        </w:rPr>
        <w:t>/min），</w:t>
      </w:r>
    </w:p>
    <w:p>
      <w:pPr>
        <w:pStyle w:val="22"/>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 xml:space="preserve">      </w:t>
      </w:r>
      <m:oMath>
        <m:sSub>
          <m:sSubPr>
            <m:ctrlPr>
              <w:rPr>
                <w:rFonts w:ascii="Cambria Math" w:hAnsi="Cambria Math"/>
                <w:i/>
                <w:color w:val="000000" w:themeColor="text1"/>
                <w:szCs w:val="21"/>
                <w14:textFill>
                  <w14:solidFill>
                    <w14:schemeClr w14:val="tx1"/>
                  </w14:solidFill>
                </w14:textFill>
              </w:rPr>
            </m:ctrlPr>
          </m:sSubPr>
          <m:e>
            <m:r>
              <m:rPr/>
              <w:rPr>
                <w:rFonts w:ascii="Cambria Math" w:hAnsi="Cambria Math"/>
                <w:color w:val="000000" w:themeColor="text1"/>
                <w:szCs w:val="21"/>
                <w14:textFill>
                  <w14:solidFill>
                    <w14:schemeClr w14:val="tx1"/>
                  </w14:solidFill>
                </w14:textFill>
              </w:rPr>
              <m:t>V</m:t>
            </m:r>
            <m:ctrlPr>
              <w:rPr>
                <w:rFonts w:ascii="Cambria Math" w:hAnsi="Cambria Math"/>
                <w:i/>
                <w:color w:val="000000" w:themeColor="text1"/>
                <w:szCs w:val="21"/>
                <w14:textFill>
                  <w14:solidFill>
                    <w14:schemeClr w14:val="tx1"/>
                  </w14:solidFill>
                </w14:textFill>
              </w:rPr>
            </m:ctrlPr>
          </m:e>
          <m:sub>
            <m:r>
              <m:rPr/>
              <w:rPr>
                <w:rFonts w:ascii="Cambria Math" w:hAnsi="Cambria Math"/>
                <w:color w:val="000000" w:themeColor="text1"/>
                <w:szCs w:val="21"/>
                <w14:textFill>
                  <w14:solidFill>
                    <w14:schemeClr w14:val="tx1"/>
                  </w14:solidFill>
                </w14:textFill>
              </w:rPr>
              <m:t>1</m:t>
            </m:r>
            <m:ctrlPr>
              <w:rPr>
                <w:rFonts w:ascii="Cambria Math" w:hAnsi="Cambria Math"/>
                <w:i/>
                <w:color w:val="000000" w:themeColor="text1"/>
                <w:szCs w:val="21"/>
                <w14:textFill>
                  <w14:solidFill>
                    <w14:schemeClr w14:val="tx1"/>
                  </w14:solidFill>
                </w14:textFill>
              </w:rPr>
            </m:ctrlPr>
          </m:sub>
        </m:sSub>
        <m:r>
          <m:rPr/>
          <w:rPr>
            <w:rFonts w:ascii="Cambria Math" w:hAnsi="Cambria Math"/>
            <w:color w:val="000000" w:themeColor="text1"/>
            <w:szCs w:val="21"/>
            <w14:textFill>
              <w14:solidFill>
                <w14:schemeClr w14:val="tx1"/>
              </w14:solidFill>
            </w14:textFill>
          </w:rPr>
          <m:t>=60∙S∙</m:t>
        </m:r>
        <m:sSub>
          <m:sSubPr>
            <m:ctrlPr>
              <w:rPr>
                <w:rFonts w:ascii="Cambria Math" w:hAnsi="Cambria Math"/>
                <w:i/>
                <w:color w:val="000000" w:themeColor="text1"/>
                <w:szCs w:val="21"/>
                <w14:textFill>
                  <w14:solidFill>
                    <w14:schemeClr w14:val="tx1"/>
                  </w14:solidFill>
                </w14:textFill>
              </w:rPr>
            </m:ctrlPr>
          </m:sSubPr>
          <m:e>
            <m:r>
              <m:rPr/>
              <w:rPr>
                <w:rFonts w:ascii="Cambria Math" w:hAnsi="Cambria Math"/>
                <w:color w:val="000000" w:themeColor="text1"/>
                <w:szCs w:val="21"/>
                <w14:textFill>
                  <w14:solidFill>
                    <w14:schemeClr w14:val="tx1"/>
                  </w14:solidFill>
                </w14:textFill>
              </w:rPr>
              <m:t>V</m:t>
            </m:r>
            <m:ctrlPr>
              <w:rPr>
                <w:rFonts w:ascii="Cambria Math" w:hAnsi="Cambria Math"/>
                <w:i/>
                <w:color w:val="000000" w:themeColor="text1"/>
                <w:szCs w:val="21"/>
                <w14:textFill>
                  <w14:solidFill>
                    <w14:schemeClr w14:val="tx1"/>
                  </w14:solidFill>
                </w14:textFill>
              </w:rPr>
            </m:ctrlPr>
          </m:e>
          <m:sub>
            <m:r>
              <m:rPr/>
              <w:rPr>
                <w:rFonts w:ascii="Cambria Math" w:hAnsi="Cambria Math"/>
                <w:color w:val="000000" w:themeColor="text1"/>
                <w:szCs w:val="21"/>
                <w14:textFill>
                  <w14:solidFill>
                    <w14:schemeClr w14:val="tx1"/>
                  </w14:solidFill>
                </w14:textFill>
              </w:rPr>
              <m:t>min</m:t>
            </m:r>
            <m:ctrlPr>
              <w:rPr>
                <w:rFonts w:ascii="Cambria Math" w:hAnsi="Cambria Math"/>
                <w:i/>
                <w:color w:val="000000" w:themeColor="text1"/>
                <w:szCs w:val="21"/>
                <w14:textFill>
                  <w14:solidFill>
                    <w14:schemeClr w14:val="tx1"/>
                  </w14:solidFill>
                </w14:textFill>
              </w:rPr>
            </m:ctrlPr>
          </m:sub>
        </m:sSub>
      </m:oMath>
      <w:r>
        <w:rPr>
          <w:rFonts w:hint="eastAsia" w:hAnsi="宋体"/>
          <w:color w:val="000000" w:themeColor="text1"/>
          <w:szCs w:val="21"/>
          <w14:textFill>
            <w14:solidFill>
              <w14:schemeClr w14:val="tx1"/>
            </w14:solidFill>
          </w14:textFill>
        </w:rPr>
        <w:t xml:space="preserve"> </w:t>
      </w:r>
    </w:p>
    <w:p>
      <w:pPr>
        <w:pStyle w:val="22"/>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 xml:space="preserve">      </w:t>
      </w:r>
      <m:oMath>
        <m:r>
          <m:rPr/>
          <w:rPr>
            <w:rFonts w:ascii="Cambria Math" w:hAnsi="Cambria Math"/>
            <w:color w:val="000000" w:themeColor="text1"/>
            <w:szCs w:val="21"/>
            <w14:textFill>
              <w14:solidFill>
                <w14:schemeClr w14:val="tx1"/>
              </w14:solidFill>
            </w14:textFill>
          </w:rPr>
          <m:t xml:space="preserve">S </m:t>
        </m:r>
      </m:oMath>
      <w:r>
        <w:rPr>
          <w:rFonts w:hint="eastAsia" w:hAnsi="Cambria Math"/>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 隧道断面面积（m</w:t>
      </w:r>
      <w:r>
        <w:rPr>
          <w:rFonts w:hint="eastAsia" w:hAnsi="宋体"/>
          <w:color w:val="000000" w:themeColor="text1"/>
          <w:szCs w:val="21"/>
          <w:vertAlign w:val="superscript"/>
          <w14:textFill>
            <w14:solidFill>
              <w14:schemeClr w14:val="tx1"/>
            </w14:solidFill>
          </w14:textFill>
        </w:rPr>
        <w:t>2</w:t>
      </w:r>
      <w:r>
        <w:rPr>
          <w:rFonts w:hint="eastAsia" w:hAnsi="宋体"/>
          <w:color w:val="000000" w:themeColor="text1"/>
          <w:szCs w:val="21"/>
          <w14:textFill>
            <w14:solidFill>
              <w14:schemeClr w14:val="tx1"/>
            </w14:solidFill>
          </w14:textFill>
        </w:rPr>
        <w:t>）；</w:t>
      </w:r>
    </w:p>
    <w:p>
      <w:pPr>
        <w:pStyle w:val="22"/>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 xml:space="preserve">      </w:t>
      </w:r>
      <m:oMath>
        <m:sSub>
          <m:sSubPr>
            <m:ctrlPr>
              <w:rPr>
                <w:rFonts w:ascii="Cambria Math" w:hAnsi="Cambria Math"/>
                <w:i/>
                <w:color w:val="000000" w:themeColor="text1"/>
                <w:szCs w:val="21"/>
                <w14:textFill>
                  <w14:solidFill>
                    <w14:schemeClr w14:val="tx1"/>
                  </w14:solidFill>
                </w14:textFill>
              </w:rPr>
            </m:ctrlPr>
          </m:sSubPr>
          <m:e>
            <m:r>
              <m:rPr/>
              <w:rPr>
                <w:rFonts w:ascii="Cambria Math" w:hAnsi="Cambria Math"/>
                <w:color w:val="000000" w:themeColor="text1"/>
                <w:szCs w:val="21"/>
                <w14:textFill>
                  <w14:solidFill>
                    <w14:schemeClr w14:val="tx1"/>
                  </w14:solidFill>
                </w14:textFill>
              </w:rPr>
              <m:t>V</m:t>
            </m:r>
            <m:ctrlPr>
              <w:rPr>
                <w:rFonts w:ascii="Cambria Math" w:hAnsi="Cambria Math"/>
                <w:i/>
                <w:color w:val="000000" w:themeColor="text1"/>
                <w:szCs w:val="21"/>
                <w14:textFill>
                  <w14:solidFill>
                    <w14:schemeClr w14:val="tx1"/>
                  </w14:solidFill>
                </w14:textFill>
              </w:rPr>
            </m:ctrlPr>
          </m:e>
          <m:sub>
            <m:r>
              <m:rPr/>
              <w:rPr>
                <w:rFonts w:ascii="Cambria Math" w:hAnsi="Cambria Math"/>
                <w:color w:val="000000" w:themeColor="text1"/>
                <w:szCs w:val="21"/>
                <w14:textFill>
                  <w14:solidFill>
                    <w14:schemeClr w14:val="tx1"/>
                  </w14:solidFill>
                </w14:textFill>
              </w:rPr>
              <m:t>min</m:t>
            </m:r>
            <m:ctrlPr>
              <w:rPr>
                <w:rFonts w:ascii="Cambria Math" w:hAnsi="Cambria Math"/>
                <w:i/>
                <w:color w:val="000000" w:themeColor="text1"/>
                <w:szCs w:val="21"/>
                <w14:textFill>
                  <w14:solidFill>
                    <w14:schemeClr w14:val="tx1"/>
                  </w14:solidFill>
                </w14:textFill>
              </w:rPr>
            </m:ctrlPr>
          </m:sub>
        </m:sSub>
      </m:oMath>
      <w:r>
        <w:rPr>
          <w:rFonts w:hint="eastAsia" w:hAnsi="Cambria Math"/>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 最小风速（m/ s），全断面开挖时不应小于0.15m/s，分部开挖应不小于0.25m/s。</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 xml:space="preserve">  </w:t>
      </w:r>
      <w:r>
        <w:rPr>
          <w:rFonts w:hint="eastAsia" w:hAnsi="宋体"/>
          <w:b/>
          <w:color w:val="000000" w:themeColor="text1"/>
          <w:szCs w:val="21"/>
          <w14:textFill>
            <w14:solidFill>
              <w14:schemeClr w14:val="tx1"/>
            </w14:solidFill>
          </w14:textFill>
        </w:rPr>
        <w:t xml:space="preserve">  2 </w:t>
      </w:r>
      <w:r>
        <w:rPr>
          <w:rFonts w:hint="eastAsia" w:hAnsi="宋体"/>
          <w:color w:val="000000" w:themeColor="text1"/>
          <w:szCs w:val="21"/>
          <w14:textFill>
            <w14:solidFill>
              <w14:schemeClr w14:val="tx1"/>
            </w14:solidFill>
          </w14:textFill>
        </w:rPr>
        <w:t>按施工人员需风量计算</w:t>
      </w:r>
    </w:p>
    <w:p>
      <w:pPr>
        <w:pStyle w:val="22"/>
        <w:tabs>
          <w:tab w:val="left" w:pos="851"/>
          <w:tab w:val="left" w:pos="5835"/>
        </w:tabs>
        <w:snapToGrid w:val="0"/>
        <w:spacing w:line="360" w:lineRule="auto"/>
        <w:ind w:firstLine="840" w:firstLineChars="40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 xml:space="preserve">  </w:t>
      </w:r>
      <m:oMath>
        <m:sSub>
          <m:sSubPr>
            <m:ctrlPr>
              <w:rPr>
                <w:rFonts w:ascii="Cambria Math" w:hAnsi="Cambria Math"/>
                <w:i/>
                <w:color w:val="000000" w:themeColor="text1"/>
                <w:szCs w:val="21"/>
                <w14:textFill>
                  <w14:solidFill>
                    <w14:schemeClr w14:val="tx1"/>
                  </w14:solidFill>
                </w14:textFill>
              </w:rPr>
            </m:ctrlPr>
          </m:sSubPr>
          <m:e>
            <m:r>
              <m:rPr/>
              <w:rPr>
                <w:rFonts w:ascii="Cambria Math" w:hAnsi="Cambria Math"/>
                <w:color w:val="000000" w:themeColor="text1"/>
                <w:szCs w:val="21"/>
                <w14:textFill>
                  <w14:solidFill>
                    <w14:schemeClr w14:val="tx1"/>
                  </w14:solidFill>
                </w14:textFill>
              </w:rPr>
              <m:t>V</m:t>
            </m:r>
            <m:ctrlPr>
              <w:rPr>
                <w:rFonts w:ascii="Cambria Math" w:hAnsi="Cambria Math"/>
                <w:i/>
                <w:color w:val="000000" w:themeColor="text1"/>
                <w:szCs w:val="21"/>
                <w14:textFill>
                  <w14:solidFill>
                    <w14:schemeClr w14:val="tx1"/>
                  </w14:solidFill>
                </w14:textFill>
              </w:rPr>
            </m:ctrlPr>
          </m:e>
          <m:sub>
            <m:r>
              <m:rPr/>
              <w:rPr>
                <w:rFonts w:ascii="Cambria Math" w:hAnsi="Cambria Math"/>
                <w:color w:val="000000" w:themeColor="text1"/>
                <w:szCs w:val="21"/>
                <w14:textFill>
                  <w14:solidFill>
                    <w14:schemeClr w14:val="tx1"/>
                  </w14:solidFill>
                </w14:textFill>
              </w:rPr>
              <m:t>2</m:t>
            </m:r>
            <m:ctrlPr>
              <w:rPr>
                <w:rFonts w:ascii="Cambria Math" w:hAnsi="Cambria Math"/>
                <w:i/>
                <w:color w:val="000000" w:themeColor="text1"/>
                <w:szCs w:val="21"/>
                <w14:textFill>
                  <w14:solidFill>
                    <w14:schemeClr w14:val="tx1"/>
                  </w14:solidFill>
                </w14:textFill>
              </w:rPr>
            </m:ctrlPr>
          </m:sub>
        </m:sSub>
        <m:r>
          <m:rPr/>
          <w:rPr>
            <w:rFonts w:ascii="Cambria Math" w:hAnsi="Cambria Math"/>
            <w:color w:val="000000" w:themeColor="text1"/>
            <w:szCs w:val="21"/>
            <w14:textFill>
              <w14:solidFill>
                <w14:schemeClr w14:val="tx1"/>
              </w14:solidFill>
            </w14:textFill>
          </w:rPr>
          <m:t>=</m:t>
        </m:r>
        <m:sSub>
          <m:sSubPr>
            <m:ctrlPr>
              <w:rPr>
                <w:rFonts w:ascii="Cambria Math" w:hAnsi="Cambria Math"/>
                <w:i/>
                <w:color w:val="000000" w:themeColor="text1"/>
                <w:szCs w:val="21"/>
                <w14:textFill>
                  <w14:solidFill>
                    <w14:schemeClr w14:val="tx1"/>
                  </w14:solidFill>
                </w14:textFill>
              </w:rPr>
            </m:ctrlPr>
          </m:sSubPr>
          <m:e>
            <m:r>
              <m:rPr/>
              <w:rPr>
                <w:rFonts w:ascii="Cambria Math" w:hAnsi="Cambria Math"/>
                <w:color w:val="000000" w:themeColor="text1"/>
                <w:szCs w:val="21"/>
                <w14:textFill>
                  <w14:solidFill>
                    <w14:schemeClr w14:val="tx1"/>
                  </w14:solidFill>
                </w14:textFill>
              </w:rPr>
              <m:t>V</m:t>
            </m:r>
            <m:ctrlPr>
              <w:rPr>
                <w:rFonts w:ascii="Cambria Math" w:hAnsi="Cambria Math"/>
                <w:i/>
                <w:color w:val="000000" w:themeColor="text1"/>
                <w:szCs w:val="21"/>
                <w14:textFill>
                  <w14:solidFill>
                    <w14:schemeClr w14:val="tx1"/>
                  </w14:solidFill>
                </w14:textFill>
              </w:rPr>
            </m:ctrlPr>
          </m:e>
          <m:sub>
            <m:r>
              <m:rPr/>
              <w:rPr>
                <w:rFonts w:ascii="Cambria Math" w:hAnsi="Cambria Math"/>
                <w:color w:val="000000" w:themeColor="text1"/>
                <w:szCs w:val="21"/>
                <w14:textFill>
                  <w14:solidFill>
                    <w14:schemeClr w14:val="tx1"/>
                  </w14:solidFill>
                </w14:textFill>
              </w:rPr>
              <m:t>p</m:t>
            </m:r>
            <m:ctrlPr>
              <w:rPr>
                <w:rFonts w:ascii="Cambria Math" w:hAnsi="Cambria Math"/>
                <w:i/>
                <w:color w:val="000000" w:themeColor="text1"/>
                <w:szCs w:val="21"/>
                <w14:textFill>
                  <w14:solidFill>
                    <w14:schemeClr w14:val="tx1"/>
                  </w14:solidFill>
                </w14:textFill>
              </w:rPr>
            </m:ctrlPr>
          </m:sub>
        </m:sSub>
        <m:r>
          <m:rPr/>
          <w:rPr>
            <w:rFonts w:ascii="Cambria Math" w:hAnsi="Cambria Math"/>
            <w:color w:val="000000" w:themeColor="text1"/>
            <w:szCs w:val="21"/>
            <w14:textFill>
              <w14:solidFill>
                <w14:schemeClr w14:val="tx1"/>
              </w14:solidFill>
            </w14:textFill>
          </w:rPr>
          <m:t>∙m∙k</m:t>
        </m:r>
      </m:oMath>
    </w:p>
    <w:p>
      <w:pPr>
        <w:pStyle w:val="22"/>
        <w:tabs>
          <w:tab w:val="left" w:pos="851"/>
          <w:tab w:val="left" w:pos="5835"/>
        </w:tabs>
        <w:snapToGrid w:val="0"/>
        <w:spacing w:line="360" w:lineRule="auto"/>
        <w:ind w:firstLineChars="0"/>
        <w:jc w:val="left"/>
        <w:rPr>
          <w:rFonts w:hAnsi="宋体"/>
          <w:color w:val="000000" w:themeColor="text1"/>
          <w:szCs w:val="21"/>
          <w14:textFill>
            <w14:solidFill>
              <w14:schemeClr w14:val="tx1"/>
            </w14:solidFill>
          </w14:textFill>
        </w:rPr>
      </w:pPr>
      <m:oMath>
        <m:sSub>
          <m:sSubPr>
            <m:ctrlPr>
              <w:rPr>
                <w:rFonts w:ascii="Cambria Math" w:hAnsi="Cambria Math"/>
                <w:i/>
                <w:color w:val="000000" w:themeColor="text1"/>
                <w:szCs w:val="21"/>
                <w14:textFill>
                  <w14:solidFill>
                    <w14:schemeClr w14:val="tx1"/>
                  </w14:solidFill>
                </w14:textFill>
              </w:rPr>
            </m:ctrlPr>
          </m:sSubPr>
          <m:e>
            <m:r>
              <m:rPr/>
              <w:rPr>
                <w:rFonts w:ascii="Cambria Math" w:hAnsi="Cambria Math"/>
                <w:color w:val="000000" w:themeColor="text1"/>
                <w:szCs w:val="21"/>
                <w14:textFill>
                  <w14:solidFill>
                    <w14:schemeClr w14:val="tx1"/>
                  </w14:solidFill>
                </w14:textFill>
              </w:rPr>
              <m:t>V</m:t>
            </m:r>
            <m:ctrlPr>
              <w:rPr>
                <w:rFonts w:ascii="Cambria Math" w:hAnsi="Cambria Math"/>
                <w:i/>
                <w:color w:val="000000" w:themeColor="text1"/>
                <w:szCs w:val="21"/>
                <w14:textFill>
                  <w14:solidFill>
                    <w14:schemeClr w14:val="tx1"/>
                  </w14:solidFill>
                </w14:textFill>
              </w:rPr>
            </m:ctrlPr>
          </m:e>
          <m:sub>
            <m:r>
              <m:rPr/>
              <w:rPr>
                <w:rFonts w:ascii="Cambria Math" w:hAnsi="Cambria Math"/>
                <w:color w:val="000000" w:themeColor="text1"/>
                <w:szCs w:val="21"/>
                <w14:textFill>
                  <w14:solidFill>
                    <w14:schemeClr w14:val="tx1"/>
                  </w14:solidFill>
                </w14:textFill>
              </w:rPr>
              <m:t>p</m:t>
            </m:r>
            <m:ctrlPr>
              <w:rPr>
                <w:rFonts w:ascii="Cambria Math" w:hAnsi="Cambria Math"/>
                <w:i/>
                <w:color w:val="000000" w:themeColor="text1"/>
                <w:szCs w:val="21"/>
                <w14:textFill>
                  <w14:solidFill>
                    <w14:schemeClr w14:val="tx1"/>
                  </w14:solidFill>
                </w14:textFill>
              </w:rPr>
            </m:ctrlPr>
          </m:sub>
        </m:sSub>
      </m:oMath>
      <w:r>
        <w:rPr>
          <w:rFonts w:hint="eastAsia" w:hAnsi="Cambria Math"/>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　施工人员需风量，取3.0m</w:t>
      </w:r>
      <w:r>
        <w:rPr>
          <w:rFonts w:hint="eastAsia" w:hAnsi="宋体"/>
          <w:color w:val="000000" w:themeColor="text1"/>
          <w:szCs w:val="21"/>
          <w:vertAlign w:val="superscript"/>
          <w14:textFill>
            <w14:solidFill>
              <w14:schemeClr w14:val="tx1"/>
            </w14:solidFill>
          </w14:textFill>
        </w:rPr>
        <w:t>3</w:t>
      </w:r>
      <w:r>
        <w:rPr>
          <w:rFonts w:hint="eastAsia" w:hAnsi="宋体"/>
          <w:color w:val="000000" w:themeColor="text1"/>
          <w:szCs w:val="21"/>
          <w14:textFill>
            <w14:solidFill>
              <w14:schemeClr w14:val="tx1"/>
            </w14:solidFill>
          </w14:textFill>
        </w:rPr>
        <w:t>/(min˙人)；</w:t>
      </w:r>
    </w:p>
    <w:p>
      <w:pPr>
        <w:pStyle w:val="22"/>
        <w:tabs>
          <w:tab w:val="left" w:pos="851"/>
          <w:tab w:val="left" w:pos="5835"/>
        </w:tabs>
        <w:snapToGrid w:val="0"/>
        <w:spacing w:line="360" w:lineRule="auto"/>
        <w:ind w:firstLineChars="0"/>
        <w:jc w:val="left"/>
        <w:rPr>
          <w:rFonts w:hAnsi="宋体"/>
          <w:color w:val="000000" w:themeColor="text1"/>
          <w:szCs w:val="21"/>
          <w14:textFill>
            <w14:solidFill>
              <w14:schemeClr w14:val="tx1"/>
            </w14:solidFill>
          </w14:textFill>
        </w:rPr>
      </w:pPr>
      <m:oMath>
        <m:r>
          <m:rPr/>
          <w:rPr>
            <w:rFonts w:ascii="Cambria Math" w:hAnsi="Cambria Math"/>
            <w:color w:val="000000" w:themeColor="text1"/>
            <w:szCs w:val="21"/>
            <w14:textFill>
              <w14:solidFill>
                <w14:schemeClr w14:val="tx1"/>
              </w14:solidFill>
            </w14:textFill>
          </w:rPr>
          <m:t>m</m:t>
        </m:r>
      </m:oMath>
      <w:r>
        <w:rPr>
          <w:rFonts w:hint="eastAsia" w:hAnsi="宋体"/>
          <w:color w:val="000000" w:themeColor="text1"/>
          <w:szCs w:val="21"/>
          <w14:textFill>
            <w14:solidFill>
              <w14:schemeClr w14:val="tx1"/>
            </w14:solidFill>
          </w14:textFill>
        </w:rPr>
        <w:t xml:space="preserve"> —— 井内最多人数；</w:t>
      </w:r>
    </w:p>
    <w:p>
      <w:pPr>
        <w:pStyle w:val="22"/>
        <w:tabs>
          <w:tab w:val="left" w:pos="851"/>
          <w:tab w:val="left" w:pos="5835"/>
        </w:tabs>
        <w:snapToGrid w:val="0"/>
        <w:spacing w:line="360" w:lineRule="auto"/>
        <w:ind w:firstLineChars="0"/>
        <w:jc w:val="left"/>
        <w:rPr>
          <w:rFonts w:hAnsi="宋体"/>
          <w:color w:val="000000" w:themeColor="text1"/>
          <w:szCs w:val="21"/>
          <w14:textFill>
            <w14:solidFill>
              <w14:schemeClr w14:val="tx1"/>
            </w14:solidFill>
          </w14:textFill>
        </w:rPr>
      </w:pPr>
      <m:oMath>
        <m:r>
          <m:rPr/>
          <w:rPr>
            <w:rFonts w:ascii="Cambria Math" w:hAnsi="Cambria Math"/>
            <w:color w:val="000000" w:themeColor="text1"/>
            <w:szCs w:val="21"/>
            <w14:textFill>
              <w14:solidFill>
                <w14:schemeClr w14:val="tx1"/>
              </w14:solidFill>
            </w14:textFill>
          </w:rPr>
          <m:t>k</m:t>
        </m:r>
      </m:oMath>
      <w:r>
        <w:rPr>
          <w:rFonts w:hint="eastAsia" w:hAnsi="宋体"/>
          <w:color w:val="000000" w:themeColor="text1"/>
          <w:szCs w:val="21"/>
          <w14:textFill>
            <w14:solidFill>
              <w14:schemeClr w14:val="tx1"/>
            </w14:solidFill>
          </w14:textFill>
        </w:rPr>
        <w:t xml:space="preserve"> —— 风量损耗系数，取1.1</w:t>
      </w:r>
    </w:p>
    <w:p>
      <w:pPr>
        <w:pStyle w:val="22"/>
        <w:tabs>
          <w:tab w:val="left" w:pos="851"/>
          <w:tab w:val="left" w:pos="5835"/>
        </w:tabs>
        <w:snapToGrid w:val="0"/>
        <w:spacing w:line="360" w:lineRule="auto"/>
        <w:ind w:firstLineChars="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通风量</w:t>
      </w:r>
      <m:oMath>
        <m:sSub>
          <m:sSubPr>
            <m:ctrlPr>
              <w:rPr>
                <w:rFonts w:ascii="Cambria Math" w:hAnsi="Cambria Math"/>
                <w:i/>
                <w:color w:val="000000" w:themeColor="text1"/>
                <w:szCs w:val="21"/>
                <w14:textFill>
                  <w14:solidFill>
                    <w14:schemeClr w14:val="tx1"/>
                  </w14:solidFill>
                </w14:textFill>
              </w:rPr>
            </m:ctrlPr>
          </m:sSubPr>
          <m:e>
            <m:r>
              <m:rPr/>
              <w:rPr>
                <w:rFonts w:ascii="Cambria Math" w:hAnsi="Cambria Math"/>
                <w:color w:val="000000" w:themeColor="text1"/>
                <w:szCs w:val="21"/>
                <w14:textFill>
                  <w14:solidFill>
                    <w14:schemeClr w14:val="tx1"/>
                  </w14:solidFill>
                </w14:textFill>
              </w:rPr>
              <m:t>V</m:t>
            </m:r>
            <m:ctrlPr>
              <w:rPr>
                <w:rFonts w:ascii="Cambria Math" w:hAnsi="Cambria Math"/>
                <w:i/>
                <w:color w:val="000000" w:themeColor="text1"/>
                <w:szCs w:val="21"/>
                <w14:textFill>
                  <w14:solidFill>
                    <w14:schemeClr w14:val="tx1"/>
                  </w14:solidFill>
                </w14:textFill>
              </w:rPr>
            </m:ctrlPr>
          </m:e>
          <m:sub>
            <m:r>
              <m:rPr/>
              <w:rPr>
                <w:rFonts w:ascii="Cambria Math" w:hAnsi="Cambria Math"/>
                <w:color w:val="000000" w:themeColor="text1"/>
                <w:szCs w:val="21"/>
                <w14:textFill>
                  <w14:solidFill>
                    <w14:schemeClr w14:val="tx1"/>
                  </w14:solidFill>
                </w14:textFill>
              </w:rPr>
              <m:t>2</m:t>
            </m:r>
            <m:ctrlPr>
              <w:rPr>
                <w:rFonts w:ascii="Cambria Math" w:hAnsi="Cambria Math"/>
                <w:i/>
                <w:color w:val="000000" w:themeColor="text1"/>
                <w:szCs w:val="21"/>
                <w14:textFill>
                  <w14:solidFill>
                    <w14:schemeClr w14:val="tx1"/>
                  </w14:solidFill>
                </w14:textFill>
              </w:rPr>
            </m:ctrlPr>
          </m:sub>
        </m:sSub>
      </m:oMath>
      <w:r>
        <w:rPr>
          <w:rFonts w:hint="eastAsia" w:hAnsi="宋体"/>
          <w:color w:val="000000" w:themeColor="text1"/>
          <w:szCs w:val="21"/>
          <w14:textFill>
            <w14:solidFill>
              <w14:schemeClr w14:val="tx1"/>
            </w14:solidFill>
          </w14:textFill>
        </w:rPr>
        <w:t>应根据工作面最多人数和机械数量计算，最大风量取</w:t>
      </w:r>
      <m:oMath>
        <m:sSub>
          <m:sSubPr>
            <m:ctrlPr>
              <w:rPr>
                <w:rFonts w:ascii="Cambria Math" w:hAnsi="Cambria Math"/>
                <w:i/>
                <w:color w:val="000000" w:themeColor="text1"/>
                <w:szCs w:val="21"/>
                <w14:textFill>
                  <w14:solidFill>
                    <w14:schemeClr w14:val="tx1"/>
                  </w14:solidFill>
                </w14:textFill>
              </w:rPr>
            </m:ctrlPr>
          </m:sSubPr>
          <m:e>
            <m:r>
              <m:rPr/>
              <w:rPr>
                <w:rFonts w:ascii="Cambria Math" w:hAnsi="Cambria Math"/>
                <w:color w:val="000000" w:themeColor="text1"/>
                <w:szCs w:val="21"/>
                <w14:textFill>
                  <w14:solidFill>
                    <w14:schemeClr w14:val="tx1"/>
                  </w14:solidFill>
                </w14:textFill>
              </w:rPr>
              <m:t>V</m:t>
            </m:r>
            <m:ctrlPr>
              <w:rPr>
                <w:rFonts w:ascii="Cambria Math" w:hAnsi="Cambria Math"/>
                <w:i/>
                <w:color w:val="000000" w:themeColor="text1"/>
                <w:szCs w:val="21"/>
                <w14:textFill>
                  <w14:solidFill>
                    <w14:schemeClr w14:val="tx1"/>
                  </w14:solidFill>
                </w14:textFill>
              </w:rPr>
            </m:ctrlPr>
          </m:e>
          <m:sub>
            <m:r>
              <m:rPr/>
              <w:rPr>
                <w:rFonts w:ascii="Cambria Math" w:hAnsi="Cambria Math"/>
                <w:color w:val="000000" w:themeColor="text1"/>
                <w:szCs w:val="21"/>
                <w14:textFill>
                  <w14:solidFill>
                    <w14:schemeClr w14:val="tx1"/>
                  </w14:solidFill>
                </w14:textFill>
              </w:rPr>
              <m:t>1</m:t>
            </m:r>
            <m:ctrlPr>
              <w:rPr>
                <w:rFonts w:ascii="Cambria Math" w:hAnsi="Cambria Math"/>
                <w:i/>
                <w:color w:val="000000" w:themeColor="text1"/>
                <w:szCs w:val="21"/>
                <w14:textFill>
                  <w14:solidFill>
                    <w14:schemeClr w14:val="tx1"/>
                  </w14:solidFill>
                </w14:textFill>
              </w:rPr>
            </m:ctrlPr>
          </m:sub>
        </m:sSub>
      </m:oMath>
      <w:r>
        <w:rPr>
          <w:rFonts w:hint="eastAsia" w:hAnsi="宋体"/>
          <w:color w:val="000000" w:themeColor="text1"/>
          <w:szCs w:val="21"/>
          <w14:textFill>
            <w14:solidFill>
              <w14:schemeClr w14:val="tx1"/>
            </w14:solidFill>
          </w14:textFill>
        </w:rPr>
        <w:t>、</w:t>
      </w:r>
      <m:oMath>
        <m:sSub>
          <m:sSubPr>
            <m:ctrlPr>
              <w:rPr>
                <w:rFonts w:ascii="Cambria Math" w:hAnsi="Cambria Math"/>
                <w:i/>
                <w:color w:val="000000" w:themeColor="text1"/>
                <w:szCs w:val="21"/>
                <w14:textFill>
                  <w14:solidFill>
                    <w14:schemeClr w14:val="tx1"/>
                  </w14:solidFill>
                </w14:textFill>
              </w:rPr>
            </m:ctrlPr>
          </m:sSubPr>
          <m:e>
            <m:r>
              <m:rPr/>
              <w:rPr>
                <w:rFonts w:ascii="Cambria Math" w:hAnsi="Cambria Math"/>
                <w:color w:val="000000" w:themeColor="text1"/>
                <w:szCs w:val="21"/>
                <w14:textFill>
                  <w14:solidFill>
                    <w14:schemeClr w14:val="tx1"/>
                  </w14:solidFill>
                </w14:textFill>
              </w:rPr>
              <m:t>V</m:t>
            </m:r>
            <m:ctrlPr>
              <w:rPr>
                <w:rFonts w:ascii="Cambria Math" w:hAnsi="Cambria Math"/>
                <w:i/>
                <w:color w:val="000000" w:themeColor="text1"/>
                <w:szCs w:val="21"/>
                <w14:textFill>
                  <w14:solidFill>
                    <w14:schemeClr w14:val="tx1"/>
                  </w14:solidFill>
                </w14:textFill>
              </w:rPr>
            </m:ctrlPr>
          </m:e>
          <m:sub>
            <m:r>
              <m:rPr/>
              <w:rPr>
                <w:rFonts w:ascii="Cambria Math" w:hAnsi="Cambria Math"/>
                <w:color w:val="000000" w:themeColor="text1"/>
                <w:szCs w:val="21"/>
                <w14:textFill>
                  <w14:solidFill>
                    <w14:schemeClr w14:val="tx1"/>
                  </w14:solidFill>
                </w14:textFill>
              </w:rPr>
              <m:t>2</m:t>
            </m:r>
            <m:ctrlPr>
              <w:rPr>
                <w:rFonts w:ascii="Cambria Math" w:hAnsi="Cambria Math"/>
                <w:i/>
                <w:color w:val="000000" w:themeColor="text1"/>
                <w:szCs w:val="21"/>
                <w14:textFill>
                  <w14:solidFill>
                    <w14:schemeClr w14:val="tx1"/>
                  </w14:solidFill>
                </w14:textFill>
              </w:rPr>
            </m:ctrlPr>
          </m:sub>
        </m:sSub>
      </m:oMath>
      <w:r>
        <w:rPr>
          <w:rFonts w:hint="eastAsia" w:hAnsi="宋体"/>
          <w:color w:val="000000" w:themeColor="text1"/>
          <w:szCs w:val="21"/>
          <w14:textFill>
            <w14:solidFill>
              <w14:schemeClr w14:val="tx1"/>
            </w14:solidFill>
          </w14:textFill>
        </w:rPr>
        <w:t>的最大值。</w:t>
      </w:r>
    </w:p>
    <w:p>
      <w:pPr>
        <w:pStyle w:val="22"/>
        <w:tabs>
          <w:tab w:val="left" w:pos="851"/>
          <w:tab w:val="left" w:pos="5835"/>
        </w:tabs>
        <w:snapToGrid w:val="0"/>
        <w:spacing w:line="360" w:lineRule="auto"/>
        <w:ind w:firstLine="422"/>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3 </w:t>
      </w:r>
      <w:r>
        <w:rPr>
          <w:rFonts w:hint="eastAsia" w:hAnsi="宋体"/>
          <w:bCs/>
          <w:color w:val="000000" w:themeColor="text1"/>
          <w:szCs w:val="21"/>
          <w14:textFill>
            <w14:solidFill>
              <w14:schemeClr w14:val="tx1"/>
            </w14:solidFill>
          </w14:textFill>
        </w:rPr>
        <w:t>按</w:t>
      </w:r>
      <w:r>
        <w:rPr>
          <w:rFonts w:hint="eastAsia" w:hAnsi="宋体"/>
          <w:color w:val="000000" w:themeColor="text1"/>
          <w:szCs w:val="21"/>
          <w14:textFill>
            <w14:solidFill>
              <w14:schemeClr w14:val="tx1"/>
            </w14:solidFill>
          </w14:textFill>
        </w:rPr>
        <w:t>照内燃机械作业所需风量计算</w:t>
      </w:r>
    </w:p>
    <w:p>
      <w:pPr>
        <w:pStyle w:val="22"/>
        <w:tabs>
          <w:tab w:val="left" w:pos="851"/>
          <w:tab w:val="left" w:pos="5835"/>
        </w:tabs>
        <w:snapToGrid w:val="0"/>
        <w:spacing w:line="360" w:lineRule="auto"/>
        <w:ind w:firstLine="840" w:firstLineChars="40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 xml:space="preserve">  </w:t>
      </w:r>
      <m:oMath>
        <m:sSub>
          <m:sSubPr>
            <m:ctrlPr>
              <w:rPr>
                <w:rFonts w:ascii="Cambria Math" w:hAnsi="Cambria Math"/>
                <w:i/>
                <w:color w:val="000000" w:themeColor="text1"/>
                <w:szCs w:val="21"/>
                <w14:textFill>
                  <w14:solidFill>
                    <w14:schemeClr w14:val="tx1"/>
                  </w14:solidFill>
                </w14:textFill>
              </w:rPr>
            </m:ctrlPr>
          </m:sSubPr>
          <m:e>
            <m:r>
              <m:rPr/>
              <w:rPr>
                <w:rFonts w:ascii="Cambria Math" w:hAnsi="Cambria Math"/>
                <w:color w:val="000000" w:themeColor="text1"/>
                <w:szCs w:val="21"/>
                <w14:textFill>
                  <w14:solidFill>
                    <w14:schemeClr w14:val="tx1"/>
                  </w14:solidFill>
                </w14:textFill>
              </w:rPr>
              <m:t>V</m:t>
            </m:r>
            <m:ctrlPr>
              <w:rPr>
                <w:rFonts w:ascii="Cambria Math" w:hAnsi="Cambria Math"/>
                <w:i/>
                <w:color w:val="000000" w:themeColor="text1"/>
                <w:szCs w:val="21"/>
                <w14:textFill>
                  <w14:solidFill>
                    <w14:schemeClr w14:val="tx1"/>
                  </w14:solidFill>
                </w14:textFill>
              </w:rPr>
            </m:ctrlPr>
          </m:e>
          <m:sub>
            <m:r>
              <m:rPr/>
              <w:rPr>
                <w:rFonts w:ascii="Cambria Math" w:hAnsi="Cambria Math"/>
                <w:color w:val="000000" w:themeColor="text1"/>
                <w:szCs w:val="21"/>
                <w14:textFill>
                  <w14:solidFill>
                    <w14:schemeClr w14:val="tx1"/>
                  </w14:solidFill>
                </w14:textFill>
              </w:rPr>
              <m:t>3</m:t>
            </m:r>
            <m:ctrlPr>
              <w:rPr>
                <w:rFonts w:ascii="Cambria Math" w:hAnsi="Cambria Math"/>
                <w:i/>
                <w:color w:val="000000" w:themeColor="text1"/>
                <w:szCs w:val="21"/>
                <w14:textFill>
                  <w14:solidFill>
                    <w14:schemeClr w14:val="tx1"/>
                  </w14:solidFill>
                </w14:textFill>
              </w:rPr>
            </m:ctrlPr>
          </m:sub>
        </m:sSub>
        <m:r>
          <m:rPr/>
          <w:rPr>
            <w:rFonts w:ascii="Cambria Math" w:hAnsi="Cambria Math"/>
            <w:color w:val="000000" w:themeColor="text1"/>
            <w:szCs w:val="21"/>
            <w14:textFill>
              <w14:solidFill>
                <w14:schemeClr w14:val="tx1"/>
              </w14:solidFill>
            </w14:textFill>
          </w:rPr>
          <m:t>=</m:t>
        </m:r>
        <m:d>
          <m:dPr>
            <m:ctrlPr>
              <w:rPr>
                <w:rFonts w:ascii="Cambria Math" w:hAnsi="Cambria Math"/>
                <w:i/>
                <w:color w:val="000000" w:themeColor="text1"/>
                <w:szCs w:val="21"/>
                <w14:textFill>
                  <w14:solidFill>
                    <w14:schemeClr w14:val="tx1"/>
                  </w14:solidFill>
                </w14:textFill>
              </w:rPr>
            </m:ctrlPr>
          </m:dPr>
          <m:e>
            <m:r>
              <m:rPr/>
              <w:rPr>
                <w:rFonts w:ascii="Cambria Math" w:hAnsi="Cambria Math"/>
                <w:color w:val="000000" w:themeColor="text1"/>
                <w:szCs w:val="21"/>
                <w14:textFill>
                  <w14:solidFill>
                    <w14:schemeClr w14:val="tx1"/>
                  </w14:solidFill>
                </w14:textFill>
              </w:rPr>
              <m:t>q∙c∙α</m:t>
            </m:r>
            <m:ctrlPr>
              <w:rPr>
                <w:rFonts w:ascii="Cambria Math" w:hAnsi="Cambria Math"/>
                <w:i/>
                <w:color w:val="000000" w:themeColor="text1"/>
                <w:szCs w:val="21"/>
                <w14:textFill>
                  <w14:solidFill>
                    <w14:schemeClr w14:val="tx1"/>
                  </w14:solidFill>
                </w14:textFill>
              </w:rPr>
            </m:ctrlPr>
          </m:e>
        </m:d>
        <m:r>
          <m:rPr/>
          <w:rPr>
            <w:rFonts w:ascii="Cambria Math" w:hAnsi="Cambria Math"/>
            <w:color w:val="000000" w:themeColor="text1"/>
            <w:szCs w:val="21"/>
            <w14:textFill>
              <w14:solidFill>
                <w14:schemeClr w14:val="tx1"/>
              </w14:solidFill>
            </w14:textFill>
          </w:rPr>
          <m:t>/y</m:t>
        </m:r>
      </m:oMath>
    </w:p>
    <w:p>
      <w:pPr>
        <w:pStyle w:val="22"/>
        <w:tabs>
          <w:tab w:val="left" w:pos="851"/>
          <w:tab w:val="left" w:pos="5835"/>
        </w:tabs>
        <w:snapToGrid w:val="0"/>
        <w:spacing w:line="360" w:lineRule="auto"/>
        <w:ind w:firstLine="840" w:firstLineChars="40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式中：</w:t>
      </w:r>
      <m:oMath>
        <m:sSub>
          <m:sSubPr>
            <m:ctrlPr>
              <w:rPr>
                <w:rFonts w:ascii="Cambria Math" w:hAnsi="Cambria Math"/>
                <w:i/>
                <w:color w:val="000000" w:themeColor="text1"/>
                <w:szCs w:val="21"/>
                <w14:textFill>
                  <w14:solidFill>
                    <w14:schemeClr w14:val="tx1"/>
                  </w14:solidFill>
                </w14:textFill>
              </w:rPr>
            </m:ctrlPr>
          </m:sSubPr>
          <m:e>
            <m:r>
              <m:rPr/>
              <w:rPr>
                <w:rFonts w:ascii="Cambria Math" w:hAnsi="Cambria Math"/>
                <w:color w:val="000000" w:themeColor="text1"/>
                <w:szCs w:val="21"/>
                <w14:textFill>
                  <w14:solidFill>
                    <w14:schemeClr w14:val="tx1"/>
                  </w14:solidFill>
                </w14:textFill>
              </w:rPr>
              <m:t>V</m:t>
            </m:r>
            <m:ctrlPr>
              <w:rPr>
                <w:rFonts w:ascii="Cambria Math" w:hAnsi="Cambria Math"/>
                <w:i/>
                <w:color w:val="000000" w:themeColor="text1"/>
                <w:szCs w:val="21"/>
                <w14:textFill>
                  <w14:solidFill>
                    <w14:schemeClr w14:val="tx1"/>
                  </w14:solidFill>
                </w14:textFill>
              </w:rPr>
            </m:ctrlPr>
          </m:e>
          <m:sub>
            <m:r>
              <m:rPr/>
              <w:rPr>
                <w:rFonts w:ascii="Cambria Math" w:hAnsi="Cambria Math"/>
                <w:color w:val="000000" w:themeColor="text1"/>
                <w:szCs w:val="21"/>
                <w14:textFill>
                  <w14:solidFill>
                    <w14:schemeClr w14:val="tx1"/>
                  </w14:solidFill>
                </w14:textFill>
              </w:rPr>
              <m:t>3</m:t>
            </m:r>
            <m:ctrlPr>
              <w:rPr>
                <w:rFonts w:ascii="Cambria Math" w:hAnsi="Cambria Math"/>
                <w:i/>
                <w:color w:val="000000" w:themeColor="text1"/>
                <w:szCs w:val="21"/>
                <w14:textFill>
                  <w14:solidFill>
                    <w14:schemeClr w14:val="tx1"/>
                  </w14:solidFill>
                </w14:textFill>
              </w:rPr>
            </m:ctrlPr>
          </m:sub>
        </m:sSub>
      </m:oMath>
      <w:r>
        <w:rPr>
          <w:rFonts w:hint="eastAsia" w:hAnsi="宋体"/>
          <w:color w:val="000000" w:themeColor="text1"/>
          <w:szCs w:val="21"/>
          <w14:textFill>
            <w14:solidFill>
              <w14:schemeClr w14:val="tx1"/>
            </w14:solidFill>
          </w14:textFill>
        </w:rPr>
        <w:t xml:space="preserve"> — 所需总通风量（m</w:t>
      </w:r>
      <w:r>
        <w:rPr>
          <w:rFonts w:hint="eastAsia" w:hAnsi="宋体"/>
          <w:color w:val="000000" w:themeColor="text1"/>
          <w:szCs w:val="21"/>
          <w:vertAlign w:val="superscript"/>
          <w14:textFill>
            <w14:solidFill>
              <w14:schemeClr w14:val="tx1"/>
            </w14:solidFill>
          </w14:textFill>
        </w:rPr>
        <w:t>3</w:t>
      </w:r>
      <w:r>
        <w:rPr>
          <w:rFonts w:hint="eastAsia" w:hAnsi="宋体"/>
          <w:color w:val="000000" w:themeColor="text1"/>
          <w:szCs w:val="21"/>
          <w14:textFill>
            <w14:solidFill>
              <w14:schemeClr w14:val="tx1"/>
            </w14:solidFill>
          </w14:textFill>
        </w:rPr>
        <w:t>/min）；</w:t>
      </w:r>
    </w:p>
    <w:p>
      <w:pPr>
        <w:pStyle w:val="22"/>
        <w:tabs>
          <w:tab w:val="left" w:pos="851"/>
          <w:tab w:val="left" w:pos="5835"/>
        </w:tabs>
        <w:snapToGrid w:val="0"/>
        <w:spacing w:line="360" w:lineRule="auto"/>
        <w:ind w:firstLine="840" w:firstLineChars="40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 xml:space="preserve">      </w:t>
      </w:r>
      <m:oMath>
        <m:r>
          <m:rPr/>
          <w:rPr>
            <w:rFonts w:ascii="Cambria Math" w:hAnsi="Cambria Math"/>
            <w:color w:val="000000" w:themeColor="text1"/>
            <w:szCs w:val="21"/>
            <w14:textFill>
              <w14:solidFill>
                <w14:schemeClr w14:val="tx1"/>
              </w14:solidFill>
            </w14:textFill>
          </w:rPr>
          <m:t>q</m:t>
        </m:r>
      </m:oMath>
      <w:r>
        <w:rPr>
          <w:rFonts w:hint="eastAsia" w:hAnsi="宋体"/>
          <w:color w:val="000000" w:themeColor="text1"/>
          <w:szCs w:val="21"/>
          <w14:textFill>
            <w14:solidFill>
              <w14:schemeClr w14:val="tx1"/>
            </w14:solidFill>
          </w14:textFill>
        </w:rPr>
        <w:t xml:space="preserve"> — 排除有害气体量（m</w:t>
      </w:r>
      <w:r>
        <w:rPr>
          <w:rFonts w:hint="eastAsia" w:hAnsi="宋体"/>
          <w:color w:val="000000" w:themeColor="text1"/>
          <w:szCs w:val="21"/>
          <w:vertAlign w:val="superscript"/>
          <w14:textFill>
            <w14:solidFill>
              <w14:schemeClr w14:val="tx1"/>
            </w14:solidFill>
          </w14:textFill>
        </w:rPr>
        <w:t>3</w:t>
      </w:r>
      <w:r>
        <w:rPr>
          <w:rFonts w:hint="eastAsia" w:hAnsi="宋体"/>
          <w:color w:val="000000" w:themeColor="text1"/>
          <w:szCs w:val="21"/>
          <w14:textFill>
            <w14:solidFill>
              <w14:schemeClr w14:val="tx1"/>
            </w14:solidFill>
          </w14:textFill>
        </w:rPr>
        <w:t>/min）；</w:t>
      </w:r>
    </w:p>
    <w:p>
      <w:pPr>
        <w:pStyle w:val="22"/>
        <w:tabs>
          <w:tab w:val="left" w:pos="851"/>
          <w:tab w:val="left" w:pos="5835"/>
        </w:tabs>
        <w:snapToGrid w:val="0"/>
        <w:spacing w:line="360" w:lineRule="auto"/>
        <w:ind w:firstLine="1470" w:firstLineChars="700"/>
        <w:jc w:val="left"/>
        <w:rPr>
          <w:rFonts w:hAnsi="宋体"/>
          <w:color w:val="000000" w:themeColor="text1"/>
          <w:szCs w:val="21"/>
          <w14:textFill>
            <w14:solidFill>
              <w14:schemeClr w14:val="tx1"/>
            </w14:solidFill>
          </w14:textFill>
        </w:rPr>
      </w:pPr>
      <m:oMath>
        <m:r>
          <m:rPr/>
          <w:rPr>
            <w:rFonts w:ascii="Cambria Math" w:hAnsi="Cambria Math"/>
            <w:color w:val="000000" w:themeColor="text1"/>
            <w:szCs w:val="21"/>
            <w14:textFill>
              <w14:solidFill>
                <w14:schemeClr w14:val="tx1"/>
              </w14:solidFill>
            </w14:textFill>
          </w:rPr>
          <m:t>c</m:t>
        </m:r>
      </m:oMath>
      <w:r>
        <w:rPr>
          <w:rFonts w:hint="eastAsia" w:hAnsi="宋体"/>
          <w:color w:val="000000" w:themeColor="text1"/>
          <w:szCs w:val="21"/>
          <w14:textFill>
            <w14:solidFill>
              <w14:schemeClr w14:val="tx1"/>
            </w14:solidFill>
          </w14:textFill>
        </w:rPr>
        <w:t xml:space="preserve"> — 排除有害气体浓度（%）；</w:t>
      </w:r>
    </w:p>
    <w:p>
      <w:pPr>
        <w:pStyle w:val="22"/>
        <w:tabs>
          <w:tab w:val="left" w:pos="851"/>
          <w:tab w:val="left" w:pos="5835"/>
        </w:tabs>
        <w:snapToGrid w:val="0"/>
        <w:spacing w:line="360" w:lineRule="auto"/>
        <w:ind w:firstLine="840" w:firstLineChars="40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 xml:space="preserve">      </w:t>
      </w:r>
      <m:oMath>
        <m:r>
          <m:rPr/>
          <w:rPr>
            <w:rFonts w:ascii="Cambria Math" w:hAnsi="Cambria Math"/>
            <w:color w:val="000000" w:themeColor="text1"/>
            <w:szCs w:val="21"/>
            <w14:textFill>
              <w14:solidFill>
                <w14:schemeClr w14:val="tx1"/>
              </w14:solidFill>
            </w14:textFill>
          </w:rPr>
          <m:t>α</m:t>
        </m:r>
      </m:oMath>
      <w:r>
        <w:rPr>
          <w:rFonts w:hint="eastAsia" w:hAnsi="宋体"/>
          <w:color w:val="000000" w:themeColor="text1"/>
          <w:szCs w:val="21"/>
          <w14:textFill>
            <w14:solidFill>
              <w14:schemeClr w14:val="tx1"/>
            </w14:solidFill>
          </w14:textFill>
        </w:rPr>
        <w:t xml:space="preserve"> — 安全系数；</w:t>
      </w:r>
    </w:p>
    <w:p>
      <w:pPr>
        <w:pStyle w:val="22"/>
        <w:tabs>
          <w:tab w:val="left" w:pos="851"/>
          <w:tab w:val="left" w:pos="5835"/>
        </w:tabs>
        <w:snapToGrid w:val="0"/>
        <w:spacing w:line="360" w:lineRule="auto"/>
        <w:ind w:firstLine="840" w:firstLineChars="40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 xml:space="preserve">      </w:t>
      </w:r>
      <m:oMath>
        <m:r>
          <m:rPr/>
          <w:rPr>
            <w:rFonts w:ascii="Cambria Math" w:hAnsi="Cambria Math"/>
            <w:color w:val="000000" w:themeColor="text1"/>
            <w:szCs w:val="21"/>
            <w14:textFill>
              <w14:solidFill>
                <w14:schemeClr w14:val="tx1"/>
              </w14:solidFill>
            </w14:textFill>
          </w:rPr>
          <m:t>y</m:t>
        </m:r>
      </m:oMath>
      <w:r>
        <w:rPr>
          <w:rFonts w:hint="eastAsia" w:hAnsi="宋体"/>
          <w:color w:val="000000" w:themeColor="text1"/>
          <w:szCs w:val="21"/>
          <w14:textFill>
            <w14:solidFill>
              <w14:schemeClr w14:val="tx1"/>
            </w14:solidFill>
          </w14:textFill>
        </w:rPr>
        <w:t xml:space="preserve"> — 有害气体最高允许浓度（%）；</w:t>
      </w:r>
    </w:p>
    <w:p>
      <w:pPr>
        <w:pStyle w:val="22"/>
        <w:tabs>
          <w:tab w:val="left" w:pos="851"/>
          <w:tab w:val="left" w:pos="5835"/>
        </w:tabs>
        <w:snapToGrid w:val="0"/>
        <w:spacing w:line="360" w:lineRule="auto"/>
        <w:ind w:firstLine="840" w:firstLineChars="40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 xml:space="preserve">  </w:t>
      </w:r>
    </w:p>
    <w:p>
      <w:pPr>
        <w:pStyle w:val="22"/>
        <w:tabs>
          <w:tab w:val="left" w:pos="851"/>
          <w:tab w:val="left" w:pos="5835"/>
        </w:tabs>
        <w:snapToGrid w:val="0"/>
        <w:spacing w:line="360" w:lineRule="auto"/>
        <w:ind w:firstLineChars="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以上计算取其最大值，并应考虑漏风率作为控制风量标准，漏风率宜按照1%计算。</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.4.7</w:t>
      </w:r>
      <w:r>
        <w:rPr>
          <w:rFonts w:hint="eastAsia" w:hAnsi="宋体"/>
          <w:color w:val="000000" w:themeColor="text1"/>
          <w:szCs w:val="21"/>
          <w14:textFill>
            <w14:solidFill>
              <w14:schemeClr w14:val="tx1"/>
            </w14:solidFill>
          </w14:textFill>
        </w:rPr>
        <w:t xml:space="preserve"> </w:t>
      </w:r>
      <w:r>
        <w:rPr>
          <w:rFonts w:hAnsi="宋体"/>
          <w:color w:val="000000" w:themeColor="text1"/>
          <w:szCs w:val="21"/>
          <w14:textFill>
            <w14:solidFill>
              <w14:schemeClr w14:val="tx1"/>
            </w14:solidFill>
          </w14:textFill>
        </w:rPr>
        <w:t>施工应根据计算</w:t>
      </w:r>
      <w:r>
        <w:rPr>
          <w:rFonts w:hint="eastAsia" w:hAnsi="宋体"/>
          <w:color w:val="000000" w:themeColor="text1"/>
          <w:szCs w:val="21"/>
          <w14:textFill>
            <w14:solidFill>
              <w14:schemeClr w14:val="tx1"/>
            </w14:solidFill>
          </w14:textFill>
        </w:rPr>
        <w:t>通</w:t>
      </w:r>
      <w:r>
        <w:rPr>
          <w:rFonts w:hAnsi="宋体"/>
          <w:color w:val="000000" w:themeColor="text1"/>
          <w:szCs w:val="21"/>
          <w14:textFill>
            <w14:solidFill>
              <w14:schemeClr w14:val="tx1"/>
            </w14:solidFill>
          </w14:textFill>
        </w:rPr>
        <w:t>风量、通风距离，并结合隧道断面大小确定风管直径。</w:t>
      </w:r>
    </w:p>
    <w:p>
      <w:pPr>
        <w:pStyle w:val="22"/>
        <w:tabs>
          <w:tab w:val="left" w:pos="851"/>
          <w:tab w:val="left" w:pos="5835"/>
        </w:tabs>
        <w:snapToGrid w:val="0"/>
        <w:spacing w:line="360" w:lineRule="auto"/>
        <w:ind w:firstLine="0" w:firstLineChars="0"/>
        <w:jc w:val="left"/>
        <w:rPr>
          <w:rFonts w:ascii="宋体" w:hAnsi="宋体" w:cstheme="minorEastAsia"/>
          <w:color w:val="000000" w:themeColor="text1"/>
          <w:kern w:val="0"/>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.4.</w:t>
      </w:r>
      <w:r>
        <w:rPr>
          <w:rFonts w:hint="eastAsia" w:hAnsi="宋体"/>
          <w:b/>
          <w:color w:val="000000" w:themeColor="text1"/>
          <w:szCs w:val="21"/>
          <w14:textFill>
            <w14:solidFill>
              <w14:schemeClr w14:val="tx1"/>
            </w14:solidFill>
          </w14:textFill>
        </w:rPr>
        <w:t xml:space="preserve">8 </w:t>
      </w:r>
      <w:r>
        <w:rPr>
          <w:rFonts w:hint="eastAsia" w:hAnsi="宋体"/>
          <w:color w:val="000000" w:themeColor="text1"/>
          <w:szCs w:val="21"/>
          <w14:textFill>
            <w14:solidFill>
              <w14:schemeClr w14:val="tx1"/>
            </w14:solidFill>
          </w14:textFill>
        </w:rPr>
        <w:t>通风机安装应牢固、稳定，周边</w:t>
      </w:r>
      <w:r>
        <w:rPr>
          <w:rFonts w:hAnsi="宋体"/>
          <w:color w:val="000000" w:themeColor="text1"/>
          <w:szCs w:val="21"/>
          <w14:textFill>
            <w14:solidFill>
              <w14:schemeClr w14:val="tx1"/>
            </w14:solidFill>
          </w14:textFill>
        </w:rPr>
        <w:t>5m</w:t>
      </w:r>
      <w:r>
        <w:rPr>
          <w:rFonts w:hint="eastAsia" w:hAnsi="宋体"/>
          <w:color w:val="000000" w:themeColor="text1"/>
          <w:szCs w:val="21"/>
          <w14:textFill>
            <w14:solidFill>
              <w14:schemeClr w14:val="tx1"/>
            </w14:solidFill>
          </w14:textFill>
        </w:rPr>
        <w:t>范围不应堆放杂物。通风机进气口应设置防护铁</w:t>
      </w:r>
      <w:r>
        <w:rPr>
          <w:rFonts w:hint="eastAsia" w:hAnsi="宋体"/>
          <w:color w:val="000000" w:themeColor="text1"/>
          <w:szCs w:val="21"/>
          <w:lang w:eastAsia="zh-CN"/>
          <w14:textFill>
            <w14:solidFill>
              <w14:schemeClr w14:val="tx1"/>
            </w14:solidFill>
          </w14:textFill>
        </w:rPr>
        <w:t>箅</w:t>
      </w:r>
      <w:r>
        <w:rPr>
          <w:rFonts w:hint="eastAsia" w:hAnsi="宋体"/>
          <w:color w:val="000000" w:themeColor="text1"/>
          <w:szCs w:val="21"/>
          <w14:textFill>
            <w14:solidFill>
              <w14:schemeClr w14:val="tx1"/>
            </w14:solidFill>
          </w14:textFill>
        </w:rPr>
        <w:t>，并安装保险装置</w:t>
      </w:r>
      <w:r>
        <w:rPr>
          <w:rFonts w:hAnsi="宋体"/>
          <w:color w:val="000000" w:themeColor="text1"/>
          <w:szCs w:val="21"/>
          <w14:textFill>
            <w14:solidFill>
              <w14:schemeClr w14:val="tx1"/>
            </w14:solidFill>
          </w14:textFill>
        </w:rPr>
        <w:t>。</w:t>
      </w:r>
      <w:r>
        <w:rPr>
          <w:rFonts w:hint="eastAsia" w:hAnsi="宋体"/>
          <w:color w:val="000000" w:themeColor="text1"/>
          <w:szCs w:val="21"/>
          <w14:textFill>
            <w14:solidFill>
              <w14:schemeClr w14:val="tx1"/>
            </w14:solidFill>
          </w14:textFill>
        </w:rPr>
        <w:t xml:space="preserve">                                                                                                                                                                                                        </w:t>
      </w: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.4.</w:t>
      </w:r>
      <w:r>
        <w:rPr>
          <w:rFonts w:hint="eastAsia" w:hAnsi="宋体"/>
          <w:b/>
          <w:color w:val="000000" w:themeColor="text1"/>
          <w:szCs w:val="21"/>
          <w14:textFill>
            <w14:solidFill>
              <w14:schemeClr w14:val="tx1"/>
            </w14:solidFill>
          </w14:textFill>
        </w:rPr>
        <w:t>9</w:t>
      </w:r>
      <w:r>
        <w:rPr>
          <w:rFonts w:hint="eastAsia" w:hAnsi="宋体"/>
          <w:color w:val="000000" w:themeColor="text1"/>
          <w:szCs w:val="21"/>
          <w14:textFill>
            <w14:solidFill>
              <w14:schemeClr w14:val="tx1"/>
            </w14:solidFill>
          </w14:textFill>
        </w:rPr>
        <w:t xml:space="preserve"> 风管安装</w:t>
      </w:r>
      <w:r>
        <w:rPr>
          <w:rFonts w:hint="eastAsia" w:ascii="宋体" w:hAnsi="宋体" w:cstheme="minorEastAsia"/>
          <w:color w:val="000000" w:themeColor="text1"/>
          <w:kern w:val="0"/>
          <w:szCs w:val="21"/>
          <w14:textFill>
            <w14:solidFill>
              <w14:schemeClr w14:val="tx1"/>
            </w14:solidFill>
          </w14:textFill>
        </w:rPr>
        <w:t>应直顺，接头应严密，应采取防软管破损措施。软风管单根长度宜为20m～30m，改变方向时应用刚性连接，管路弯管半径不应小于风管直径的3倍。</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.4.</w:t>
      </w:r>
      <w:r>
        <w:rPr>
          <w:rFonts w:hint="eastAsia" w:hAnsi="宋体"/>
          <w:b/>
          <w:color w:val="000000" w:themeColor="text1"/>
          <w:szCs w:val="21"/>
          <w14:textFill>
            <w14:solidFill>
              <w14:schemeClr w14:val="tx1"/>
            </w14:solidFill>
          </w14:textFill>
        </w:rPr>
        <w:t xml:space="preserve">10 </w:t>
      </w:r>
      <w:r>
        <w:rPr>
          <w:rFonts w:hint="eastAsia" w:hAnsi="宋体"/>
          <w:color w:val="000000" w:themeColor="text1"/>
          <w:szCs w:val="21"/>
          <w14:textFill>
            <w14:solidFill>
              <w14:schemeClr w14:val="tx1"/>
            </w14:solidFill>
          </w14:textFill>
        </w:rPr>
        <w:t>隧道施工中，通风应连续进行。通风机宜采取消音措施，应设置专人定期测试风量、风速、风压，发现风管风门破损、漏风应及时更换或修理。</w:t>
      </w:r>
    </w:p>
    <w:p>
      <w:pPr>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.4.</w:t>
      </w:r>
      <w:r>
        <w:rPr>
          <w:rFonts w:hint="eastAsia" w:hAnsi="宋体"/>
          <w:b/>
          <w:color w:val="000000" w:themeColor="text1"/>
          <w:szCs w:val="21"/>
          <w14:textFill>
            <w14:solidFill>
              <w14:schemeClr w14:val="tx1"/>
            </w14:solidFill>
          </w14:textFill>
        </w:rPr>
        <w:t xml:space="preserve">11 </w:t>
      </w:r>
      <w:r>
        <w:rPr>
          <w:rFonts w:hint="eastAsia" w:hAnsi="宋体"/>
          <w:color w:val="000000" w:themeColor="text1"/>
          <w:szCs w:val="21"/>
          <w14:textFill>
            <w14:solidFill>
              <w14:schemeClr w14:val="tx1"/>
            </w14:solidFill>
          </w14:textFill>
        </w:rPr>
        <w:t>隧道降尘宜采用通风除尘、湿式作业、棚屋降尘和个人防护等措施。隧道内应定期检测粉尘和有害气体的浓度，施工环境应符合下列规定：</w:t>
      </w:r>
    </w:p>
    <w:p>
      <w:pPr>
        <w:spacing w:line="360" w:lineRule="auto"/>
        <w:ind w:firstLine="361" w:firstLineChars="171"/>
        <w:rPr>
          <w:rFonts w:ascii="宋体" w:hAnsi="宋体" w:cstheme="minorEastAsia"/>
          <w:color w:val="000000" w:themeColor="text1"/>
          <w:kern w:val="0"/>
          <w:szCs w:val="21"/>
          <w14:textFill>
            <w14:solidFill>
              <w14:schemeClr w14:val="tx1"/>
            </w14:solidFill>
          </w14:textFill>
        </w:rPr>
      </w:pPr>
      <w:r>
        <w:rPr>
          <w:rFonts w:hAnsi="宋体"/>
          <w:b/>
          <w:color w:val="000000" w:themeColor="text1"/>
          <w:szCs w:val="21"/>
          <w14:textFill>
            <w14:solidFill>
              <w14:schemeClr w14:val="tx1"/>
            </w14:solidFill>
          </w14:textFill>
        </w:rPr>
        <w:t>1</w:t>
      </w:r>
      <w:r>
        <w:rPr>
          <w:rFonts w:hint="eastAsia" w:ascii="宋体" w:hAnsi="宋体" w:cstheme="minorEastAsia"/>
          <w:color w:val="000000" w:themeColor="text1"/>
          <w:kern w:val="0"/>
          <w:szCs w:val="21"/>
          <w14:textFill>
            <w14:solidFill>
              <w14:schemeClr w14:val="tx1"/>
            </w14:solidFill>
          </w14:textFill>
        </w:rPr>
        <w:t xml:space="preserve"> 氧气含量按体积比不应小于20%；  </w:t>
      </w:r>
    </w:p>
    <w:p>
      <w:pPr>
        <w:spacing w:line="360" w:lineRule="auto"/>
        <w:ind w:firstLine="361" w:firstLineChars="171"/>
        <w:rPr>
          <w:rFonts w:ascii="宋体" w:hAnsi="宋体" w:cstheme="minorEastAsia"/>
          <w:color w:val="000000" w:themeColor="text1"/>
          <w:kern w:val="0"/>
          <w:szCs w:val="21"/>
          <w14:textFill>
            <w14:solidFill>
              <w14:schemeClr w14:val="tx1"/>
            </w14:solidFill>
          </w14:textFill>
        </w:rPr>
      </w:pPr>
      <w:r>
        <w:rPr>
          <w:rFonts w:hAnsi="宋体"/>
          <w:b/>
          <w:color w:val="000000" w:themeColor="text1"/>
          <w:szCs w:val="21"/>
          <w14:textFill>
            <w14:solidFill>
              <w14:schemeClr w14:val="tx1"/>
            </w14:solidFill>
          </w14:textFill>
        </w:rPr>
        <w:t>2</w:t>
      </w:r>
      <w:r>
        <w:rPr>
          <w:rFonts w:hint="eastAsia" w:hAnsi="宋体"/>
          <w:b/>
          <w:color w:val="000000" w:themeColor="text1"/>
          <w:szCs w:val="21"/>
          <w14:textFill>
            <w14:solidFill>
              <w14:schemeClr w14:val="tx1"/>
            </w14:solidFill>
          </w14:textFill>
        </w:rPr>
        <w:t xml:space="preserve"> </w:t>
      </w:r>
      <w:r>
        <w:rPr>
          <w:rFonts w:hint="eastAsia" w:ascii="宋体" w:hAnsi="宋体" w:cstheme="minorEastAsia"/>
          <w:color w:val="000000" w:themeColor="text1"/>
          <w:kern w:val="0"/>
          <w:szCs w:val="21"/>
          <w14:textFill>
            <w14:solidFill>
              <w14:schemeClr w14:val="tx1"/>
            </w14:solidFill>
          </w14:textFill>
        </w:rPr>
        <w:t>每立方米空气中含10%以上游离二氧化硅粉尘不应超过2mg/m³；</w:t>
      </w:r>
    </w:p>
    <w:p>
      <w:pPr>
        <w:spacing w:line="360" w:lineRule="auto"/>
        <w:ind w:firstLine="361" w:firstLineChars="171"/>
        <w:rPr>
          <w:rFonts w:ascii="宋体" w:hAnsi="宋体" w:cstheme="minorEastAsia"/>
          <w:color w:val="000000" w:themeColor="text1"/>
          <w:kern w:val="0"/>
          <w:szCs w:val="21"/>
          <w14:textFill>
            <w14:solidFill>
              <w14:schemeClr w14:val="tx1"/>
            </w14:solidFill>
          </w14:textFill>
        </w:rPr>
      </w:pPr>
      <w:r>
        <w:rPr>
          <w:rFonts w:hAnsi="宋体"/>
          <w:b/>
          <w:color w:val="000000" w:themeColor="text1"/>
          <w:szCs w:val="21"/>
          <w14:textFill>
            <w14:solidFill>
              <w14:schemeClr w14:val="tx1"/>
            </w14:solidFill>
          </w14:textFill>
        </w:rPr>
        <w:t>3</w:t>
      </w:r>
      <w:r>
        <w:rPr>
          <w:rFonts w:hint="eastAsia" w:hAnsi="宋体"/>
          <w:b/>
          <w:color w:val="000000" w:themeColor="text1"/>
          <w:szCs w:val="21"/>
          <w14:textFill>
            <w14:solidFill>
              <w14:schemeClr w14:val="tx1"/>
            </w14:solidFill>
          </w14:textFill>
        </w:rPr>
        <w:t xml:space="preserve"> </w:t>
      </w:r>
      <w:r>
        <w:rPr>
          <w:rFonts w:hint="eastAsia" w:ascii="宋体" w:hAnsi="宋体" w:cstheme="minorEastAsia"/>
          <w:color w:val="000000" w:themeColor="text1"/>
          <w:kern w:val="0"/>
          <w:szCs w:val="21"/>
          <w14:textFill>
            <w14:solidFill>
              <w14:schemeClr w14:val="tx1"/>
            </w14:solidFill>
          </w14:textFill>
        </w:rPr>
        <w:t>有害气体浓度：一氧化碳含量不应大于30mg/m³；</w:t>
      </w:r>
    </w:p>
    <w:p>
      <w:pPr>
        <w:spacing w:line="360" w:lineRule="auto"/>
        <w:ind w:firstLine="361" w:firstLineChars="171"/>
        <w:rPr>
          <w:rFonts w:ascii="宋体" w:hAnsi="宋体" w:cstheme="minorEastAsia"/>
          <w:color w:val="000000" w:themeColor="text1"/>
          <w:kern w:val="0"/>
          <w:szCs w:val="21"/>
          <w14:textFill>
            <w14:solidFill>
              <w14:schemeClr w14:val="tx1"/>
            </w14:solidFill>
          </w14:textFill>
        </w:rPr>
      </w:pPr>
      <w:r>
        <w:rPr>
          <w:rFonts w:hAnsi="宋体"/>
          <w:b/>
          <w:color w:val="000000" w:themeColor="text1"/>
          <w:szCs w:val="21"/>
          <w14:textFill>
            <w14:solidFill>
              <w14:schemeClr w14:val="tx1"/>
            </w14:solidFill>
          </w14:textFill>
        </w:rPr>
        <w:t>4</w:t>
      </w:r>
      <w:r>
        <w:rPr>
          <w:rFonts w:hint="eastAsia" w:hAnsi="宋体"/>
          <w:b/>
          <w:color w:val="000000" w:themeColor="text1"/>
          <w:szCs w:val="21"/>
          <w14:textFill>
            <w14:solidFill>
              <w14:schemeClr w14:val="tx1"/>
            </w14:solidFill>
          </w14:textFill>
        </w:rPr>
        <w:t xml:space="preserve"> </w:t>
      </w:r>
      <w:r>
        <w:rPr>
          <w:rFonts w:hint="eastAsia" w:ascii="宋体" w:hAnsi="宋体" w:cstheme="minorEastAsia"/>
          <w:color w:val="000000" w:themeColor="text1"/>
          <w:kern w:val="0"/>
          <w:szCs w:val="21"/>
          <w14:textFill>
            <w14:solidFill>
              <w14:schemeClr w14:val="tx1"/>
            </w14:solidFill>
          </w14:textFill>
        </w:rPr>
        <w:t>二氧化碳按体积计不应大丁5‰；</w:t>
      </w:r>
    </w:p>
    <w:p>
      <w:pPr>
        <w:spacing w:line="360" w:lineRule="auto"/>
        <w:ind w:firstLine="361" w:firstLineChars="171"/>
        <w:rPr>
          <w:rFonts w:ascii="宋体" w:hAnsi="宋体" w:cstheme="minorEastAsia"/>
          <w:color w:val="000000" w:themeColor="text1"/>
          <w:kern w:val="0"/>
          <w:szCs w:val="21"/>
          <w14:textFill>
            <w14:solidFill>
              <w14:schemeClr w14:val="tx1"/>
            </w14:solidFill>
          </w14:textFill>
        </w:rPr>
      </w:pPr>
      <w:r>
        <w:rPr>
          <w:rFonts w:hAnsi="宋体"/>
          <w:b/>
          <w:color w:val="000000" w:themeColor="text1"/>
          <w:szCs w:val="21"/>
          <w14:textFill>
            <w14:solidFill>
              <w14:schemeClr w14:val="tx1"/>
            </w14:solidFill>
          </w14:textFill>
        </w:rPr>
        <w:t>5</w:t>
      </w:r>
      <w:r>
        <w:rPr>
          <w:rFonts w:hint="eastAsia" w:hAnsi="宋体"/>
          <w:b/>
          <w:color w:val="000000" w:themeColor="text1"/>
          <w:szCs w:val="21"/>
          <w14:textFill>
            <w14:solidFill>
              <w14:schemeClr w14:val="tx1"/>
            </w14:solidFill>
          </w14:textFill>
        </w:rPr>
        <w:t xml:space="preserve"> </w:t>
      </w:r>
      <w:r>
        <w:rPr>
          <w:rFonts w:hint="eastAsia" w:ascii="宋体" w:hAnsi="宋体" w:cstheme="minorEastAsia"/>
          <w:color w:val="000000" w:themeColor="text1"/>
          <w:kern w:val="0"/>
          <w:szCs w:val="21"/>
          <w14:textFill>
            <w14:solidFill>
              <w14:schemeClr w14:val="tx1"/>
            </w14:solidFill>
          </w14:textFill>
        </w:rPr>
        <w:t>氮氧化物（换算成NO</w:t>
      </w:r>
      <w:r>
        <w:rPr>
          <w:rFonts w:hint="eastAsia" w:ascii="宋体" w:hAnsi="宋体" w:cstheme="minorEastAsia"/>
          <w:color w:val="000000" w:themeColor="text1"/>
          <w:kern w:val="0"/>
          <w:szCs w:val="21"/>
          <w:vertAlign w:val="subscript"/>
          <w14:textFill>
            <w14:solidFill>
              <w14:schemeClr w14:val="tx1"/>
            </w14:solidFill>
          </w14:textFill>
        </w:rPr>
        <w:t>2</w:t>
      </w:r>
      <w:r>
        <w:rPr>
          <w:rFonts w:hint="eastAsia" w:ascii="宋体" w:hAnsi="宋体" w:cstheme="minorEastAsia"/>
          <w:color w:val="000000" w:themeColor="text1"/>
          <w:kern w:val="0"/>
          <w:szCs w:val="21"/>
          <w14:textFill>
            <w14:solidFill>
              <w14:schemeClr w14:val="tx1"/>
            </w14:solidFill>
          </w14:textFill>
        </w:rPr>
        <w:t>）含量不应大于5mg/m³；</w:t>
      </w:r>
    </w:p>
    <w:p>
      <w:pPr>
        <w:spacing w:line="360" w:lineRule="auto"/>
        <w:ind w:firstLine="361" w:firstLineChars="171"/>
        <w:rPr>
          <w:rFonts w:ascii="宋体" w:hAnsi="宋体" w:cstheme="minorEastAsia"/>
          <w:color w:val="000000" w:themeColor="text1"/>
          <w:kern w:val="0"/>
          <w:szCs w:val="21"/>
          <w14:textFill>
            <w14:solidFill>
              <w14:schemeClr w14:val="tx1"/>
            </w14:solidFill>
          </w14:textFill>
        </w:rPr>
      </w:pPr>
      <w:r>
        <w:rPr>
          <w:rFonts w:hAnsi="宋体"/>
          <w:b/>
          <w:color w:val="000000" w:themeColor="text1"/>
          <w:szCs w:val="21"/>
          <w14:textFill>
            <w14:solidFill>
              <w14:schemeClr w14:val="tx1"/>
            </w14:solidFill>
          </w14:textFill>
        </w:rPr>
        <w:t>6</w:t>
      </w:r>
      <w:r>
        <w:rPr>
          <w:rFonts w:hint="eastAsia" w:hAnsi="宋体"/>
          <w:b/>
          <w:color w:val="000000" w:themeColor="text1"/>
          <w:szCs w:val="21"/>
          <w14:textFill>
            <w14:solidFill>
              <w14:schemeClr w14:val="tx1"/>
            </w14:solidFill>
          </w14:textFill>
        </w:rPr>
        <w:t xml:space="preserve"> </w:t>
      </w:r>
      <w:r>
        <w:rPr>
          <w:rFonts w:hint="eastAsia" w:ascii="宋体" w:hAnsi="宋体" w:cstheme="minorEastAsia"/>
          <w:color w:val="000000" w:themeColor="text1"/>
          <w:kern w:val="0"/>
          <w:szCs w:val="21"/>
          <w14:textFill>
            <w14:solidFill>
              <w14:schemeClr w14:val="tx1"/>
            </w14:solidFill>
          </w14:textFill>
        </w:rPr>
        <w:t xml:space="preserve">气温不应超过28℃； </w:t>
      </w:r>
    </w:p>
    <w:p>
      <w:pPr>
        <w:spacing w:line="360" w:lineRule="auto"/>
        <w:ind w:firstLine="361" w:firstLineChars="171"/>
        <w:rPr>
          <w:rFonts w:ascii="宋体" w:hAnsi="宋体" w:cstheme="minorEastAsia"/>
          <w:color w:val="000000" w:themeColor="text1"/>
          <w:kern w:val="0"/>
          <w:szCs w:val="21"/>
          <w14:textFill>
            <w14:solidFill>
              <w14:schemeClr w14:val="tx1"/>
            </w14:solidFill>
          </w14:textFill>
        </w:rPr>
      </w:pPr>
      <w:r>
        <w:rPr>
          <w:rFonts w:hAnsi="宋体"/>
          <w:b/>
          <w:color w:val="000000" w:themeColor="text1"/>
          <w:szCs w:val="21"/>
          <w14:textFill>
            <w14:solidFill>
              <w14:schemeClr w14:val="tx1"/>
            </w14:solidFill>
          </w14:textFill>
        </w:rPr>
        <w:t xml:space="preserve">7 </w:t>
      </w:r>
      <w:r>
        <w:rPr>
          <w:rFonts w:hint="eastAsia" w:ascii="宋体" w:hAnsi="宋体" w:cstheme="minorEastAsia"/>
          <w:color w:val="000000" w:themeColor="text1"/>
          <w:kern w:val="0"/>
          <w:szCs w:val="21"/>
          <w14:textFill>
            <w14:solidFill>
              <w14:schemeClr w14:val="tx1"/>
            </w14:solidFill>
          </w14:textFill>
        </w:rPr>
        <w:t>噪声不应大于90dB。</w:t>
      </w:r>
    </w:p>
    <w:p>
      <w:pPr>
        <w:tabs>
          <w:tab w:val="left" w:pos="851"/>
          <w:tab w:val="left" w:pos="5835"/>
        </w:tabs>
        <w:snapToGrid w:val="0"/>
        <w:spacing w:line="360" w:lineRule="auto"/>
        <w:jc w:val="left"/>
        <w:rPr>
          <w:rFonts w:ascii="宋体" w:hAnsi="宋体" w:cstheme="minorEastAsia"/>
          <w:color w:val="000000" w:themeColor="text1"/>
          <w:kern w:val="0"/>
          <w:szCs w:val="21"/>
          <w14:textFill>
            <w14:solidFill>
              <w14:schemeClr w14:val="tx1"/>
            </w14:solidFill>
          </w14:textFill>
        </w:rPr>
      </w:pPr>
    </w:p>
    <w:p>
      <w:pPr>
        <w:widowControl/>
        <w:jc w:val="left"/>
        <w:rPr>
          <w:rFonts w:eastAsia="黑体"/>
          <w:b/>
          <w:color w:val="000000" w:themeColor="text1"/>
          <w:kern w:val="44"/>
          <w:sz w:val="24"/>
          <w14:textFill>
            <w14:solidFill>
              <w14:schemeClr w14:val="tx1"/>
            </w14:solidFill>
          </w14:textFill>
        </w:rPr>
      </w:pPr>
      <w:bookmarkStart w:id="527" w:name="_Toc24641733"/>
      <w:bookmarkStart w:id="528" w:name="_Toc21506087"/>
      <w:bookmarkStart w:id="529" w:name="_Toc24660557"/>
      <w:r>
        <w:rPr>
          <w:rFonts w:eastAsia="黑体"/>
          <w:color w:val="000000" w:themeColor="text1"/>
          <w:sz w:val="24"/>
          <w14:textFill>
            <w14:solidFill>
              <w14:schemeClr w14:val="tx1"/>
            </w14:solidFill>
          </w14:textFill>
        </w:rPr>
        <w:br w:type="page"/>
      </w:r>
    </w:p>
    <w:p>
      <w:pPr>
        <w:pageBreakBefore/>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530" w:name="_Toc29744"/>
      <w:bookmarkStart w:id="531" w:name="_Toc15804"/>
      <w:bookmarkStart w:id="532" w:name="_Toc8120"/>
      <w:bookmarkStart w:id="533" w:name="_Toc30389"/>
      <w:bookmarkStart w:id="534" w:name="_Toc12780"/>
      <w:bookmarkStart w:id="535" w:name="_Toc28387"/>
      <w:r>
        <w:rPr>
          <w:rFonts w:hint="eastAsia"/>
          <w:b/>
          <w:color w:val="000000" w:themeColor="text1"/>
          <w:sz w:val="28"/>
          <w:szCs w:val="28"/>
          <w14:textFill>
            <w14:solidFill>
              <w14:schemeClr w14:val="tx1"/>
            </w14:solidFill>
          </w14:textFill>
        </w:rPr>
        <w:t>本规程用词说明</w:t>
      </w:r>
      <w:bookmarkEnd w:id="527"/>
      <w:bookmarkEnd w:id="528"/>
      <w:bookmarkEnd w:id="529"/>
      <w:bookmarkEnd w:id="530"/>
      <w:bookmarkEnd w:id="531"/>
      <w:bookmarkEnd w:id="532"/>
      <w:bookmarkEnd w:id="533"/>
      <w:bookmarkEnd w:id="534"/>
      <w:bookmarkEnd w:id="535"/>
    </w:p>
    <w:p>
      <w:pPr>
        <w:rPr>
          <w:color w:val="000000" w:themeColor="text1"/>
          <w14:textFill>
            <w14:solidFill>
              <w14:schemeClr w14:val="tx1"/>
            </w14:solidFill>
          </w14:textFill>
        </w:rPr>
      </w:pPr>
    </w:p>
    <w:p>
      <w:pPr>
        <w:rPr>
          <w:color w:val="000000" w:themeColor="text1"/>
          <w:szCs w:val="21"/>
          <w14:textFill>
            <w14:solidFill>
              <w14:schemeClr w14:val="tx1"/>
            </w14:solidFill>
          </w14:textFill>
        </w:rPr>
      </w:pPr>
      <w:bookmarkStart w:id="536" w:name="_Toc32632_WPSOffice_Level2"/>
      <w:r>
        <w:rPr>
          <w:color w:val="000000" w:themeColor="text1"/>
          <w:szCs w:val="21"/>
          <w14:textFill>
            <w14:solidFill>
              <w14:schemeClr w14:val="tx1"/>
            </w14:solidFill>
          </w14:textFill>
        </w:rPr>
        <w:t>1  为便于在执行本规范条文时区别对待，对要求严格程度不同的用词说明如下：</w:t>
      </w:r>
    </w:p>
    <w:p>
      <w:pPr>
        <w:ind w:firstLine="420" w:firstLineChars="200"/>
        <w:rPr>
          <w:color w:val="000000" w:themeColor="text1"/>
          <w:szCs w:val="21"/>
          <w14:textFill>
            <w14:solidFill>
              <w14:schemeClr w14:val="tx1"/>
            </w14:solidFill>
          </w14:textFill>
        </w:rPr>
      </w:pPr>
      <w:r>
        <w:rPr>
          <w:color w:val="000000" w:themeColor="text1"/>
          <w:szCs w:val="21"/>
          <w14:textFill>
            <w14:solidFill>
              <w14:schemeClr w14:val="tx1"/>
            </w14:solidFill>
          </w14:textFill>
        </w:rPr>
        <w:t>1）表示很严格，非这样做不可的。</w:t>
      </w:r>
    </w:p>
    <w:p>
      <w:pPr>
        <w:ind w:firstLine="718" w:firstLineChars="342"/>
        <w:rPr>
          <w:color w:val="000000" w:themeColor="text1"/>
          <w:szCs w:val="21"/>
          <w14:textFill>
            <w14:solidFill>
              <w14:schemeClr w14:val="tx1"/>
            </w14:solidFill>
          </w14:textFill>
        </w:rPr>
      </w:pPr>
      <w:r>
        <w:rPr>
          <w:color w:val="000000" w:themeColor="text1"/>
          <w:szCs w:val="21"/>
          <w14:textFill>
            <w14:solidFill>
              <w14:schemeClr w14:val="tx1"/>
            </w14:solidFill>
          </w14:textFill>
        </w:rPr>
        <w:t>正面词采用</w:t>
      </w:r>
      <w:r>
        <w:rPr>
          <w:rFonts w:ascii="宋体" w:hAnsi="宋体"/>
          <w:color w:val="000000" w:themeColor="text1"/>
          <w:szCs w:val="21"/>
          <w14:textFill>
            <w14:solidFill>
              <w14:schemeClr w14:val="tx1"/>
            </w14:solidFill>
          </w14:textFill>
        </w:rPr>
        <w:t>“必须”，反面词采用“严禁”。</w:t>
      </w:r>
    </w:p>
    <w:p>
      <w:pPr>
        <w:ind w:firstLine="420" w:firstLineChars="200"/>
        <w:rPr>
          <w:color w:val="000000" w:themeColor="text1"/>
          <w:szCs w:val="21"/>
          <w14:textFill>
            <w14:solidFill>
              <w14:schemeClr w14:val="tx1"/>
            </w14:solidFill>
          </w14:textFill>
        </w:rPr>
      </w:pPr>
      <w:r>
        <w:rPr>
          <w:color w:val="000000" w:themeColor="text1"/>
          <w:szCs w:val="21"/>
          <w14:textFill>
            <w14:solidFill>
              <w14:schemeClr w14:val="tx1"/>
            </w14:solidFill>
          </w14:textFill>
        </w:rPr>
        <w:t>2）表示严格，在正常情况下均应这样做的</w:t>
      </w:r>
      <w:r>
        <w:rPr>
          <w:rFonts w:ascii="宋体" w:hAnsi="宋体"/>
          <w:color w:val="000000" w:themeColor="text1"/>
          <w:szCs w:val="21"/>
          <w14:textFill>
            <w14:solidFill>
              <w14:schemeClr w14:val="tx1"/>
            </w14:solidFill>
          </w14:textFill>
        </w:rPr>
        <w:t>。</w:t>
      </w:r>
    </w:p>
    <w:p>
      <w:pPr>
        <w:ind w:firstLine="718" w:firstLineChars="342"/>
        <w:rPr>
          <w:color w:val="000000" w:themeColor="text1"/>
          <w:szCs w:val="21"/>
          <w14:textFill>
            <w14:solidFill>
              <w14:schemeClr w14:val="tx1"/>
            </w14:solidFill>
          </w14:textFill>
        </w:rPr>
      </w:pPr>
      <w:r>
        <w:rPr>
          <w:color w:val="000000" w:themeColor="text1"/>
          <w:szCs w:val="21"/>
          <w14:textFill>
            <w14:solidFill>
              <w14:schemeClr w14:val="tx1"/>
            </w14:solidFill>
          </w14:textFill>
        </w:rPr>
        <w:t>正面词采用</w:t>
      </w:r>
      <w:r>
        <w:rPr>
          <w:rFonts w:ascii="宋体" w:hAnsi="宋体"/>
          <w:color w:val="000000" w:themeColor="text1"/>
          <w:szCs w:val="21"/>
          <w14:textFill>
            <w14:solidFill>
              <w14:schemeClr w14:val="tx1"/>
            </w14:solidFill>
          </w14:textFill>
        </w:rPr>
        <w:t>“应”，反面词采用“不应”或“不得”。</w:t>
      </w:r>
    </w:p>
    <w:p>
      <w:pPr>
        <w:ind w:firstLine="420" w:firstLineChars="200"/>
        <w:rPr>
          <w:color w:val="000000" w:themeColor="text1"/>
          <w:szCs w:val="21"/>
          <w14:textFill>
            <w14:solidFill>
              <w14:schemeClr w14:val="tx1"/>
            </w14:solidFill>
          </w14:textFill>
        </w:rPr>
      </w:pPr>
      <w:r>
        <w:rPr>
          <w:color w:val="000000" w:themeColor="text1"/>
          <w:szCs w:val="21"/>
          <w14:textFill>
            <w14:solidFill>
              <w14:schemeClr w14:val="tx1"/>
            </w14:solidFill>
          </w14:textFill>
        </w:rPr>
        <w:t>3）表示允许稍有选择，在条件许可时首先应这样做的</w:t>
      </w:r>
      <w:r>
        <w:rPr>
          <w:rFonts w:ascii="宋体" w:hAnsi="宋体"/>
          <w:color w:val="000000" w:themeColor="text1"/>
          <w:szCs w:val="21"/>
          <w14:textFill>
            <w14:solidFill>
              <w14:schemeClr w14:val="tx1"/>
            </w14:solidFill>
          </w14:textFill>
        </w:rPr>
        <w:t>。</w:t>
      </w:r>
    </w:p>
    <w:p>
      <w:pPr>
        <w:ind w:firstLine="718" w:firstLineChars="342"/>
        <w:rPr>
          <w:color w:val="000000" w:themeColor="text1"/>
          <w:szCs w:val="21"/>
          <w14:textFill>
            <w14:solidFill>
              <w14:schemeClr w14:val="tx1"/>
            </w14:solidFill>
          </w14:textFill>
        </w:rPr>
      </w:pPr>
      <w:r>
        <w:rPr>
          <w:color w:val="000000" w:themeColor="text1"/>
          <w:szCs w:val="21"/>
          <w14:textFill>
            <w14:solidFill>
              <w14:schemeClr w14:val="tx1"/>
            </w14:solidFill>
          </w14:textFill>
        </w:rPr>
        <w:t>正面词采用</w:t>
      </w:r>
      <w:r>
        <w:rPr>
          <w:rFonts w:ascii="宋体" w:hAnsi="宋体"/>
          <w:color w:val="000000" w:themeColor="text1"/>
          <w:szCs w:val="21"/>
          <w14:textFill>
            <w14:solidFill>
              <w14:schemeClr w14:val="tx1"/>
            </w14:solidFill>
          </w14:textFill>
        </w:rPr>
        <w:t>“宜”，反面词采用“不宜”。</w:t>
      </w:r>
    </w:p>
    <w:p>
      <w:pPr>
        <w:ind w:firstLine="420" w:firstLineChars="200"/>
        <w:rPr>
          <w:color w:val="000000" w:themeColor="text1"/>
          <w:szCs w:val="21"/>
          <w14:textFill>
            <w14:solidFill>
              <w14:schemeClr w14:val="tx1"/>
            </w14:solidFill>
          </w14:textFill>
        </w:rPr>
      </w:pPr>
      <w:r>
        <w:rPr>
          <w:color w:val="000000" w:themeColor="text1"/>
          <w:szCs w:val="21"/>
          <w14:textFill>
            <w14:solidFill>
              <w14:schemeClr w14:val="tx1"/>
            </w14:solidFill>
          </w14:textFill>
        </w:rPr>
        <w:t>4）表示有选择</w:t>
      </w:r>
      <w:r>
        <w:rPr>
          <w:rFonts w:ascii="宋体" w:hAnsi="宋体"/>
          <w:color w:val="000000" w:themeColor="text1"/>
          <w:szCs w:val="21"/>
          <w14:textFill>
            <w14:solidFill>
              <w14:schemeClr w14:val="tx1"/>
            </w14:solidFill>
          </w14:textFill>
        </w:rPr>
        <w:t>，在一定条件下可以这样做的，采用“可”。</w:t>
      </w:r>
    </w:p>
    <w:p>
      <w:pPr>
        <w:pStyle w:val="2"/>
        <w:adjustRightInd w:val="0"/>
        <w:snapToGrid w:val="0"/>
        <w:spacing w:before="78" w:beforeLines="25" w:after="78" w:afterLines="25" w:line="360" w:lineRule="auto"/>
        <w:jc w:val="center"/>
        <w:rPr>
          <w:rFonts w:eastAsia="黑体"/>
          <w:b w:val="0"/>
          <w:bCs/>
          <w:color w:val="000000" w:themeColor="text1"/>
          <w:sz w:val="24"/>
          <w14:textFill>
            <w14:solidFill>
              <w14:schemeClr w14:val="tx1"/>
            </w14:solidFill>
          </w14:textFill>
        </w:rPr>
        <w:sectPr>
          <w:pgSz w:w="11906" w:h="16838"/>
          <w:pgMar w:top="1361" w:right="1582" w:bottom="850" w:left="1582" w:header="851" w:footer="992" w:gutter="0"/>
          <w:cols w:space="720" w:num="1"/>
          <w:docGrid w:type="lines" w:linePitch="312" w:charSpace="0"/>
        </w:sectPr>
      </w:pPr>
      <w:r>
        <w:rPr>
          <w:b w:val="0"/>
          <w:bCs/>
          <w:color w:val="000000" w:themeColor="text1"/>
          <w:sz w:val="21"/>
          <w:szCs w:val="21"/>
          <w14:textFill>
            <w14:solidFill>
              <w14:schemeClr w14:val="tx1"/>
            </w14:solidFill>
          </w14:textFill>
        </w:rPr>
        <w:t xml:space="preserve">2  </w:t>
      </w:r>
      <w:r>
        <w:rPr>
          <w:rFonts w:ascii="宋体" w:hAnsi="宋体"/>
          <w:b w:val="0"/>
          <w:bCs/>
          <w:color w:val="000000" w:themeColor="text1"/>
          <w:sz w:val="21"/>
          <w:szCs w:val="21"/>
          <w14:textFill>
            <w14:solidFill>
              <w14:schemeClr w14:val="tx1"/>
            </w14:solidFill>
          </w14:textFill>
        </w:rPr>
        <w:t>条文中指明应按其他有关标准执行的写法为“应符合……的规定”或“应按……执行”。</w:t>
      </w:r>
    </w:p>
    <w:p>
      <w:pPr>
        <w:pageBreakBefore/>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537" w:name="_Toc29791"/>
      <w:bookmarkStart w:id="538" w:name="_Toc24641734"/>
      <w:bookmarkStart w:id="539" w:name="_Toc10514"/>
      <w:bookmarkStart w:id="540" w:name="_Toc10380"/>
      <w:bookmarkStart w:id="541" w:name="_Toc24660558"/>
      <w:bookmarkStart w:id="542" w:name="_Toc13146"/>
      <w:bookmarkStart w:id="543" w:name="_Toc21506088"/>
      <w:bookmarkStart w:id="544" w:name="_Toc2910"/>
      <w:bookmarkStart w:id="545" w:name="_Toc11438"/>
      <w:r>
        <w:rPr>
          <w:rFonts w:hint="eastAsia"/>
          <w:b/>
          <w:color w:val="000000" w:themeColor="text1"/>
          <w:sz w:val="28"/>
          <w:szCs w:val="28"/>
          <w14:textFill>
            <w14:solidFill>
              <w14:schemeClr w14:val="tx1"/>
            </w14:solidFill>
          </w14:textFill>
        </w:rPr>
        <w:t>引用标准名录</w:t>
      </w:r>
      <w:bookmarkEnd w:id="536"/>
      <w:bookmarkEnd w:id="537"/>
      <w:bookmarkEnd w:id="538"/>
      <w:bookmarkEnd w:id="539"/>
      <w:bookmarkEnd w:id="540"/>
      <w:bookmarkEnd w:id="541"/>
      <w:bookmarkEnd w:id="542"/>
      <w:bookmarkEnd w:id="543"/>
      <w:bookmarkEnd w:id="544"/>
      <w:bookmarkEnd w:id="545"/>
    </w:p>
    <w:p>
      <w:pPr>
        <w:spacing w:line="360" w:lineRule="auto"/>
        <w:rPr>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1</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岩土锚杆与喷射混凝土支护工程技术规范</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GB</w:t>
      </w: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50086</w:t>
      </w:r>
    </w:p>
    <w:p>
      <w:pPr>
        <w:spacing w:line="360" w:lineRule="auto"/>
        <w:rPr>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2</w:t>
      </w:r>
      <w:r>
        <w:rPr>
          <w:rFonts w:hint="eastAsia"/>
          <w:color w:val="000000" w:themeColor="text1"/>
          <w14:textFill>
            <w14:solidFill>
              <w14:schemeClr w14:val="tx1"/>
            </w14:solidFill>
          </w14:textFill>
        </w:rPr>
        <w:t xml:space="preserve">《地下工程防水技术规范》                                              </w:t>
      </w:r>
      <w:r>
        <w:rPr>
          <w:color w:val="000000" w:themeColor="text1"/>
          <w14:textFill>
            <w14:solidFill>
              <w14:schemeClr w14:val="tx1"/>
            </w14:solidFill>
          </w14:textFill>
        </w:rPr>
        <w:t>GB</w:t>
      </w:r>
      <w:r>
        <w:rPr>
          <w:rFonts w:hint="eastAsia"/>
          <w:color w:val="000000" w:themeColor="text1"/>
          <w:lang w:val="en-US" w:eastAsia="zh-CN"/>
          <w14:textFill>
            <w14:solidFill>
              <w14:schemeClr w14:val="tx1"/>
            </w14:solidFill>
          </w14:textFill>
        </w:rPr>
        <w:t xml:space="preserve"> </w:t>
      </w:r>
      <w:r>
        <w:rPr>
          <w:color w:val="000000" w:themeColor="text1"/>
          <w14:textFill>
            <w14:solidFill>
              <w14:schemeClr w14:val="tx1"/>
            </w14:solidFill>
          </w14:textFill>
        </w:rPr>
        <w:t>50108</w:t>
      </w:r>
    </w:p>
    <w:p>
      <w:pPr>
        <w:spacing w:line="360" w:lineRule="auto"/>
        <w:rPr>
          <w:rFonts w:hint="eastAsia"/>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3</w:t>
      </w:r>
      <w:r>
        <w:rPr>
          <w:rFonts w:hint="eastAsia"/>
          <w:color w:val="000000" w:themeColor="text1"/>
          <w14:textFill>
            <w14:solidFill>
              <w14:schemeClr w14:val="tx1"/>
            </w14:solidFill>
          </w14:textFill>
        </w:rPr>
        <w:t>《地铁设计规范》                                                      GB</w:t>
      </w:r>
      <w:r>
        <w:rPr>
          <w:rFonts w:hint="eastAsia"/>
          <w:color w:val="000000" w:themeColor="text1"/>
          <w:lang w:val="en-US" w:eastAsia="zh-CN"/>
          <w14:textFill>
            <w14:solidFill>
              <w14:schemeClr w14:val="tx1"/>
            </w14:solidFill>
          </w14:textFill>
        </w:rPr>
        <w:t xml:space="preserve"> </w:t>
      </w:r>
      <w:r>
        <w:rPr>
          <w:rFonts w:hint="eastAsia"/>
          <w:color w:val="000000" w:themeColor="text1"/>
          <w14:textFill>
            <w14:solidFill>
              <w14:schemeClr w14:val="tx1"/>
            </w14:solidFill>
          </w14:textFill>
        </w:rPr>
        <w:t>50157</w:t>
      </w:r>
    </w:p>
    <w:p>
      <w:pPr>
        <w:spacing w:line="360" w:lineRule="auto"/>
        <w:rPr>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地下铁道工程施工及验收规范</w:t>
      </w:r>
      <w:r>
        <w:rPr>
          <w:rFonts w:hint="eastAsia"/>
          <w:color w:val="000000" w:themeColor="text1"/>
          <w14:textFill>
            <w14:solidFill>
              <w14:schemeClr w14:val="tx1"/>
            </w14:solidFill>
          </w14:textFill>
        </w:rPr>
        <w:t>》                                        GB</w:t>
      </w:r>
      <w:r>
        <w:rPr>
          <w:rFonts w:hint="eastAsia"/>
          <w:color w:val="000000" w:themeColor="text1"/>
          <w:lang w:val="en-US" w:eastAsia="zh-CN"/>
          <w14:textFill>
            <w14:solidFill>
              <w14:schemeClr w14:val="tx1"/>
            </w14:solidFill>
          </w14:textFill>
        </w:rPr>
        <w:t xml:space="preserve"> </w:t>
      </w:r>
      <w:r>
        <w:rPr>
          <w:rFonts w:hint="eastAsia"/>
          <w:color w:val="000000" w:themeColor="text1"/>
          <w14:textFill>
            <w14:solidFill>
              <w14:schemeClr w14:val="tx1"/>
            </w14:solidFill>
          </w14:textFill>
        </w:rPr>
        <w:t>50299</w:t>
      </w:r>
    </w:p>
    <w:p>
      <w:pPr>
        <w:spacing w:line="360" w:lineRule="auto"/>
        <w:rPr>
          <w:rFonts w:hint="eastAsia"/>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5</w:t>
      </w:r>
      <w:r>
        <w:rPr>
          <w:rFonts w:hint="eastAsia"/>
          <w:color w:val="000000" w:themeColor="text1"/>
          <w14:textFill>
            <w14:solidFill>
              <w14:schemeClr w14:val="tx1"/>
            </w14:solidFill>
          </w14:textFill>
        </w:rPr>
        <w:t>《城市轨道交通岩土工程勘察规范》                                      GB 50307</w:t>
      </w:r>
    </w:p>
    <w:p>
      <w:pPr>
        <w:spacing w:line="360" w:lineRule="auto"/>
        <w:rPr>
          <w:rFonts w:hint="eastAsia"/>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6</w:t>
      </w:r>
      <w:r>
        <w:rPr>
          <w:rFonts w:hint="eastAsia"/>
          <w:color w:val="000000" w:themeColor="text1"/>
          <w14:textFill>
            <w14:solidFill>
              <w14:schemeClr w14:val="tx1"/>
            </w14:solidFill>
          </w14:textFill>
        </w:rPr>
        <w:t>《城市轨道交通工程测量规范》                                        GB/T 50308</w:t>
      </w:r>
    </w:p>
    <w:p>
      <w:pPr>
        <w:spacing w:line="360" w:lineRule="auto"/>
        <w:rPr>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7</w:t>
      </w:r>
      <w:r>
        <w:rPr>
          <w:rFonts w:hint="eastAsia"/>
          <w:color w:val="000000" w:themeColor="text1"/>
          <w14:textFill>
            <w14:solidFill>
              <w14:schemeClr w14:val="tx1"/>
            </w14:solidFill>
          </w14:textFill>
        </w:rPr>
        <w:t>《混凝土结构耐久性设计规范》                                        GB/T 50476</w:t>
      </w:r>
    </w:p>
    <w:p>
      <w:pPr>
        <w:spacing w:line="360" w:lineRule="auto"/>
        <w:rPr>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8</w:t>
      </w:r>
      <w:r>
        <w:rPr>
          <w:rFonts w:hint="eastAsia"/>
          <w:color w:val="000000" w:themeColor="text1"/>
          <w14:textFill>
            <w14:solidFill>
              <w14:schemeClr w14:val="tx1"/>
            </w14:solidFill>
          </w14:textFill>
        </w:rPr>
        <w:t xml:space="preserve">《城市轨道交通地下工程建设风险管理规范》                              GB 50652 </w:t>
      </w:r>
    </w:p>
    <w:p>
      <w:pPr>
        <w:spacing w:line="360" w:lineRule="auto"/>
        <w:rPr>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9</w:t>
      </w:r>
      <w:r>
        <w:rPr>
          <w:rFonts w:hint="eastAsia"/>
          <w:color w:val="000000" w:themeColor="text1"/>
          <w14:textFill>
            <w14:solidFill>
              <w14:schemeClr w14:val="tx1"/>
            </w14:solidFill>
          </w14:textFill>
        </w:rPr>
        <w:t>《地铁工程施工安全评价标准》                                          GB 50715</w:t>
      </w:r>
    </w:p>
    <w:p>
      <w:pPr>
        <w:spacing w:line="360" w:lineRule="auto"/>
        <w:rPr>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10</w:t>
      </w:r>
      <w:r>
        <w:rPr>
          <w:rFonts w:hint="eastAsia"/>
          <w:color w:val="000000" w:themeColor="text1"/>
          <w14:textFill>
            <w14:solidFill>
              <w14:schemeClr w14:val="tx1"/>
            </w14:solidFill>
          </w14:textFill>
        </w:rPr>
        <w:t>《城市轨道交通建设项目管理规范》                                      GB 50722</w:t>
      </w:r>
    </w:p>
    <w:p>
      <w:pPr>
        <w:spacing w:line="360" w:lineRule="auto"/>
        <w:rPr>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11</w:t>
      </w:r>
      <w:r>
        <w:rPr>
          <w:rFonts w:hint="eastAsia"/>
          <w:color w:val="000000" w:themeColor="text1"/>
          <w14:textFill>
            <w14:solidFill>
              <w14:schemeClr w14:val="tx1"/>
            </w14:solidFill>
          </w14:textFill>
        </w:rPr>
        <w:t>《城市轨道交通工程监测技术规范》                                      GB 50911</w:t>
      </w:r>
    </w:p>
    <w:p>
      <w:pPr>
        <w:spacing w:line="360" w:lineRule="auto"/>
        <w:rPr>
          <w:color w:val="000000" w:themeColor="text1"/>
          <w14:textFill>
            <w14:solidFill>
              <w14:schemeClr w14:val="tx1"/>
            </w14:solidFill>
          </w14:textFill>
        </w:rPr>
      </w:pPr>
      <w:r>
        <w:rPr>
          <w:rFonts w:hint="eastAsia"/>
          <w:b/>
          <w:bCs/>
          <w:color w:val="000000" w:themeColor="text1"/>
          <w14:textFill>
            <w14:solidFill>
              <w14:schemeClr w14:val="tx1"/>
            </w14:solidFill>
          </w14:textFill>
        </w:rPr>
        <w:t>12</w:t>
      </w:r>
      <w:r>
        <w:rPr>
          <w:rFonts w:hint="eastAsia"/>
          <w:color w:val="000000" w:themeColor="text1"/>
          <w14:textFill>
            <w14:solidFill>
              <w14:schemeClr w14:val="tx1"/>
            </w14:solidFill>
          </w14:textFill>
        </w:rPr>
        <w:t>《地下铁道工程施工标准》                                            GB/T 51310</w:t>
      </w:r>
    </w:p>
    <w:p>
      <w:pPr>
        <w:spacing w:line="360" w:lineRule="auto"/>
        <w:rPr>
          <w:color w:val="000000" w:themeColor="text1"/>
          <w14:textFill>
            <w14:solidFill>
              <w14:schemeClr w14:val="tx1"/>
            </w14:solidFill>
          </w14:textFill>
        </w:rPr>
      </w:pPr>
      <w:r>
        <w:rPr>
          <w:rFonts w:hint="eastAsia"/>
          <w:b/>
          <w:bCs/>
          <w:color w:val="000000" w:themeColor="text1"/>
          <w14:textFill>
            <w14:solidFill>
              <w14:schemeClr w14:val="tx1"/>
            </w14:solidFill>
          </w14:textFill>
        </w:rPr>
        <w:t>13</w:t>
      </w:r>
      <w:r>
        <w:rPr>
          <w:color w:val="000000" w:themeColor="text1"/>
          <w14:textFill>
            <w14:solidFill>
              <w14:schemeClr w14:val="tx1"/>
            </w14:solidFill>
          </w14:textFill>
        </w:rPr>
        <w:t>《钢筋焊接及验收规程</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JGJ</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18</w:t>
      </w:r>
    </w:p>
    <w:p>
      <w:pPr>
        <w:spacing w:line="360" w:lineRule="auto"/>
        <w:rPr>
          <w:color w:val="000000" w:themeColor="text1"/>
          <w14:textFill>
            <w14:solidFill>
              <w14:schemeClr w14:val="tx1"/>
            </w14:solidFill>
          </w14:textFill>
        </w:rPr>
      </w:pPr>
      <w:r>
        <w:rPr>
          <w:rFonts w:hint="eastAsia"/>
          <w:b/>
          <w:bCs/>
          <w:color w:val="000000" w:themeColor="text1"/>
          <w14:textFill>
            <w14:solidFill>
              <w14:schemeClr w14:val="tx1"/>
            </w14:solidFill>
          </w14:textFill>
        </w:rPr>
        <w:t>14</w:t>
      </w:r>
      <w:r>
        <w:rPr>
          <w:rFonts w:hint="eastAsia"/>
          <w:color w:val="000000" w:themeColor="text1"/>
          <w14:textFill>
            <w14:solidFill>
              <w14:schemeClr w14:val="tx1"/>
            </w14:solidFill>
          </w14:textFill>
        </w:rPr>
        <w:t>《</w:t>
      </w:r>
      <w:r>
        <w:rPr>
          <w:color w:val="000000" w:themeColor="text1"/>
          <w14:textFill>
            <w14:solidFill>
              <w14:schemeClr w14:val="tx1"/>
            </w14:solidFill>
          </w14:textFill>
        </w:rPr>
        <w:t>钢筋机械连接技术规程</w:t>
      </w:r>
      <w:r>
        <w:rPr>
          <w:rFonts w:hint="eastAsia"/>
          <w:color w:val="000000" w:themeColor="text1"/>
          <w14:textFill>
            <w14:solidFill>
              <w14:schemeClr w14:val="tx1"/>
            </w14:solidFill>
          </w14:textFill>
        </w:rPr>
        <w:t xml:space="preserve">》                                               </w:t>
      </w:r>
      <w:r>
        <w:rPr>
          <w:color w:val="000000" w:themeColor="text1"/>
          <w14:textFill>
            <w14:solidFill>
              <w14:schemeClr w14:val="tx1"/>
            </w14:solidFill>
          </w14:textFill>
        </w:rPr>
        <w:t>JGJ 107</w:t>
      </w:r>
    </w:p>
    <w:p>
      <w:pPr>
        <w:spacing w:line="360" w:lineRule="auto"/>
        <w:rPr>
          <w:color w:val="000000" w:themeColor="text1"/>
          <w14:textFill>
            <w14:solidFill>
              <w14:schemeClr w14:val="tx1"/>
            </w14:solidFill>
          </w14:textFill>
        </w:rPr>
      </w:pPr>
      <w:r>
        <w:rPr>
          <w:rFonts w:hint="eastAsia"/>
          <w:b/>
          <w:bCs/>
          <w:color w:val="000000" w:themeColor="text1"/>
          <w14:textFill>
            <w14:solidFill>
              <w14:schemeClr w14:val="tx1"/>
            </w14:solidFill>
          </w14:textFill>
        </w:rPr>
        <w:t>15</w:t>
      </w:r>
      <w:r>
        <w:rPr>
          <w:rFonts w:hint="eastAsia"/>
          <w:color w:val="000000" w:themeColor="text1"/>
          <w14:textFill>
            <w14:solidFill>
              <w14:schemeClr w14:val="tx1"/>
            </w14:solidFill>
          </w14:textFill>
        </w:rPr>
        <w:t>《喷射混凝土应用技术规程 》                                          JGJ/T 372</w:t>
      </w:r>
    </w:p>
    <w:p>
      <w:pPr>
        <w:spacing w:line="360" w:lineRule="auto"/>
        <w:rPr>
          <w:color w:val="000000" w:themeColor="text1"/>
          <w14:textFill>
            <w14:solidFill>
              <w14:schemeClr w14:val="tx1"/>
            </w14:solidFill>
          </w14:textFill>
        </w:rPr>
      </w:pPr>
      <w:r>
        <w:rPr>
          <w:rFonts w:hint="eastAsia"/>
          <w:b/>
          <w:bCs/>
          <w:color w:val="000000" w:themeColor="text1"/>
          <w14:textFill>
            <w14:solidFill>
              <w14:schemeClr w14:val="tx1"/>
            </w14:solidFill>
          </w14:textFill>
        </w:rPr>
        <w:t>16</w:t>
      </w:r>
      <w:r>
        <w:rPr>
          <w:rFonts w:hint="eastAsia"/>
          <w:color w:val="000000" w:themeColor="text1"/>
          <w14:textFill>
            <w14:solidFill>
              <w14:schemeClr w14:val="tx1"/>
            </w14:solidFill>
          </w14:textFill>
        </w:rPr>
        <w:t>《铁路隧道设计规范》                                                 TB 10003</w:t>
      </w:r>
    </w:p>
    <w:p>
      <w:pPr>
        <w:spacing w:line="360" w:lineRule="auto"/>
        <w:rPr>
          <w:color w:val="000000" w:themeColor="text1"/>
          <w14:textFill>
            <w14:solidFill>
              <w14:schemeClr w14:val="tx1"/>
            </w14:solidFill>
          </w14:textFill>
        </w:rPr>
      </w:pPr>
      <w:r>
        <w:rPr>
          <w:rFonts w:hint="eastAsia"/>
          <w:b/>
          <w:bCs/>
          <w:color w:val="000000" w:themeColor="text1"/>
          <w14:textFill>
            <w14:solidFill>
              <w14:schemeClr w14:val="tx1"/>
            </w14:solidFill>
          </w14:textFill>
        </w:rPr>
        <w:t>17</w:t>
      </w:r>
      <w:r>
        <w:rPr>
          <w:rFonts w:hint="eastAsia"/>
          <w:color w:val="000000" w:themeColor="text1"/>
          <w14:textFill>
            <w14:solidFill>
              <w14:schemeClr w14:val="tx1"/>
            </w14:solidFill>
          </w14:textFill>
        </w:rPr>
        <w:t>《铁路混凝土结构耐久性设计规范》                                     TB 10005</w:t>
      </w:r>
    </w:p>
    <w:p>
      <w:pPr>
        <w:spacing w:line="360" w:lineRule="auto"/>
        <w:rPr>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18</w:t>
      </w:r>
      <w:r>
        <w:rPr>
          <w:rFonts w:hint="eastAsia"/>
          <w:color w:val="000000" w:themeColor="text1"/>
          <w14:textFill>
            <w14:solidFill>
              <w14:schemeClr w14:val="tx1"/>
            </w14:solidFill>
          </w14:textFill>
        </w:rPr>
        <w:t>《城市轨道交通工程质量验收标准第1部分土建工程》                  DB11/T 311.1</w:t>
      </w:r>
    </w:p>
    <w:p>
      <w:pPr>
        <w:spacing w:line="360" w:lineRule="auto"/>
        <w:rPr>
          <w:color w:val="000000" w:themeColor="text1"/>
          <w14:textFill>
            <w14:solidFill>
              <w14:schemeClr w14:val="tx1"/>
            </w14:solidFill>
          </w14:textFill>
        </w:rPr>
      </w:pPr>
      <w:r>
        <w:rPr>
          <w:rFonts w:hint="eastAsia"/>
          <w:b/>
          <w:bCs/>
          <w:color w:val="000000" w:themeColor="text1"/>
          <w14:textFill>
            <w14:solidFill>
              <w14:schemeClr w14:val="tx1"/>
            </w14:solidFill>
          </w14:textFill>
        </w:rPr>
        <w:t>19</w:t>
      </w:r>
      <w:r>
        <w:rPr>
          <w:rFonts w:hint="eastAsia"/>
          <w:color w:val="000000" w:themeColor="text1"/>
          <w14:textFill>
            <w14:solidFill>
              <w14:schemeClr w14:val="tx1"/>
            </w14:solidFill>
          </w14:textFill>
        </w:rPr>
        <w:t>《建筑基坑支护技术规程》                                             DB11/489</w:t>
      </w:r>
    </w:p>
    <w:p>
      <w:pPr>
        <w:spacing w:line="360" w:lineRule="auto"/>
        <w:rPr>
          <w:color w:val="000000" w:themeColor="text1"/>
          <w14:textFill>
            <w14:solidFill>
              <w14:schemeClr w14:val="tx1"/>
            </w14:solidFill>
          </w14:textFill>
        </w:rPr>
      </w:pPr>
      <w:r>
        <w:rPr>
          <w:rFonts w:hint="eastAsia"/>
          <w:b/>
          <w:bCs/>
          <w:color w:val="000000" w:themeColor="text1"/>
          <w14:textFill>
            <w14:solidFill>
              <w14:schemeClr w14:val="tx1"/>
            </w14:solidFill>
          </w14:textFill>
        </w:rPr>
        <w:t>2</w:t>
      </w:r>
      <w:r>
        <w:rPr>
          <w:rFonts w:hint="eastAsia"/>
          <w:b/>
          <w:bCs/>
          <w:color w:val="000000" w:themeColor="text1"/>
          <w:lang w:val="en-US" w:eastAsia="zh-CN"/>
          <w14:textFill>
            <w14:solidFill>
              <w14:schemeClr w14:val="tx1"/>
            </w14:solidFill>
          </w14:textFill>
        </w:rPr>
        <w:t>0</w:t>
      </w:r>
      <w:r>
        <w:rPr>
          <w:rFonts w:hint="eastAsia"/>
          <w:color w:val="000000" w:themeColor="text1"/>
          <w14:textFill>
            <w14:solidFill>
              <w14:schemeClr w14:val="tx1"/>
            </w14:solidFill>
          </w14:textFill>
        </w:rPr>
        <w:t>《地铁工程监控量测技术规程》                                         DB11/490</w:t>
      </w:r>
    </w:p>
    <w:p>
      <w:pPr>
        <w:spacing w:line="360" w:lineRule="auto"/>
        <w:rPr>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21</w:t>
      </w:r>
      <w:r>
        <w:rPr>
          <w:rFonts w:hint="eastAsia"/>
          <w:color w:val="000000" w:themeColor="text1"/>
          <w14:textFill>
            <w14:solidFill>
              <w14:schemeClr w14:val="tx1"/>
            </w14:solidFill>
          </w14:textFill>
        </w:rPr>
        <w:t>《基坑工程内支撑技术规程》                                           DB11/940</w:t>
      </w:r>
    </w:p>
    <w:p>
      <w:pPr>
        <w:spacing w:line="360" w:lineRule="auto"/>
        <w:rPr>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22</w:t>
      </w:r>
      <w:r>
        <w:rPr>
          <w:rFonts w:hint="eastAsia"/>
          <w:color w:val="000000" w:themeColor="text1"/>
          <w14:textFill>
            <w14:solidFill>
              <w14:schemeClr w14:val="tx1"/>
            </w14:solidFill>
          </w14:textFill>
        </w:rPr>
        <w:t>《城市轨道交通工程设计规范》                                         DB11/995</w:t>
      </w:r>
    </w:p>
    <w:p>
      <w:pPr>
        <w:spacing w:line="360" w:lineRule="auto"/>
        <w:rPr>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23</w:t>
      </w:r>
      <w:r>
        <w:rPr>
          <w:rFonts w:hint="eastAsia"/>
          <w:color w:val="000000" w:themeColor="text1"/>
          <w14:textFill>
            <w14:solidFill>
              <w14:schemeClr w14:val="tx1"/>
            </w14:solidFill>
          </w14:textFill>
        </w:rPr>
        <w:t>《城市轨道交通土建工程设计安全风险评估规范》                        DB11/1067</w:t>
      </w:r>
    </w:p>
    <w:p>
      <w:pPr>
        <w:spacing w:line="360" w:lineRule="auto"/>
        <w:rPr>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24</w:t>
      </w:r>
      <w:r>
        <w:rPr>
          <w:rFonts w:hint="eastAsia"/>
          <w:color w:val="000000" w:themeColor="text1"/>
          <w14:textFill>
            <w14:solidFill>
              <w14:schemeClr w14:val="tx1"/>
            </w14:solidFill>
          </w14:textFill>
        </w:rPr>
        <w:t>《城市建设工程地下水控制技术规范》                                  DB11/1115</w:t>
      </w:r>
    </w:p>
    <w:p>
      <w:pPr>
        <w:spacing w:line="360" w:lineRule="auto"/>
        <w:rPr>
          <w:color w:val="000000" w:themeColor="text1"/>
          <w14:textFill>
            <w14:solidFill>
              <w14:schemeClr w14:val="tx1"/>
            </w14:solidFill>
          </w14:textFill>
        </w:rPr>
      </w:pPr>
      <w:r>
        <w:rPr>
          <w:rFonts w:hint="eastAsia"/>
          <w:b/>
          <w:bCs/>
          <w:color w:val="000000" w:themeColor="text1"/>
          <w14:textFill>
            <w14:solidFill>
              <w14:schemeClr w14:val="tx1"/>
            </w14:solidFill>
          </w14:textFill>
        </w:rPr>
        <w:t>25</w:t>
      </w:r>
      <w:r>
        <w:rPr>
          <w:rFonts w:hint="eastAsia"/>
          <w:color w:val="000000" w:themeColor="text1"/>
          <w14:textFill>
            <w14:solidFill>
              <w14:schemeClr w14:val="tx1"/>
            </w14:solidFill>
          </w14:textFill>
        </w:rPr>
        <w:t>《城市轨道交通建设安全风险技术管理规范》                          DB11/T 1316</w:t>
      </w:r>
    </w:p>
    <w:p>
      <w:pPr>
        <w:spacing w:line="360" w:lineRule="auto"/>
        <w:rPr>
          <w:color w:val="000000" w:themeColor="text1"/>
          <w14:textFill>
            <w14:solidFill>
              <w14:schemeClr w14:val="tx1"/>
            </w14:solidFill>
          </w14:textFill>
        </w:rPr>
      </w:pPr>
      <w:r>
        <w:rPr>
          <w:rFonts w:hint="eastAsia"/>
          <w:b/>
          <w:bCs/>
          <w:color w:val="000000" w:themeColor="text1"/>
          <w:lang w:val="en-US" w:eastAsia="zh-CN"/>
          <w14:textFill>
            <w14:solidFill>
              <w14:schemeClr w14:val="tx1"/>
            </w14:solidFill>
          </w14:textFill>
        </w:rPr>
        <w:t>26</w:t>
      </w:r>
      <w:r>
        <w:rPr>
          <w:rFonts w:hint="eastAsia"/>
          <w:color w:val="000000" w:themeColor="text1"/>
          <w14:textFill>
            <w14:solidFill>
              <w14:schemeClr w14:val="tx1"/>
            </w14:solidFill>
          </w14:textFill>
        </w:rPr>
        <w:t xml:space="preserve">《城市轨道交通隧道工程注浆技术规程》                                 </w:t>
      </w:r>
      <w:r>
        <w:rPr>
          <w:color w:val="000000" w:themeColor="text1"/>
          <w14:textFill>
            <w14:solidFill>
              <w14:schemeClr w14:val="tx1"/>
            </w14:solidFill>
          </w14:textFill>
        </w:rPr>
        <w:t>DB11/1444</w:t>
      </w:r>
    </w:p>
    <w:p>
      <w:pPr>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br w:type="page"/>
      </w:r>
    </w:p>
    <w:p>
      <w:pPr>
        <w:spacing w:before="60" w:after="60"/>
        <w:jc w:val="center"/>
        <w:rPr>
          <w:rFonts w:ascii="黑体" w:eastAsia="黑体"/>
          <w:b/>
          <w:color w:val="000000" w:themeColor="text1"/>
          <w:sz w:val="32"/>
          <w:szCs w:val="32"/>
          <w14:textFill>
            <w14:solidFill>
              <w14:schemeClr w14:val="tx1"/>
            </w14:solidFill>
          </w14:textFill>
        </w:rPr>
      </w:pPr>
    </w:p>
    <w:p>
      <w:pPr>
        <w:spacing w:before="60" w:after="60"/>
        <w:jc w:val="center"/>
        <w:rPr>
          <w:rFonts w:ascii="黑体" w:eastAsia="黑体"/>
          <w:b/>
          <w:color w:val="000000" w:themeColor="text1"/>
          <w:sz w:val="32"/>
          <w:szCs w:val="32"/>
          <w14:textFill>
            <w14:solidFill>
              <w14:schemeClr w14:val="tx1"/>
            </w14:solidFill>
          </w14:textFill>
        </w:rPr>
      </w:pPr>
      <w:r>
        <w:rPr>
          <w:rFonts w:hint="eastAsia" w:ascii="黑体" w:eastAsia="黑体"/>
          <w:b/>
          <w:color w:val="000000" w:themeColor="text1"/>
          <w:spacing w:val="14"/>
          <w:w w:val="92"/>
          <w:kern w:val="0"/>
          <w:sz w:val="32"/>
          <w:szCs w:val="32"/>
          <w14:textFill>
            <w14:solidFill>
              <w14:schemeClr w14:val="tx1"/>
            </w14:solidFill>
          </w14:textFill>
        </w:rPr>
        <w:t>北京市地方标</w:t>
      </w:r>
      <w:r>
        <w:rPr>
          <w:rFonts w:hint="eastAsia" w:ascii="黑体" w:eastAsia="黑体"/>
          <w:b/>
          <w:color w:val="000000" w:themeColor="text1"/>
          <w:spacing w:val="4"/>
          <w:w w:val="92"/>
          <w:kern w:val="0"/>
          <w:sz w:val="32"/>
          <w:szCs w:val="32"/>
          <w14:textFill>
            <w14:solidFill>
              <w14:schemeClr w14:val="tx1"/>
            </w14:solidFill>
          </w14:textFill>
        </w:rPr>
        <w:t>准</w:t>
      </w:r>
    </w:p>
    <w:p>
      <w:pPr>
        <w:spacing w:before="60" w:after="60"/>
        <w:jc w:val="center"/>
        <w:rPr>
          <w:rFonts w:ascii="黑体" w:eastAsia="黑体"/>
          <w:b/>
          <w:color w:val="000000" w:themeColor="text1"/>
          <w:sz w:val="32"/>
          <w:szCs w:val="32"/>
          <w14:textFill>
            <w14:solidFill>
              <w14:schemeClr w14:val="tx1"/>
            </w14:solidFill>
          </w14:textFill>
        </w:rPr>
      </w:pPr>
    </w:p>
    <w:p>
      <w:pPr>
        <w:spacing w:before="60" w:after="60"/>
        <w:jc w:val="center"/>
        <w:rPr>
          <w:rFonts w:ascii="黑体" w:eastAsia="黑体"/>
          <w:b/>
          <w:color w:val="000000" w:themeColor="text1"/>
          <w:sz w:val="32"/>
          <w:szCs w:val="32"/>
          <w14:textFill>
            <w14:solidFill>
              <w14:schemeClr w14:val="tx1"/>
            </w14:solidFill>
          </w14:textFill>
        </w:rPr>
      </w:pPr>
    </w:p>
    <w:p>
      <w:pPr>
        <w:spacing w:before="60" w:after="60"/>
        <w:jc w:val="center"/>
        <w:rPr>
          <w:rFonts w:eastAsia="黑体"/>
          <w:b/>
          <w:color w:val="000000" w:themeColor="text1"/>
          <w:sz w:val="32"/>
          <w:szCs w:val="32"/>
          <w14:textFill>
            <w14:solidFill>
              <w14:schemeClr w14:val="tx1"/>
            </w14:solidFill>
          </w14:textFill>
        </w:rPr>
      </w:pPr>
      <w:r>
        <w:rPr>
          <w:rFonts w:hint="eastAsia" w:ascii="黑体" w:eastAsia="黑体"/>
          <w:color w:val="000000" w:themeColor="text1"/>
          <w:w w:val="92"/>
          <w:kern w:val="0"/>
          <w:sz w:val="44"/>
          <w:szCs w:val="44"/>
          <w14:textFill>
            <w14:solidFill>
              <w14:schemeClr w14:val="tx1"/>
            </w14:solidFill>
          </w14:textFill>
        </w:rPr>
        <w:t>城市轨道交通工程浅埋暗挖法施</w:t>
      </w:r>
      <w:r>
        <w:rPr>
          <w:rFonts w:hint="eastAsia" w:ascii="黑体" w:eastAsia="黑体"/>
          <w:color w:val="000000" w:themeColor="text1"/>
          <w:spacing w:val="25"/>
          <w:w w:val="92"/>
          <w:kern w:val="0"/>
          <w:sz w:val="44"/>
          <w:szCs w:val="44"/>
          <w14:textFill>
            <w14:solidFill>
              <w14:schemeClr w14:val="tx1"/>
            </w14:solidFill>
          </w14:textFill>
        </w:rPr>
        <w:t>工</w:t>
      </w:r>
      <w:r>
        <w:rPr>
          <w:rFonts w:hint="eastAsia" w:ascii="黑体" w:eastAsia="黑体"/>
          <w:color w:val="000000" w:themeColor="text1"/>
          <w:spacing w:val="11"/>
          <w:w w:val="96"/>
          <w:kern w:val="0"/>
          <w:sz w:val="44"/>
          <w:szCs w:val="44"/>
          <w14:textFill>
            <w14:solidFill>
              <w14:schemeClr w14:val="tx1"/>
            </w14:solidFill>
          </w14:textFill>
        </w:rPr>
        <w:t>技术规程</w:t>
      </w:r>
    </w:p>
    <w:p>
      <w:pPr>
        <w:spacing w:before="60" w:after="60" w:line="480" w:lineRule="exact"/>
        <w:jc w:val="center"/>
        <w:rPr>
          <w:rFonts w:eastAsia="黑体"/>
          <w:color w:val="000000" w:themeColor="text1"/>
          <w:w w:val="98"/>
          <w:kern w:val="0"/>
          <w:sz w:val="28"/>
          <w:szCs w:val="28"/>
          <w14:textFill>
            <w14:solidFill>
              <w14:schemeClr w14:val="tx1"/>
            </w14:solidFill>
          </w14:textFill>
        </w:rPr>
      </w:pPr>
      <w:r>
        <w:rPr>
          <w:rFonts w:hint="eastAsia" w:eastAsia="黑体"/>
          <w:color w:val="000000" w:themeColor="text1"/>
          <w:w w:val="68"/>
          <w:kern w:val="0"/>
          <w:sz w:val="28"/>
          <w:szCs w:val="28"/>
          <w14:textFill>
            <w14:solidFill>
              <w14:schemeClr w14:val="tx1"/>
            </w14:solidFill>
          </w14:textFill>
        </w:rPr>
        <w:t>The Technical Specification for Shallow Tunneling Method in Urban Rail</w:t>
      </w:r>
      <w:r>
        <w:rPr>
          <w:rFonts w:hint="eastAsia" w:eastAsia="黑体"/>
          <w:color w:val="000000" w:themeColor="text1"/>
          <w:spacing w:val="67"/>
          <w:w w:val="68"/>
          <w:kern w:val="0"/>
          <w:sz w:val="28"/>
          <w:szCs w:val="28"/>
          <w14:textFill>
            <w14:solidFill>
              <w14:schemeClr w14:val="tx1"/>
            </w14:solidFill>
          </w14:textFill>
        </w:rPr>
        <w:t xml:space="preserve"> </w:t>
      </w:r>
    </w:p>
    <w:p>
      <w:pPr>
        <w:spacing w:before="60" w:after="60"/>
        <w:jc w:val="center"/>
        <w:rPr>
          <w:rFonts w:eastAsia="黑体"/>
          <w:color w:val="000000" w:themeColor="text1"/>
          <w:w w:val="83"/>
          <w:kern w:val="0"/>
          <w:sz w:val="28"/>
          <w:szCs w:val="28"/>
          <w14:textFill>
            <w14:solidFill>
              <w14:schemeClr w14:val="tx1"/>
            </w14:solidFill>
          </w14:textFill>
        </w:rPr>
      </w:pPr>
      <w:r>
        <w:rPr>
          <w:rFonts w:hint="eastAsia" w:eastAsia="黑体"/>
          <w:color w:val="000000" w:themeColor="text1"/>
          <w:w w:val="83"/>
          <w:kern w:val="0"/>
          <w:sz w:val="28"/>
          <w:szCs w:val="28"/>
          <w14:textFill>
            <w14:solidFill>
              <w14:schemeClr w14:val="tx1"/>
            </w14:solidFill>
          </w14:textFill>
        </w:rPr>
        <w:t>Transit Engineering</w:t>
      </w:r>
    </w:p>
    <w:p>
      <w:pPr>
        <w:spacing w:before="60" w:after="60"/>
        <w:ind w:firstLine="3759" w:firstLineChars="1800"/>
        <w:rPr>
          <w:rFonts w:ascii="黑体" w:eastAsia="黑体"/>
          <w:b/>
          <w:color w:val="000000" w:themeColor="text1"/>
          <w:spacing w:val="11"/>
          <w:w w:val="89"/>
          <w:kern w:val="0"/>
          <w14:textFill>
            <w14:solidFill>
              <w14:schemeClr w14:val="tx1"/>
            </w14:solidFill>
          </w14:textFill>
        </w:rPr>
      </w:pPr>
    </w:p>
    <w:p>
      <w:pPr>
        <w:spacing w:before="60" w:after="60"/>
        <w:jc w:val="center"/>
        <w:rPr>
          <w:color w:val="000000" w:themeColor="text1"/>
          <w:kern w:val="0"/>
          <w14:textFill>
            <w14:solidFill>
              <w14:schemeClr w14:val="tx1"/>
            </w14:solidFill>
          </w14:textFill>
        </w:rPr>
      </w:pPr>
      <w:r>
        <w:rPr>
          <w:rFonts w:hint="eastAsia"/>
          <w:color w:val="000000" w:themeColor="text1"/>
          <w:kern w:val="0"/>
          <w:sz w:val="32"/>
          <w:szCs w:val="32"/>
          <w14:textFill>
            <w14:solidFill>
              <w14:schemeClr w14:val="tx1"/>
            </w14:solidFill>
          </w14:textFill>
        </w:rPr>
        <w:t>条文说明</w:t>
      </w:r>
    </w:p>
    <w:p>
      <w:pPr>
        <w:spacing w:before="60" w:after="60"/>
        <w:ind w:firstLine="3759" w:firstLineChars="1800"/>
        <w:rPr>
          <w:rFonts w:ascii="黑体" w:eastAsia="黑体"/>
          <w:b/>
          <w:color w:val="000000" w:themeColor="text1"/>
          <w:spacing w:val="11"/>
          <w:w w:val="89"/>
          <w:kern w:val="0"/>
          <w14:textFill>
            <w14:solidFill>
              <w14:schemeClr w14:val="tx1"/>
            </w14:solidFill>
          </w14:textFill>
        </w:rPr>
      </w:pPr>
    </w:p>
    <w:p>
      <w:pPr>
        <w:spacing w:before="60" w:after="60"/>
        <w:ind w:firstLine="3759" w:firstLineChars="1800"/>
        <w:rPr>
          <w:rFonts w:ascii="黑体" w:eastAsia="黑体"/>
          <w:b/>
          <w:color w:val="000000" w:themeColor="text1"/>
          <w:spacing w:val="11"/>
          <w:w w:val="89"/>
          <w:kern w:val="0"/>
          <w14:textFill>
            <w14:solidFill>
              <w14:schemeClr w14:val="tx1"/>
            </w14:solidFill>
          </w14:textFill>
        </w:rPr>
      </w:pPr>
    </w:p>
    <w:p>
      <w:pPr>
        <w:spacing w:before="60" w:after="60"/>
        <w:ind w:firstLine="3759" w:firstLineChars="1800"/>
        <w:rPr>
          <w:rFonts w:ascii="黑体" w:eastAsia="黑体"/>
          <w:b/>
          <w:color w:val="000000" w:themeColor="text1"/>
          <w:spacing w:val="11"/>
          <w:w w:val="89"/>
          <w:kern w:val="0"/>
          <w14:textFill>
            <w14:solidFill>
              <w14:schemeClr w14:val="tx1"/>
            </w14:solidFill>
          </w14:textFill>
        </w:rPr>
      </w:pPr>
    </w:p>
    <w:p>
      <w:pPr>
        <w:spacing w:before="60" w:after="60"/>
        <w:ind w:firstLine="3759" w:firstLineChars="1800"/>
        <w:rPr>
          <w:rFonts w:ascii="黑体" w:eastAsia="黑体"/>
          <w:b/>
          <w:color w:val="000000" w:themeColor="text1"/>
          <w:spacing w:val="11"/>
          <w:w w:val="89"/>
          <w:kern w:val="0"/>
          <w14:textFill>
            <w14:solidFill>
              <w14:schemeClr w14:val="tx1"/>
            </w14:solidFill>
          </w14:textFill>
        </w:rPr>
      </w:pPr>
    </w:p>
    <w:p>
      <w:pPr>
        <w:spacing w:before="60" w:after="60"/>
        <w:ind w:firstLine="3759" w:firstLineChars="1800"/>
        <w:rPr>
          <w:rFonts w:ascii="黑体" w:eastAsia="黑体"/>
          <w:b/>
          <w:color w:val="000000" w:themeColor="text1"/>
          <w:spacing w:val="11"/>
          <w:w w:val="89"/>
          <w:kern w:val="0"/>
          <w14:textFill>
            <w14:solidFill>
              <w14:schemeClr w14:val="tx1"/>
            </w14:solidFill>
          </w14:textFill>
        </w:rPr>
      </w:pPr>
    </w:p>
    <w:p>
      <w:pPr>
        <w:spacing w:before="60" w:after="60"/>
        <w:ind w:firstLine="3759" w:firstLineChars="1800"/>
        <w:rPr>
          <w:rFonts w:ascii="黑体" w:eastAsia="黑体"/>
          <w:b/>
          <w:color w:val="000000" w:themeColor="text1"/>
          <w:spacing w:val="11"/>
          <w:w w:val="89"/>
          <w:kern w:val="0"/>
          <w14:textFill>
            <w14:solidFill>
              <w14:schemeClr w14:val="tx1"/>
            </w14:solidFill>
          </w14:textFill>
        </w:rPr>
      </w:pPr>
    </w:p>
    <w:p>
      <w:pPr>
        <w:spacing w:before="60" w:after="60"/>
        <w:ind w:firstLine="3759" w:firstLineChars="1800"/>
        <w:rPr>
          <w:rFonts w:ascii="黑体" w:eastAsia="黑体"/>
          <w:b/>
          <w:color w:val="000000" w:themeColor="text1"/>
          <w:spacing w:val="11"/>
          <w:w w:val="89"/>
          <w:kern w:val="0"/>
          <w14:textFill>
            <w14:solidFill>
              <w14:schemeClr w14:val="tx1"/>
            </w14:solidFill>
          </w14:textFill>
        </w:rPr>
      </w:pPr>
    </w:p>
    <w:p>
      <w:pPr>
        <w:spacing w:before="60" w:after="60"/>
        <w:ind w:firstLine="3759" w:firstLineChars="1800"/>
        <w:rPr>
          <w:rFonts w:ascii="黑体" w:eastAsia="黑体"/>
          <w:b/>
          <w:color w:val="000000" w:themeColor="text1"/>
          <w:spacing w:val="11"/>
          <w:w w:val="89"/>
          <w:kern w:val="0"/>
          <w14:textFill>
            <w14:solidFill>
              <w14:schemeClr w14:val="tx1"/>
            </w14:solidFill>
          </w14:textFill>
        </w:rPr>
      </w:pPr>
    </w:p>
    <w:p>
      <w:pPr>
        <w:spacing w:before="60" w:after="60"/>
        <w:rPr>
          <w:rFonts w:ascii="黑体" w:eastAsia="黑体"/>
          <w:b/>
          <w:color w:val="000000" w:themeColor="text1"/>
          <w:sz w:val="32"/>
          <w:szCs w:val="32"/>
          <w14:textFill>
            <w14:solidFill>
              <w14:schemeClr w14:val="tx1"/>
            </w14:solidFill>
          </w14:textFill>
        </w:rPr>
      </w:pPr>
    </w:p>
    <w:p>
      <w:pPr>
        <w:pStyle w:val="10"/>
        <w:tabs>
          <w:tab w:val="left" w:pos="360"/>
          <w:tab w:val="right" w:leader="dot" w:pos="8296"/>
        </w:tabs>
        <w:adjustRightInd w:val="0"/>
        <w:snapToGrid w:val="0"/>
        <w:jc w:val="center"/>
        <w:rPr>
          <w:color w:val="000000" w:themeColor="text1"/>
          <w:spacing w:val="136"/>
          <w:kern w:val="0"/>
          <w:sz w:val="28"/>
          <w:szCs w:val="28"/>
          <w14:textFill>
            <w14:solidFill>
              <w14:schemeClr w14:val="tx1"/>
            </w14:solidFill>
          </w14:textFill>
        </w:rPr>
      </w:pPr>
      <w:r>
        <w:rPr>
          <w:rFonts w:eastAsia="黑体"/>
          <w:color w:val="000000" w:themeColor="text1"/>
          <w:spacing w:val="3"/>
          <w:w w:val="94"/>
          <w:kern w:val="0"/>
          <w:sz w:val="28"/>
          <w:szCs w:val="28"/>
          <w14:textFill>
            <w14:solidFill>
              <w14:schemeClr w14:val="tx1"/>
            </w14:solidFill>
          </w14:textFill>
        </w:rPr>
        <w:t>20</w:t>
      </w:r>
      <w:r>
        <w:rPr>
          <w:rFonts w:hint="eastAsia" w:eastAsia="黑体"/>
          <w:color w:val="000000" w:themeColor="text1"/>
          <w:spacing w:val="3"/>
          <w:w w:val="94"/>
          <w:kern w:val="0"/>
          <w:sz w:val="28"/>
          <w:szCs w:val="28"/>
          <w14:textFill>
            <w14:solidFill>
              <w14:schemeClr w14:val="tx1"/>
            </w14:solidFill>
          </w14:textFill>
        </w:rPr>
        <w:t xml:space="preserve">21  </w:t>
      </w:r>
      <w:r>
        <w:rPr>
          <w:rFonts w:eastAsia="黑体"/>
          <w:color w:val="000000" w:themeColor="text1"/>
          <w:spacing w:val="3"/>
          <w:w w:val="94"/>
          <w:kern w:val="0"/>
          <w:sz w:val="28"/>
          <w:szCs w:val="28"/>
          <w14:textFill>
            <w14:solidFill>
              <w14:schemeClr w14:val="tx1"/>
            </w14:solidFill>
          </w14:textFill>
        </w:rPr>
        <w:t xml:space="preserve"> 北</w:t>
      </w:r>
      <w:r>
        <w:rPr>
          <w:rFonts w:eastAsia="黑体"/>
          <w:color w:val="000000" w:themeColor="text1"/>
          <w:w w:val="94"/>
          <w:kern w:val="0"/>
          <w:sz w:val="28"/>
          <w:szCs w:val="28"/>
          <w14:textFill>
            <w14:solidFill>
              <w14:schemeClr w14:val="tx1"/>
            </w14:solidFill>
          </w14:textFill>
        </w:rPr>
        <w:t>京</w:t>
      </w: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p>
    <w:p>
      <w:pPr>
        <w:rPr>
          <w:color w:val="000000" w:themeColor="text1"/>
          <w14:textFill>
            <w14:solidFill>
              <w14:schemeClr w14:val="tx1"/>
            </w14:solidFill>
          </w14:textFill>
        </w:rPr>
      </w:pPr>
      <w:r>
        <w:rPr>
          <w:color w:val="000000" w:themeColor="text1"/>
          <w14:textFill>
            <w14:solidFill>
              <w14:schemeClr w14:val="tx1"/>
            </w14:solidFill>
          </w14:textFill>
        </w:rPr>
        <w:br w:type="page"/>
      </w:r>
    </w:p>
    <w:p>
      <w:pPr>
        <w:pStyle w:val="10"/>
        <w:pageBreakBefore/>
        <w:tabs>
          <w:tab w:val="right" w:leader="dot" w:pos="8306"/>
        </w:tabs>
        <w:jc w:val="center"/>
        <w:rPr>
          <w:b/>
          <w:color w:val="000000" w:themeColor="text1"/>
          <w:sz w:val="28"/>
          <w:szCs w:val="28"/>
          <w14:textFill>
            <w14:solidFill>
              <w14:schemeClr w14:val="tx1"/>
            </w14:solidFill>
          </w14:textFill>
        </w:rPr>
      </w:pPr>
      <w:r>
        <w:rPr>
          <w:rFonts w:hint="eastAsia"/>
          <w:b/>
          <w:color w:val="000000" w:themeColor="text1"/>
          <w:sz w:val="28"/>
          <w:szCs w:val="28"/>
          <w14:textFill>
            <w14:solidFill>
              <w14:schemeClr w14:val="tx1"/>
            </w14:solidFill>
          </w14:textFill>
        </w:rPr>
        <w:t>目  次</w:t>
      </w:r>
    </w:p>
    <w:p>
      <w:pPr>
        <w:pStyle w:val="10"/>
        <w:tabs>
          <w:tab w:val="right" w:leader="dot" w:pos="8306"/>
        </w:tabs>
        <w:rPr>
          <w:color w:val="000000" w:themeColor="text1"/>
          <w14:textFill>
            <w14:solidFill>
              <w14:schemeClr w14:val="tx1"/>
            </w14:solidFill>
          </w14:textFill>
        </w:rPr>
      </w:pPr>
      <w:r>
        <w:rPr>
          <w:b/>
          <w:color w:val="000000" w:themeColor="text1"/>
          <w:sz w:val="28"/>
          <w:szCs w:val="28"/>
          <w14:textFill>
            <w14:solidFill>
              <w14:schemeClr w14:val="tx1"/>
            </w14:solidFill>
          </w14:textFill>
        </w:rPr>
        <w:fldChar w:fldCharType="begin"/>
      </w:r>
      <w:r>
        <w:rPr>
          <w:b/>
          <w:color w:val="000000" w:themeColor="text1"/>
          <w:sz w:val="28"/>
          <w:szCs w:val="28"/>
          <w14:textFill>
            <w14:solidFill>
              <w14:schemeClr w14:val="tx1"/>
            </w14:solidFill>
          </w14:textFill>
        </w:rPr>
        <w:instrText xml:space="preserve">TOC \o "1-2" \h \u </w:instrText>
      </w:r>
      <w:r>
        <w:rPr>
          <w:b/>
          <w:color w:val="000000" w:themeColor="text1"/>
          <w:sz w:val="28"/>
          <w:szCs w:val="28"/>
          <w14:textFill>
            <w14:solidFill>
              <w14:schemeClr w14:val="tx1"/>
            </w14:solidFill>
          </w14:textFill>
        </w:rPr>
        <w:fldChar w:fldCharType="separate"/>
      </w:r>
      <w:r>
        <w:fldChar w:fldCharType="begin"/>
      </w:r>
      <w:r>
        <w:instrText xml:space="preserve"> HYPERLINK \l "_Toc5845" </w:instrText>
      </w:r>
      <w:r>
        <w:fldChar w:fldCharType="separate"/>
      </w:r>
      <w:r>
        <w:rPr>
          <w:rFonts w:hint="eastAsia"/>
          <w:color w:val="000000" w:themeColor="text1"/>
          <w:szCs w:val="28"/>
          <w14:textFill>
            <w14:solidFill>
              <w14:schemeClr w14:val="tx1"/>
            </w14:solidFill>
          </w14:textFill>
        </w:rPr>
        <w:t>1</w:t>
      </w:r>
      <w:r>
        <w:rPr>
          <w:color w:val="000000" w:themeColor="text1"/>
          <w:szCs w:val="28"/>
          <w14:textFill>
            <w14:solidFill>
              <w14:schemeClr w14:val="tx1"/>
            </w14:solidFill>
          </w14:textFill>
        </w:rPr>
        <w:t xml:space="preserve"> 总则</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81</w:t>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"_Toc24942" </w:instrText>
      </w:r>
      <w:r>
        <w:fldChar w:fldCharType="separate"/>
      </w:r>
      <w:r>
        <w:rPr>
          <w:rFonts w:hint="eastAsia"/>
          <w:color w:val="000000" w:themeColor="text1"/>
          <w:szCs w:val="28"/>
          <w14:textFill>
            <w14:solidFill>
              <w14:schemeClr w14:val="tx1"/>
            </w14:solidFill>
          </w14:textFill>
        </w:rPr>
        <w:t>3</w:t>
      </w:r>
      <w:r>
        <w:rPr>
          <w:bCs/>
          <w:color w:val="000000" w:themeColor="text1"/>
          <w:szCs w:val="28"/>
          <w14:textFill>
            <w14:solidFill>
              <w14:schemeClr w14:val="tx1"/>
            </w14:solidFill>
          </w14:textFill>
        </w:rPr>
        <w:t xml:space="preserve"> </w:t>
      </w:r>
      <w:r>
        <w:rPr>
          <w:rFonts w:hint="eastAsia"/>
          <w:color w:val="000000" w:themeColor="text1"/>
          <w:szCs w:val="28"/>
          <w14:textFill>
            <w14:solidFill>
              <w14:schemeClr w14:val="tx1"/>
            </w14:solidFill>
          </w14:textFill>
        </w:rPr>
        <w:t>基本规定</w:t>
      </w:r>
      <w:r>
        <w:rPr>
          <w:color w:val="000000" w:themeColor="text1"/>
          <w14:textFill>
            <w14:solidFill>
              <w14:schemeClr w14:val="tx1"/>
            </w14:solidFill>
          </w14:textFill>
        </w:rPr>
        <w:tab/>
      </w:r>
      <w:r>
        <w:rPr>
          <w:rFonts w:hint="eastAsia"/>
          <w:color w:val="000000" w:themeColor="text1"/>
          <w14:textFill>
            <w14:solidFill>
              <w14:schemeClr w14:val="tx1"/>
            </w14:solidFill>
          </w14:textFill>
        </w:rPr>
        <w:t>82</w:t>
      </w:r>
      <w:r>
        <w:rPr>
          <w:rFonts w:hint="eastAsia"/>
          <w:color w:val="000000" w:themeColor="text1"/>
          <w14:textFill>
            <w14:solidFill>
              <w14:schemeClr w14:val="tx1"/>
            </w14:solidFill>
          </w14:textFill>
        </w:rPr>
        <w:fldChar w:fldCharType="end"/>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"_Toc23206" </w:instrText>
      </w:r>
      <w:r>
        <w:fldChar w:fldCharType="separate"/>
      </w:r>
      <w:r>
        <w:rPr>
          <w:rFonts w:hint="eastAsia"/>
          <w:color w:val="000000" w:themeColor="text1"/>
          <w:szCs w:val="28"/>
          <w14:textFill>
            <w14:solidFill>
              <w14:schemeClr w14:val="tx1"/>
            </w14:solidFill>
          </w14:textFill>
        </w:rPr>
        <w:t>4  施工准备</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84</w:t>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"_Toc18280" </w:instrText>
      </w:r>
      <w:r>
        <w:fldChar w:fldCharType="separate"/>
      </w:r>
      <w:r>
        <w:rPr>
          <w:rFonts w:hint="eastAsia"/>
          <w:color w:val="000000" w:themeColor="text1"/>
          <w:szCs w:val="28"/>
          <w14:textFill>
            <w14:solidFill>
              <w14:schemeClr w14:val="tx1"/>
            </w14:solidFill>
          </w14:textFill>
        </w:rPr>
        <w:t>5  施工测量</w:t>
      </w:r>
      <w:r>
        <w:rPr>
          <w:color w:val="000000" w:themeColor="text1"/>
          <w14:textFill>
            <w14:solidFill>
              <w14:schemeClr w14:val="tx1"/>
            </w14:solidFill>
          </w14:textFill>
        </w:rPr>
        <w:tab/>
      </w:r>
      <w:r>
        <w:rPr>
          <w:rFonts w:hint="eastAsia"/>
          <w:color w:val="000000" w:themeColor="text1"/>
          <w14:textFill>
            <w14:solidFill>
              <w14:schemeClr w14:val="tx1"/>
            </w14:solidFill>
          </w14:textFill>
        </w:rPr>
        <w:t>8</w:t>
      </w:r>
      <w:r>
        <w:rPr>
          <w:rFonts w:hint="eastAsia"/>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5</w:t>
      </w:r>
    </w:p>
    <w:p>
      <w:pPr>
        <w:pStyle w:val="10"/>
        <w:ind w:firstLine="420" w:firstLineChars="200"/>
        <w:rPr>
          <w:color w:val="000000" w:themeColor="text1"/>
          <w14:textFill>
            <w14:solidFill>
              <w14:schemeClr w14:val="tx1"/>
            </w14:solidFill>
          </w14:textFill>
        </w:rPr>
      </w:pPr>
      <w:r>
        <w:fldChar w:fldCharType="begin"/>
      </w:r>
      <w:r>
        <w:instrText xml:space="preserve"> HYPERLINK \l "_Toc3476" </w:instrText>
      </w:r>
      <w:r>
        <w:fldChar w:fldCharType="separate"/>
      </w:r>
      <w:r>
        <w:rPr>
          <w:rFonts w:hint="eastAsia" w:hAnsi="宋体"/>
          <w:color w:val="000000" w:themeColor="text1"/>
          <w14:textFill>
            <w14:solidFill>
              <w14:schemeClr w14:val="tx1"/>
            </w14:solidFill>
          </w14:textFill>
        </w:rPr>
        <w:t xml:space="preserve">5.1 </w:t>
      </w:r>
      <w:r>
        <w:rPr>
          <w:rFonts w:hAnsi="宋体"/>
          <w:color w:val="000000" w:themeColor="text1"/>
          <w14:textFill>
            <w14:solidFill>
              <w14:schemeClr w14:val="tx1"/>
            </w14:solidFill>
          </w14:textFill>
        </w:rPr>
        <w:t xml:space="preserve"> </w:t>
      </w:r>
      <w:r>
        <w:rPr>
          <w:color w:val="000000" w:themeColor="text1"/>
          <w:szCs w:val="28"/>
          <w14:textFill>
            <w14:solidFill>
              <w14:schemeClr w14:val="tx1"/>
            </w14:solidFill>
          </w14:textFill>
        </w:rPr>
        <w:t>一般</w:t>
      </w:r>
      <w:r>
        <w:rPr>
          <w:rFonts w:hint="eastAsia" w:hAnsi="宋体"/>
          <w:color w:val="000000" w:themeColor="text1"/>
          <w14:textFill>
            <w14:solidFill>
              <w14:schemeClr w14:val="tx1"/>
            </w14:solidFill>
          </w14:textFill>
        </w:rPr>
        <w:t>规定</w:t>
      </w:r>
      <w:r>
        <w:rPr>
          <w:rFonts w:hint="eastAsia" w:hAnsi="宋体"/>
          <w:color w:val="000000" w:themeColor="text1"/>
          <w14:textFill>
            <w14:solidFill>
              <w14:schemeClr w14:val="tx1"/>
            </w14:solidFill>
          </w14:textFill>
        </w:rPr>
        <w:fldChar w:fldCharType="end"/>
      </w:r>
      <w:r>
        <w:rPr>
          <w:rFonts w:ascii="Arial" w:hAnsi="Arial" w:cs="Arial"/>
          <w:color w:val="000000" w:themeColor="text1"/>
          <w:szCs w:val="28"/>
          <w14:textFill>
            <w14:solidFill>
              <w14:schemeClr w14:val="tx1"/>
            </w14:solidFill>
          </w14:textFill>
        </w:rPr>
        <w:t>………………………………………………………………………………</w:t>
      </w:r>
      <w:r>
        <w:rPr>
          <w:rFonts w:hint="eastAsia" w:ascii="Arial" w:hAnsi="Arial" w:cs="Arial"/>
          <w:color w:val="000000" w:themeColor="text1"/>
          <w:szCs w:val="28"/>
          <w14:textFill>
            <w14:solidFill>
              <w14:schemeClr w14:val="tx1"/>
            </w14:solidFill>
          </w14:textFill>
        </w:rPr>
        <w:t xml:space="preserve"> </w:t>
      </w:r>
      <w:r>
        <w:rPr>
          <w:rFonts w:hint="eastAsia"/>
          <w:color w:val="000000" w:themeColor="text1"/>
          <w14:textFill>
            <w14:solidFill>
              <w14:schemeClr w14:val="tx1"/>
            </w14:solidFill>
          </w14:textFill>
        </w:rPr>
        <w:t>85</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"_Toc5286" </w:instrText>
      </w:r>
      <w:r>
        <w:fldChar w:fldCharType="separate"/>
      </w:r>
      <w:r>
        <w:rPr>
          <w:rFonts w:hint="eastAsia" w:hAnsi="宋体"/>
          <w:color w:val="000000" w:themeColor="text1"/>
          <w14:textFill>
            <w14:solidFill>
              <w14:schemeClr w14:val="tx1"/>
            </w14:solidFill>
          </w14:textFill>
        </w:rPr>
        <w:t>5.2  联系测量</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85</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"_Toc13788" </w:instrText>
      </w:r>
      <w:r>
        <w:fldChar w:fldCharType="separate"/>
      </w:r>
      <w:r>
        <w:rPr>
          <w:rFonts w:hint="eastAsia" w:hAnsi="宋体"/>
          <w:color w:val="000000" w:themeColor="text1"/>
          <w14:textFill>
            <w14:solidFill>
              <w14:schemeClr w14:val="tx1"/>
            </w14:solidFill>
          </w14:textFill>
        </w:rPr>
        <w:t>5.3  地下控制测量</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85</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"_Toc9577" </w:instrText>
      </w:r>
      <w:r>
        <w:fldChar w:fldCharType="separate"/>
      </w:r>
      <w:r>
        <w:rPr>
          <w:rFonts w:hint="eastAsia" w:hAnsi="宋体"/>
          <w:color w:val="000000" w:themeColor="text1"/>
          <w14:textFill>
            <w14:solidFill>
              <w14:schemeClr w14:val="tx1"/>
            </w14:solidFill>
          </w14:textFill>
        </w:rPr>
        <w:t>5.4  施工测量</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85</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"_Toc14821" </w:instrText>
      </w:r>
      <w:r>
        <w:fldChar w:fldCharType="separate"/>
      </w:r>
      <w:r>
        <w:rPr>
          <w:rFonts w:hint="eastAsia" w:hAnsi="宋体"/>
          <w:color w:val="000000" w:themeColor="text1"/>
          <w14:textFill>
            <w14:solidFill>
              <w14:schemeClr w14:val="tx1"/>
            </w14:solidFill>
          </w14:textFill>
        </w:rPr>
        <w:t>5.5  贯通测量</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85</w:t>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"_Toc31995" </w:instrText>
      </w:r>
      <w:r>
        <w:fldChar w:fldCharType="separate"/>
      </w:r>
      <w:r>
        <w:rPr>
          <w:rFonts w:hint="eastAsia"/>
          <w:color w:val="000000" w:themeColor="text1"/>
          <w:szCs w:val="28"/>
          <w14:textFill>
            <w14:solidFill>
              <w14:schemeClr w14:val="tx1"/>
            </w14:solidFill>
          </w14:textFill>
        </w:rPr>
        <w:t>6 地下水控制</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86</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"_Toc29768" </w:instrText>
      </w:r>
      <w:r>
        <w:fldChar w:fldCharType="separate"/>
      </w:r>
      <w:r>
        <w:rPr>
          <w:rFonts w:hint="eastAsia" w:hAnsi="宋体"/>
          <w:color w:val="000000" w:themeColor="text1"/>
          <w14:textFill>
            <w14:solidFill>
              <w14:schemeClr w14:val="tx1"/>
            </w14:solidFill>
          </w14:textFill>
        </w:rPr>
        <w:t>6.1  一般规定</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86</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"_Toc17955" </w:instrText>
      </w:r>
      <w:r>
        <w:fldChar w:fldCharType="separate"/>
      </w:r>
      <w:r>
        <w:rPr>
          <w:rFonts w:hint="eastAsia" w:hAnsi="宋体"/>
          <w:color w:val="000000" w:themeColor="text1"/>
          <w14:textFill>
            <w14:solidFill>
              <w14:schemeClr w14:val="tx1"/>
            </w14:solidFill>
          </w14:textFill>
        </w:rPr>
        <w:t>6.2  降、排水</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87</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"_Toc31999" </w:instrText>
      </w:r>
      <w:r>
        <w:fldChar w:fldCharType="separate"/>
      </w:r>
      <w:r>
        <w:rPr>
          <w:rFonts w:hint="eastAsia"/>
          <w:bCs/>
          <w:color w:val="000000" w:themeColor="text1"/>
          <w14:textFill>
            <w14:solidFill>
              <w14:schemeClr w14:val="tx1"/>
            </w14:solidFill>
          </w14:textFill>
        </w:rPr>
        <w:t>6.3  全断面超前深孔注浆</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88</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"_Toc6165" </w:instrText>
      </w:r>
      <w:r>
        <w:fldChar w:fldCharType="separate"/>
      </w:r>
      <w:r>
        <w:rPr>
          <w:rFonts w:hint="eastAsia"/>
          <w:bCs/>
          <w:color w:val="000000" w:themeColor="text1"/>
          <w14:textFill>
            <w14:solidFill>
              <w14:schemeClr w14:val="tx1"/>
            </w14:solidFill>
          </w14:textFill>
        </w:rPr>
        <w:t>6.4  水平旋喷注浆止水</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88</w:t>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"_Toc11292" </w:instrText>
      </w:r>
      <w:r>
        <w:fldChar w:fldCharType="separate"/>
      </w:r>
      <w:r>
        <w:rPr>
          <w:rFonts w:hint="eastAsia"/>
          <w:color w:val="000000" w:themeColor="text1"/>
          <w:szCs w:val="28"/>
          <w14:textFill>
            <w14:solidFill>
              <w14:schemeClr w14:val="tx1"/>
            </w14:solidFill>
          </w14:textFill>
        </w:rPr>
        <w:t>7 超前预支护和地层加固</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89</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"_Toc3040" </w:instrText>
      </w:r>
      <w:r>
        <w:fldChar w:fldCharType="separate"/>
      </w:r>
      <w:r>
        <w:rPr>
          <w:rFonts w:hint="eastAsia" w:hAnsi="宋体"/>
          <w:color w:val="000000" w:themeColor="text1"/>
          <w14:textFill>
            <w14:solidFill>
              <w14:schemeClr w14:val="tx1"/>
            </w14:solidFill>
          </w14:textFill>
        </w:rPr>
        <w:t>7.1  一般规定</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89</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"_Toc20810" </w:instrText>
      </w:r>
      <w:r>
        <w:fldChar w:fldCharType="separate"/>
      </w:r>
      <w:r>
        <w:rPr>
          <w:rFonts w:hint="eastAsia" w:hAnsi="宋体"/>
          <w:color w:val="000000" w:themeColor="text1"/>
          <w14:textFill>
            <w14:solidFill>
              <w14:schemeClr w14:val="tx1"/>
            </w14:solidFill>
          </w14:textFill>
        </w:rPr>
        <w:t>7.2  超前小导管支护</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89</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"_Toc8986" </w:instrText>
      </w:r>
      <w:r>
        <w:fldChar w:fldCharType="separate"/>
      </w:r>
      <w:r>
        <w:rPr>
          <w:rFonts w:hint="eastAsia" w:hAnsi="宋体"/>
          <w:color w:val="000000" w:themeColor="text1"/>
          <w14:textFill>
            <w14:solidFill>
              <w14:schemeClr w14:val="tx1"/>
            </w14:solidFill>
          </w14:textFill>
        </w:rPr>
        <w:t>7.3  管棚支护</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90</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"_Toc5873" </w:instrText>
      </w:r>
      <w:r>
        <w:fldChar w:fldCharType="separate"/>
      </w:r>
      <w:r>
        <w:rPr>
          <w:rFonts w:hint="eastAsia" w:hAnsi="宋体"/>
          <w:color w:val="000000" w:themeColor="text1"/>
          <w14:textFill>
            <w14:solidFill>
              <w14:schemeClr w14:val="tx1"/>
            </w14:solidFill>
          </w14:textFill>
        </w:rPr>
        <w:t>7.4  管幕支护</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91</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"_Toc20802" </w:instrText>
      </w:r>
      <w:r>
        <w:fldChar w:fldCharType="separate"/>
      </w:r>
      <w:r>
        <w:rPr>
          <w:rFonts w:hint="eastAsia" w:hAnsi="宋体"/>
          <w:color w:val="000000" w:themeColor="text1"/>
          <w14:textFill>
            <w14:solidFill>
              <w14:schemeClr w14:val="tx1"/>
            </w14:solidFill>
          </w14:textFill>
        </w:rPr>
        <w:t>7.5  深孔注浆加固</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92</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"_Toc11198" </w:instrText>
      </w:r>
      <w:r>
        <w:fldChar w:fldCharType="separate"/>
      </w:r>
      <w:r>
        <w:rPr>
          <w:rFonts w:hint="eastAsia" w:hAnsi="宋体"/>
          <w:color w:val="000000" w:themeColor="text1"/>
          <w14:textFill>
            <w14:solidFill>
              <w14:schemeClr w14:val="tx1"/>
            </w14:solidFill>
          </w14:textFill>
        </w:rPr>
        <w:t>7.6  水平旋喷注浆加固</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93</w:t>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"_Toc24367" </w:instrText>
      </w:r>
      <w:r>
        <w:fldChar w:fldCharType="separate"/>
      </w:r>
      <w:r>
        <w:rPr>
          <w:rFonts w:hint="eastAsia"/>
          <w:color w:val="000000" w:themeColor="text1"/>
          <w:szCs w:val="28"/>
          <w14:textFill>
            <w14:solidFill>
              <w14:schemeClr w14:val="tx1"/>
            </w14:solidFill>
          </w14:textFill>
        </w:rPr>
        <w:t>8 原材料和构配件</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94</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"_Toc7836" </w:instrText>
      </w:r>
      <w:r>
        <w:fldChar w:fldCharType="separate"/>
      </w:r>
      <w:r>
        <w:rPr>
          <w:rFonts w:hint="eastAsia" w:hAnsi="宋体"/>
          <w:color w:val="000000" w:themeColor="text1"/>
          <w14:textFill>
            <w14:solidFill>
              <w14:schemeClr w14:val="tx1"/>
            </w14:solidFill>
          </w14:textFill>
        </w:rPr>
        <w:t>8.1  一般规定</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94</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"_Toc22479" </w:instrText>
      </w:r>
      <w:r>
        <w:fldChar w:fldCharType="separate"/>
      </w:r>
      <w:r>
        <w:rPr>
          <w:rFonts w:hint="eastAsia" w:hAnsi="宋体"/>
          <w:color w:val="000000" w:themeColor="text1"/>
          <w14:textFill>
            <w14:solidFill>
              <w14:schemeClr w14:val="tx1"/>
            </w14:solidFill>
          </w14:textFill>
        </w:rPr>
        <w:t>8.2  格栅钢架、钢筋网制作</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94</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"_Toc30525" </w:instrText>
      </w:r>
      <w:r>
        <w:fldChar w:fldCharType="separate"/>
      </w:r>
      <w:r>
        <w:rPr>
          <w:rFonts w:hint="eastAsia" w:hAnsi="宋体"/>
          <w:color w:val="000000" w:themeColor="text1"/>
          <w14:textFill>
            <w14:solidFill>
              <w14:schemeClr w14:val="tx1"/>
            </w14:solidFill>
          </w14:textFill>
        </w:rPr>
        <w:t>8.3  钢筋加工</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94</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"_Toc5106" </w:instrText>
      </w:r>
      <w:r>
        <w:fldChar w:fldCharType="separate"/>
      </w:r>
      <w:r>
        <w:rPr>
          <w:color w:val="000000" w:themeColor="text1"/>
          <w14:textFill>
            <w14:solidFill>
              <w14:schemeClr w14:val="tx1"/>
            </w14:solidFill>
          </w14:textFill>
        </w:rPr>
        <w:t>8.4</w:t>
      </w:r>
      <w:r>
        <w:rPr>
          <w:rFonts w:hint="eastAsia" w:hAnsi="宋体"/>
          <w:color w:val="000000" w:themeColor="text1"/>
          <w14:textFill>
            <w14:solidFill>
              <w14:schemeClr w14:val="tx1"/>
            </w14:solidFill>
          </w14:textFill>
        </w:rPr>
        <w:t xml:space="preserve">  喷射混凝土</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94</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"_Toc23684" </w:instrText>
      </w:r>
      <w:r>
        <w:fldChar w:fldCharType="separate"/>
      </w:r>
      <w:r>
        <w:rPr>
          <w:rFonts w:hint="eastAsia" w:hAnsi="宋体"/>
          <w:color w:val="000000" w:themeColor="text1"/>
          <w14:textFill>
            <w14:solidFill>
              <w14:schemeClr w14:val="tx1"/>
            </w14:solidFill>
          </w14:textFill>
        </w:rPr>
        <w:t>8.5  防水混凝土</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95</w:t>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"_Toc14256" </w:instrText>
      </w:r>
      <w:r>
        <w:fldChar w:fldCharType="separate"/>
      </w:r>
      <w:r>
        <w:rPr>
          <w:rFonts w:hint="eastAsia"/>
          <w:color w:val="000000" w:themeColor="text1"/>
          <w:szCs w:val="28"/>
          <w14:textFill>
            <w14:solidFill>
              <w14:schemeClr w14:val="tx1"/>
            </w14:solidFill>
          </w14:textFill>
        </w:rPr>
        <w:t>9 施工竖井</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96</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"_Toc5303" </w:instrText>
      </w:r>
      <w:r>
        <w:fldChar w:fldCharType="separate"/>
      </w:r>
      <w:r>
        <w:rPr>
          <w:rFonts w:hint="eastAsia" w:hAnsi="宋体"/>
          <w:color w:val="000000" w:themeColor="text1"/>
          <w14:textFill>
            <w14:solidFill>
              <w14:schemeClr w14:val="tx1"/>
            </w14:solidFill>
          </w14:textFill>
        </w:rPr>
        <w:t>9.1  一般规定</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96</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"_Toc19055" </w:instrText>
      </w:r>
      <w:r>
        <w:fldChar w:fldCharType="separate"/>
      </w:r>
      <w:r>
        <w:rPr>
          <w:rFonts w:hint="eastAsia" w:hAnsi="宋体"/>
          <w:color w:val="000000" w:themeColor="text1"/>
          <w14:textFill>
            <w14:solidFill>
              <w14:schemeClr w14:val="tx1"/>
            </w14:solidFill>
          </w14:textFill>
        </w:rPr>
        <w:t>9.2  土方开挖</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96</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"_Toc14732" </w:instrText>
      </w:r>
      <w:r>
        <w:fldChar w:fldCharType="separate"/>
      </w:r>
      <w:r>
        <w:rPr>
          <w:rFonts w:hint="eastAsia" w:hAnsi="宋体"/>
          <w:color w:val="000000" w:themeColor="text1"/>
          <w14:textFill>
            <w14:solidFill>
              <w14:schemeClr w14:val="tx1"/>
            </w14:solidFill>
          </w14:textFill>
        </w:rPr>
        <w:t>9.3  初期支护</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96</w:t>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"_Toc5971" </w:instrText>
      </w:r>
      <w:r>
        <w:fldChar w:fldCharType="separate"/>
      </w:r>
      <w:r>
        <w:rPr>
          <w:rFonts w:hint="eastAsia"/>
          <w:color w:val="000000" w:themeColor="text1"/>
          <w:szCs w:val="28"/>
          <w14:textFill>
            <w14:solidFill>
              <w14:schemeClr w14:val="tx1"/>
            </w14:solidFill>
          </w14:textFill>
        </w:rPr>
        <w:t>10 马头门</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98</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"_Toc10454" </w:instrText>
      </w:r>
      <w:r>
        <w:fldChar w:fldCharType="separate"/>
      </w:r>
      <w:r>
        <w:rPr>
          <w:rFonts w:hint="eastAsia" w:hAnsi="宋体"/>
          <w:color w:val="000000" w:themeColor="text1"/>
          <w14:textFill>
            <w14:solidFill>
              <w14:schemeClr w14:val="tx1"/>
            </w14:solidFill>
          </w14:textFill>
        </w:rPr>
        <w:t>10.1  一般规定</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98</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"_Toc12086" </w:instrText>
      </w:r>
      <w:r>
        <w:fldChar w:fldCharType="separate"/>
      </w:r>
      <w:r>
        <w:rPr>
          <w:rFonts w:hint="eastAsia" w:hAnsi="宋体"/>
          <w:color w:val="000000" w:themeColor="text1"/>
          <w14:textFill>
            <w14:solidFill>
              <w14:schemeClr w14:val="tx1"/>
            </w14:solidFill>
          </w14:textFill>
        </w:rPr>
        <w:t>10.2  竖井马头门</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98</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"_Toc30990" </w:instrText>
      </w:r>
      <w:r>
        <w:fldChar w:fldCharType="separate"/>
      </w:r>
      <w:r>
        <w:rPr>
          <w:rFonts w:hint="eastAsia" w:hAnsi="宋体"/>
          <w:color w:val="000000" w:themeColor="text1"/>
          <w14:textFill>
            <w14:solidFill>
              <w14:schemeClr w14:val="tx1"/>
            </w14:solidFill>
          </w14:textFill>
        </w:rPr>
        <w:t>10.3  横通道马头门</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99</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"_Toc7053" </w:instrText>
      </w:r>
      <w:r>
        <w:fldChar w:fldCharType="separate"/>
      </w:r>
      <w:r>
        <w:rPr>
          <w:rFonts w:hint="eastAsia" w:hAnsi="宋体"/>
          <w:color w:val="000000" w:themeColor="text1"/>
          <w14:textFill>
            <w14:solidFill>
              <w14:schemeClr w14:val="tx1"/>
            </w14:solidFill>
          </w14:textFill>
        </w:rPr>
        <w:t>10.4  盾构联络通道马头门</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99</w:t>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"_Toc12080" </w:instrText>
      </w:r>
      <w:r>
        <w:fldChar w:fldCharType="separate"/>
      </w:r>
      <w:r>
        <w:rPr>
          <w:rFonts w:hint="eastAsia"/>
          <w:color w:val="000000" w:themeColor="text1"/>
          <w:szCs w:val="28"/>
          <w14:textFill>
            <w14:solidFill>
              <w14:schemeClr w14:val="tx1"/>
            </w14:solidFill>
          </w14:textFill>
        </w:rPr>
        <w:t>11 隧道土方开挖</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101</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"_Toc20820" </w:instrText>
      </w:r>
      <w:r>
        <w:fldChar w:fldCharType="separate"/>
      </w:r>
      <w:r>
        <w:rPr>
          <w:rFonts w:hint="eastAsia" w:hAnsi="宋体"/>
          <w:color w:val="000000" w:themeColor="text1"/>
          <w14:textFill>
            <w14:solidFill>
              <w14:schemeClr w14:val="tx1"/>
            </w14:solidFill>
          </w14:textFill>
        </w:rPr>
        <w:t>11.1  一般规定</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101</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"_Toc10352" </w:instrText>
      </w:r>
      <w:r>
        <w:fldChar w:fldCharType="separate"/>
      </w:r>
      <w:r>
        <w:rPr>
          <w:rFonts w:hint="eastAsia" w:hAnsi="宋体"/>
          <w:color w:val="000000" w:themeColor="text1"/>
          <w14:textFill>
            <w14:solidFill>
              <w14:schemeClr w14:val="tx1"/>
            </w14:solidFill>
          </w14:textFill>
        </w:rPr>
        <w:t>11.2  区间隧道开挖</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103</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"_Toc11381" </w:instrText>
      </w:r>
      <w:r>
        <w:fldChar w:fldCharType="separate"/>
      </w:r>
      <w:r>
        <w:rPr>
          <w:rFonts w:hint="eastAsia" w:hAnsi="宋体"/>
          <w:color w:val="000000" w:themeColor="text1"/>
          <w14:textFill>
            <w14:solidFill>
              <w14:schemeClr w14:val="tx1"/>
            </w14:solidFill>
          </w14:textFill>
        </w:rPr>
        <w:t>11.3  暗挖车站开挖</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104</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"_Toc32396" </w:instrText>
      </w:r>
      <w:r>
        <w:fldChar w:fldCharType="separate"/>
      </w:r>
      <w:r>
        <w:rPr>
          <w:rFonts w:hint="eastAsia" w:hAnsi="宋体"/>
          <w:color w:val="000000" w:themeColor="text1"/>
          <w14:textFill>
            <w14:solidFill>
              <w14:schemeClr w14:val="tx1"/>
            </w14:solidFill>
          </w14:textFill>
        </w:rPr>
        <w:t>11.4  附属结构开挖</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112</w:t>
      </w:r>
    </w:p>
    <w:p>
      <w:pPr>
        <w:pStyle w:val="10"/>
        <w:tabs>
          <w:tab w:val="right" w:leader="dot" w:pos="8306"/>
        </w:tabs>
        <w:rPr>
          <w:color w:val="000000" w:themeColor="text1"/>
          <w14:textFill>
            <w14:solidFill>
              <w14:schemeClr w14:val="tx1"/>
            </w14:solidFill>
          </w14:textFill>
        </w:rPr>
      </w:pPr>
      <w:r>
        <w:fldChar w:fldCharType="begin"/>
      </w:r>
      <w:r>
        <w:instrText xml:space="preserve"> HYPERLINK \l "_Toc9165" </w:instrText>
      </w:r>
      <w:r>
        <w:fldChar w:fldCharType="separate"/>
      </w:r>
      <w:r>
        <w:rPr>
          <w:rFonts w:hint="eastAsia"/>
          <w:color w:val="000000" w:themeColor="text1"/>
          <w:szCs w:val="28"/>
          <w14:textFill>
            <w14:solidFill>
              <w14:schemeClr w14:val="tx1"/>
            </w14:solidFill>
          </w14:textFill>
        </w:rPr>
        <w:t>12 隧道初期支护</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115</w:t>
      </w:r>
    </w:p>
    <w:p>
      <w:pPr>
        <w:pStyle w:val="11"/>
        <w:tabs>
          <w:tab w:val="right" w:leader="dot" w:pos="8306"/>
        </w:tabs>
        <w:rPr>
          <w:color w:val="000000" w:themeColor="text1"/>
          <w14:textFill>
            <w14:solidFill>
              <w14:schemeClr w14:val="tx1"/>
            </w14:solidFill>
          </w14:textFill>
        </w:rPr>
      </w:pPr>
      <w:r>
        <w:fldChar w:fldCharType="begin"/>
      </w:r>
      <w:r>
        <w:instrText xml:space="preserve"> HYPERLINK \l "_Toc24333" </w:instrText>
      </w:r>
      <w:r>
        <w:fldChar w:fldCharType="separate"/>
      </w:r>
      <w:r>
        <w:rPr>
          <w:rFonts w:hint="eastAsia" w:hAnsi="宋体"/>
          <w:color w:val="000000" w:themeColor="text1"/>
          <w14:textFill>
            <w14:solidFill>
              <w14:schemeClr w14:val="tx1"/>
            </w14:solidFill>
          </w14:textFill>
        </w:rPr>
        <w:t>12.1  一般规定</w:t>
      </w:r>
      <w:r>
        <w:rPr>
          <w:color w:val="000000" w:themeColor="text1"/>
          <w14:textFill>
            <w14:solidFill>
              <w14:schemeClr w14:val="tx1"/>
            </w14:solidFill>
          </w14:textFill>
        </w:rPr>
        <w:tab/>
      </w:r>
      <w:r>
        <w:rPr>
          <w:color w:val="000000" w:themeColor="text1"/>
          <w14:textFill>
            <w14:solidFill>
              <w14:schemeClr w14:val="tx1"/>
            </w14:solidFill>
          </w14:textFill>
        </w:rPr>
        <w:fldChar w:fldCharType="end"/>
      </w:r>
      <w:r>
        <w:rPr>
          <w:rFonts w:hint="eastAsia"/>
          <w:color w:val="000000" w:themeColor="text1"/>
          <w14:textFill>
            <w14:solidFill>
              <w14:schemeClr w14:val="tx1"/>
            </w14:solidFill>
          </w14:textFill>
        </w:rPr>
        <w:t>115</w:t>
      </w:r>
    </w:p>
    <w:p>
      <w:pPr>
        <w:ind w:firstLine="420" w:firstLineChars="200"/>
        <w:rPr>
          <w:color w:val="000000" w:themeColor="text1"/>
          <w:szCs w:val="28"/>
          <w14:textFill>
            <w14:solidFill>
              <w14:schemeClr w14:val="tx1"/>
            </w14:solidFill>
          </w14:textFill>
        </w:rPr>
      </w:pPr>
      <w:r>
        <w:fldChar w:fldCharType="begin"/>
      </w:r>
      <w:r>
        <w:instrText xml:space="preserve"> HYPERLINK \l "_Toc7157" </w:instrText>
      </w:r>
      <w:r>
        <w:fldChar w:fldCharType="separate"/>
      </w:r>
      <w:r>
        <w:rPr>
          <w:color w:val="000000" w:themeColor="text1"/>
          <w:szCs w:val="28"/>
          <w14:textFill>
            <w14:solidFill>
              <w14:schemeClr w14:val="tx1"/>
            </w14:solidFill>
          </w14:textFill>
        </w:rPr>
        <w:t>12.2  格栅钢架、连接筋和钢筋网安装</w:t>
      </w:r>
      <w:r>
        <w:rPr>
          <w:rFonts w:ascii="Arial" w:hAnsi="Arial" w:cs="Arial"/>
          <w:color w:val="000000" w:themeColor="text1"/>
          <w:szCs w:val="28"/>
          <w14:textFill>
            <w14:solidFill>
              <w14:schemeClr w14:val="tx1"/>
            </w14:solidFill>
          </w14:textFill>
        </w:rPr>
        <w:t>………………………………………………</w:t>
      </w:r>
      <w:r>
        <w:rPr>
          <w:rFonts w:ascii="Arial" w:hAnsi="Arial" w:cs="Arial"/>
          <w:color w:val="000000" w:themeColor="text1"/>
          <w:szCs w:val="28"/>
          <w14:textFill>
            <w14:solidFill>
              <w14:schemeClr w14:val="tx1"/>
            </w14:solidFill>
          </w14:textFill>
        </w:rPr>
        <w:fldChar w:fldCharType="end"/>
      </w:r>
      <w:r>
        <w:rPr>
          <w:rFonts w:ascii="Arial" w:hAnsi="Arial" w:cs="Arial"/>
          <w:color w:val="000000" w:themeColor="text1"/>
          <w:szCs w:val="28"/>
          <w14:textFill>
            <w14:solidFill>
              <w14:schemeClr w14:val="tx1"/>
            </w14:solidFill>
          </w14:textFill>
        </w:rPr>
        <w:t>…</w:t>
      </w:r>
      <w:r>
        <w:rPr>
          <w:rFonts w:hint="eastAsia"/>
          <w:color w:val="000000" w:themeColor="text1"/>
          <w:szCs w:val="28"/>
          <w14:textFill>
            <w14:solidFill>
              <w14:schemeClr w14:val="tx1"/>
            </w14:solidFill>
          </w14:textFill>
        </w:rPr>
        <w:t>115</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"_Toc7157" </w:instrText>
      </w:r>
      <w:r>
        <w:fldChar w:fldCharType="separate"/>
      </w:r>
      <w:r>
        <w:rPr>
          <w:color w:val="000000" w:themeColor="text1"/>
          <w:szCs w:val="28"/>
          <w14:textFill>
            <w14:solidFill>
              <w14:schemeClr w14:val="tx1"/>
            </w14:solidFill>
          </w14:textFill>
        </w:rPr>
        <w:t>12.3  锁脚锚管（杆）</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115</w:t>
      </w:r>
    </w:p>
    <w:p>
      <w:pPr>
        <w:ind w:firstLine="420" w:firstLineChars="200"/>
        <w:rPr>
          <w:color w:val="000000" w:themeColor="text1"/>
          <w:szCs w:val="28"/>
          <w14:textFill>
            <w14:solidFill>
              <w14:schemeClr w14:val="tx1"/>
            </w14:solidFill>
          </w14:textFill>
        </w:rPr>
      </w:pPr>
      <w:r>
        <w:fldChar w:fldCharType="begin"/>
      </w:r>
      <w:r>
        <w:instrText xml:space="preserve"> HYPERLINK \l "_Toc7157" </w:instrText>
      </w:r>
      <w:r>
        <w:fldChar w:fldCharType="separate"/>
      </w:r>
      <w:r>
        <w:rPr>
          <w:color w:val="000000" w:themeColor="text1"/>
          <w:szCs w:val="28"/>
          <w14:textFill>
            <w14:solidFill>
              <w14:schemeClr w14:val="tx1"/>
            </w14:solidFill>
          </w14:textFill>
        </w:rPr>
        <w:t>12.4  喷射混凝土施工</w:t>
      </w:r>
      <w:r>
        <w:rPr>
          <w:rFonts w:ascii="Arial" w:hAnsi="Arial" w:cs="Arial"/>
          <w:color w:val="000000" w:themeColor="text1"/>
          <w:szCs w:val="28"/>
          <w14:textFill>
            <w14:solidFill>
              <w14:schemeClr w14:val="tx1"/>
            </w14:solidFill>
          </w14:textFill>
        </w:rPr>
        <w:t>………………………………………………</w:t>
      </w:r>
      <w:r>
        <w:rPr>
          <w:rFonts w:ascii="Arial" w:hAnsi="Arial" w:cs="Arial"/>
          <w:color w:val="000000" w:themeColor="text1"/>
          <w:szCs w:val="28"/>
          <w14:textFill>
            <w14:solidFill>
              <w14:schemeClr w14:val="tx1"/>
            </w14:solidFill>
          </w14:textFill>
        </w:rPr>
        <w:fldChar w:fldCharType="end"/>
      </w:r>
      <w:r>
        <w:rPr>
          <w:rFonts w:ascii="Arial" w:hAnsi="Arial" w:cs="Arial"/>
          <w:color w:val="000000" w:themeColor="text1"/>
          <w:szCs w:val="28"/>
          <w14:textFill>
            <w14:solidFill>
              <w14:schemeClr w14:val="tx1"/>
            </w14:solidFill>
          </w14:textFill>
        </w:rPr>
        <w:t>……………………</w:t>
      </w:r>
      <w:r>
        <w:rPr>
          <w:rFonts w:hint="eastAsia"/>
          <w:color w:val="000000" w:themeColor="text1"/>
          <w:szCs w:val="28"/>
          <w14:textFill>
            <w14:solidFill>
              <w14:schemeClr w14:val="tx1"/>
            </w14:solidFill>
          </w14:textFill>
        </w:rPr>
        <w:t xml:space="preserve"> 115</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"_Toc23993" </w:instrText>
      </w:r>
      <w:r>
        <w:fldChar w:fldCharType="separate"/>
      </w:r>
      <w:r>
        <w:rPr>
          <w:color w:val="000000" w:themeColor="text1"/>
          <w:szCs w:val="28"/>
          <w14:textFill>
            <w14:solidFill>
              <w14:schemeClr w14:val="tx1"/>
            </w14:solidFill>
          </w14:textFill>
        </w:rPr>
        <w:t>12.5  区间隧道初期支护</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116</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"_Toc8614" </w:instrText>
      </w:r>
      <w:r>
        <w:fldChar w:fldCharType="separate"/>
      </w:r>
      <w:r>
        <w:rPr>
          <w:color w:val="000000" w:themeColor="text1"/>
          <w:szCs w:val="28"/>
          <w14:textFill>
            <w14:solidFill>
              <w14:schemeClr w14:val="tx1"/>
            </w14:solidFill>
          </w14:textFill>
        </w:rPr>
        <w:t>12.6  暗挖车站初期支护</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116</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"_Toc8740" </w:instrText>
      </w:r>
      <w:r>
        <w:fldChar w:fldCharType="separate"/>
      </w:r>
      <w:r>
        <w:rPr>
          <w:color w:val="000000" w:themeColor="text1"/>
          <w:szCs w:val="28"/>
          <w14:textFill>
            <w14:solidFill>
              <w14:schemeClr w14:val="tx1"/>
            </w14:solidFill>
          </w14:textFill>
        </w:rPr>
        <w:t>12.7  附属结构初期支护</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118</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"_Toc17421" </w:instrText>
      </w:r>
      <w:r>
        <w:fldChar w:fldCharType="separate"/>
      </w:r>
      <w:r>
        <w:rPr>
          <w:color w:val="000000" w:themeColor="text1"/>
          <w:szCs w:val="28"/>
          <w14:textFill>
            <w14:solidFill>
              <w14:schemeClr w14:val="tx1"/>
            </w14:solidFill>
          </w14:textFill>
        </w:rPr>
        <w:t>12.8  初衬背后填充注浆</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118</w:t>
      </w:r>
    </w:p>
    <w:p>
      <w:pPr>
        <w:pStyle w:val="10"/>
        <w:tabs>
          <w:tab w:val="right" w:leader="dot" w:pos="8306"/>
        </w:tabs>
        <w:rPr>
          <w:color w:val="000000" w:themeColor="text1"/>
          <w:szCs w:val="28"/>
          <w14:textFill>
            <w14:solidFill>
              <w14:schemeClr w14:val="tx1"/>
            </w14:solidFill>
          </w14:textFill>
        </w:rPr>
      </w:pPr>
      <w:r>
        <w:fldChar w:fldCharType="begin"/>
      </w:r>
      <w:r>
        <w:instrText xml:space="preserve"> HYPERLINK \l "_Toc7064" </w:instrText>
      </w:r>
      <w:r>
        <w:fldChar w:fldCharType="separate"/>
      </w:r>
      <w:r>
        <w:rPr>
          <w:color w:val="000000" w:themeColor="text1"/>
          <w:szCs w:val="28"/>
          <w14:textFill>
            <w14:solidFill>
              <w14:schemeClr w14:val="tx1"/>
            </w14:solidFill>
          </w14:textFill>
        </w:rPr>
        <w:t>13 二次衬砌</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119</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"_Toc9940" </w:instrText>
      </w:r>
      <w:r>
        <w:fldChar w:fldCharType="separate"/>
      </w:r>
      <w:r>
        <w:rPr>
          <w:color w:val="000000" w:themeColor="text1"/>
          <w:szCs w:val="28"/>
          <w14:textFill>
            <w14:solidFill>
              <w14:schemeClr w14:val="tx1"/>
            </w14:solidFill>
          </w14:textFill>
        </w:rPr>
        <w:t>13.1  一般规定</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119</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"_Toc12922" </w:instrText>
      </w:r>
      <w:r>
        <w:fldChar w:fldCharType="separate"/>
      </w:r>
      <w:r>
        <w:rPr>
          <w:color w:val="000000" w:themeColor="text1"/>
          <w:szCs w:val="28"/>
          <w14:textFill>
            <w14:solidFill>
              <w14:schemeClr w14:val="tx1"/>
            </w14:solidFill>
          </w14:textFill>
        </w:rPr>
        <w:t>13.2  模板</w:t>
      </w:r>
      <w:r>
        <w:rPr>
          <w:rFonts w:hint="eastAsia"/>
          <w:color w:val="000000" w:themeColor="text1"/>
          <w:szCs w:val="28"/>
          <w14:textFill>
            <w14:solidFill>
              <w14:schemeClr w14:val="tx1"/>
            </w14:solidFill>
          </w14:textFill>
        </w:rPr>
        <w:t>及</w:t>
      </w:r>
      <w:r>
        <w:rPr>
          <w:color w:val="000000" w:themeColor="text1"/>
          <w:szCs w:val="28"/>
          <w14:textFill>
            <w14:solidFill>
              <w14:schemeClr w14:val="tx1"/>
            </w14:solidFill>
          </w14:textFill>
        </w:rPr>
        <w:t>支架</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119</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"_Toc7844" </w:instrText>
      </w:r>
      <w:r>
        <w:fldChar w:fldCharType="separate"/>
      </w:r>
      <w:r>
        <w:rPr>
          <w:color w:val="000000" w:themeColor="text1"/>
          <w:szCs w:val="28"/>
          <w14:textFill>
            <w14:solidFill>
              <w14:schemeClr w14:val="tx1"/>
            </w14:solidFill>
          </w14:textFill>
        </w:rPr>
        <w:t>13.3  隧道模板</w:t>
      </w:r>
      <w:r>
        <w:rPr>
          <w:rFonts w:hint="eastAsia"/>
          <w:color w:val="000000" w:themeColor="text1"/>
          <w:szCs w:val="28"/>
          <w14:textFill>
            <w14:solidFill>
              <w14:schemeClr w14:val="tx1"/>
            </w14:solidFill>
          </w14:textFill>
        </w:rPr>
        <w:t>支护</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119</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"_Toc10051" </w:instrText>
      </w:r>
      <w:r>
        <w:fldChar w:fldCharType="separate"/>
      </w:r>
      <w:r>
        <w:rPr>
          <w:color w:val="000000" w:themeColor="text1"/>
          <w:szCs w:val="28"/>
          <w14:textFill>
            <w14:solidFill>
              <w14:schemeClr w14:val="tx1"/>
            </w14:solidFill>
          </w14:textFill>
        </w:rPr>
        <w:t xml:space="preserve">13.4  </w:t>
      </w:r>
      <w:r>
        <w:rPr>
          <w:rFonts w:hint="eastAsia"/>
          <w:color w:val="000000" w:themeColor="text1"/>
          <w:szCs w:val="28"/>
          <w14:textFill>
            <w14:solidFill>
              <w14:schemeClr w14:val="tx1"/>
            </w14:solidFill>
          </w14:textFill>
        </w:rPr>
        <w:t>钢筋安装</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119</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"_Toc10051" </w:instrText>
      </w:r>
      <w:r>
        <w:fldChar w:fldCharType="separate"/>
      </w:r>
      <w:r>
        <w:rPr>
          <w:color w:val="000000" w:themeColor="text1"/>
          <w:szCs w:val="28"/>
          <w14:textFill>
            <w14:solidFill>
              <w14:schemeClr w14:val="tx1"/>
            </w14:solidFill>
          </w14:textFill>
        </w:rPr>
        <w:t>13.</w:t>
      </w:r>
      <w:r>
        <w:rPr>
          <w:rFonts w:hint="eastAsia"/>
          <w:color w:val="000000" w:themeColor="text1"/>
          <w:szCs w:val="28"/>
          <w14:textFill>
            <w14:solidFill>
              <w14:schemeClr w14:val="tx1"/>
            </w14:solidFill>
          </w14:textFill>
        </w:rPr>
        <w:t>5</w:t>
      </w:r>
      <w:r>
        <w:rPr>
          <w:color w:val="000000" w:themeColor="text1"/>
          <w:szCs w:val="28"/>
          <w14:textFill>
            <w14:solidFill>
              <w14:schemeClr w14:val="tx1"/>
            </w14:solidFill>
          </w14:textFill>
        </w:rPr>
        <w:t xml:space="preserve">  混凝土浇筑</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119</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"_Toc30401" </w:instrText>
      </w:r>
      <w:r>
        <w:fldChar w:fldCharType="separate"/>
      </w:r>
      <w:r>
        <w:rPr>
          <w:color w:val="000000" w:themeColor="text1"/>
          <w:szCs w:val="28"/>
          <w14:textFill>
            <w14:solidFill>
              <w14:schemeClr w14:val="tx1"/>
            </w14:solidFill>
          </w14:textFill>
        </w:rPr>
        <w:t>13.</w:t>
      </w:r>
      <w:r>
        <w:rPr>
          <w:rFonts w:hint="eastAsia"/>
          <w:color w:val="000000" w:themeColor="text1"/>
          <w:szCs w:val="28"/>
          <w14:textFill>
            <w14:solidFill>
              <w14:schemeClr w14:val="tx1"/>
            </w14:solidFill>
          </w14:textFill>
        </w:rPr>
        <w:t>6</w:t>
      </w:r>
      <w:r>
        <w:rPr>
          <w:color w:val="000000" w:themeColor="text1"/>
          <w:szCs w:val="28"/>
          <w14:textFill>
            <w14:solidFill>
              <w14:schemeClr w14:val="tx1"/>
            </w14:solidFill>
          </w14:textFill>
        </w:rPr>
        <w:t xml:space="preserve">  二衬背后回填注浆</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119</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"_Toc6694" </w:instrText>
      </w:r>
      <w:r>
        <w:fldChar w:fldCharType="separate"/>
      </w:r>
      <w:r>
        <w:rPr>
          <w:color w:val="000000" w:themeColor="text1"/>
          <w:szCs w:val="28"/>
          <w14:textFill>
            <w14:solidFill>
              <w14:schemeClr w14:val="tx1"/>
            </w14:solidFill>
          </w14:textFill>
        </w:rPr>
        <w:t>13.</w:t>
      </w:r>
      <w:r>
        <w:rPr>
          <w:rFonts w:hint="eastAsia"/>
          <w:color w:val="000000" w:themeColor="text1"/>
          <w:szCs w:val="28"/>
          <w14:textFill>
            <w14:solidFill>
              <w14:schemeClr w14:val="tx1"/>
            </w14:solidFill>
          </w14:textFill>
        </w:rPr>
        <w:t>7</w:t>
      </w:r>
      <w:r>
        <w:rPr>
          <w:color w:val="000000" w:themeColor="text1"/>
          <w:szCs w:val="28"/>
          <w14:textFill>
            <w14:solidFill>
              <w14:schemeClr w14:val="tx1"/>
            </w14:solidFill>
          </w14:textFill>
        </w:rPr>
        <w:t xml:space="preserve">  临时中隔壁（支撑）拆除和体系转换</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119</w:t>
      </w:r>
    </w:p>
    <w:p>
      <w:pPr>
        <w:pStyle w:val="10"/>
        <w:tabs>
          <w:tab w:val="right" w:leader="dot" w:pos="8306"/>
        </w:tabs>
        <w:rPr>
          <w:color w:val="000000" w:themeColor="text1"/>
          <w:szCs w:val="28"/>
          <w14:textFill>
            <w14:solidFill>
              <w14:schemeClr w14:val="tx1"/>
            </w14:solidFill>
          </w14:textFill>
        </w:rPr>
      </w:pPr>
      <w:r>
        <w:fldChar w:fldCharType="begin"/>
      </w:r>
      <w:r>
        <w:instrText xml:space="preserve"> HYPERLINK \l "_Toc20617" </w:instrText>
      </w:r>
      <w:r>
        <w:fldChar w:fldCharType="separate"/>
      </w:r>
      <w:r>
        <w:rPr>
          <w:color w:val="000000" w:themeColor="text1"/>
          <w:szCs w:val="28"/>
          <w14:textFill>
            <w14:solidFill>
              <w14:schemeClr w14:val="tx1"/>
            </w14:solidFill>
          </w14:textFill>
        </w:rPr>
        <w:t>14 防水</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121</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"_Toc2333" </w:instrText>
      </w:r>
      <w:r>
        <w:fldChar w:fldCharType="separate"/>
      </w:r>
      <w:r>
        <w:rPr>
          <w:color w:val="000000" w:themeColor="text1"/>
          <w:szCs w:val="28"/>
          <w14:textFill>
            <w14:solidFill>
              <w14:schemeClr w14:val="tx1"/>
            </w14:solidFill>
          </w14:textFill>
        </w:rPr>
        <w:t>14.1  一般规定</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121</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"_Toc21464" </w:instrText>
      </w:r>
      <w:r>
        <w:fldChar w:fldCharType="separate"/>
      </w:r>
      <w:r>
        <w:rPr>
          <w:color w:val="000000" w:themeColor="text1"/>
          <w:szCs w:val="28"/>
          <w14:textFill>
            <w14:solidFill>
              <w14:schemeClr w14:val="tx1"/>
            </w14:solidFill>
          </w14:textFill>
        </w:rPr>
        <w:t>14.2  卷材防水层</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121</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"_Toc16181" </w:instrText>
      </w:r>
      <w:r>
        <w:fldChar w:fldCharType="separate"/>
      </w:r>
      <w:r>
        <w:rPr>
          <w:color w:val="000000" w:themeColor="text1"/>
          <w:szCs w:val="28"/>
          <w14:textFill>
            <w14:solidFill>
              <w14:schemeClr w14:val="tx1"/>
            </w14:solidFill>
          </w14:textFill>
        </w:rPr>
        <w:t>14.3  塑料板防水层</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121</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"_Toc24480" </w:instrText>
      </w:r>
      <w:r>
        <w:fldChar w:fldCharType="separate"/>
      </w:r>
      <w:r>
        <w:rPr>
          <w:color w:val="000000" w:themeColor="text1"/>
          <w:szCs w:val="28"/>
          <w14:textFill>
            <w14:solidFill>
              <w14:schemeClr w14:val="tx1"/>
            </w14:solidFill>
          </w14:textFill>
        </w:rPr>
        <w:t>14.4  水泥砂浆防水层</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121</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"_Toc18250" </w:instrText>
      </w:r>
      <w:r>
        <w:fldChar w:fldCharType="separate"/>
      </w:r>
      <w:r>
        <w:rPr>
          <w:color w:val="000000" w:themeColor="text1"/>
          <w:szCs w:val="28"/>
          <w14:textFill>
            <w14:solidFill>
              <w14:schemeClr w14:val="tx1"/>
            </w14:solidFill>
          </w14:textFill>
        </w:rPr>
        <w:t>14.5  涂膜防水层</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121</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"_Toc9274" </w:instrText>
      </w:r>
      <w:r>
        <w:fldChar w:fldCharType="separate"/>
      </w:r>
      <w:r>
        <w:rPr>
          <w:color w:val="000000" w:themeColor="text1"/>
          <w:szCs w:val="28"/>
          <w14:textFill>
            <w14:solidFill>
              <w14:schemeClr w14:val="tx1"/>
            </w14:solidFill>
          </w14:textFill>
        </w:rPr>
        <w:t>14.6  细部构造防水</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121</w:t>
      </w:r>
    </w:p>
    <w:p>
      <w:pPr>
        <w:pStyle w:val="10"/>
        <w:tabs>
          <w:tab w:val="right" w:leader="dot" w:pos="8306"/>
        </w:tabs>
        <w:rPr>
          <w:color w:val="000000" w:themeColor="text1"/>
          <w:szCs w:val="28"/>
          <w14:textFill>
            <w14:solidFill>
              <w14:schemeClr w14:val="tx1"/>
            </w14:solidFill>
          </w14:textFill>
        </w:rPr>
      </w:pPr>
      <w:r>
        <w:fldChar w:fldCharType="begin"/>
      </w:r>
      <w:r>
        <w:instrText xml:space="preserve"> HYPERLINK \l "_Toc7477" </w:instrText>
      </w:r>
      <w:r>
        <w:fldChar w:fldCharType="separate"/>
      </w:r>
      <w:r>
        <w:rPr>
          <w:color w:val="000000" w:themeColor="text1"/>
          <w:szCs w:val="28"/>
          <w14:textFill>
            <w14:solidFill>
              <w14:schemeClr w14:val="tx1"/>
            </w14:solidFill>
          </w14:textFill>
        </w:rPr>
        <w:t>15 监控量测</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122</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"_Toc30390" </w:instrText>
      </w:r>
      <w:r>
        <w:fldChar w:fldCharType="separate"/>
      </w:r>
      <w:r>
        <w:rPr>
          <w:color w:val="000000" w:themeColor="text1"/>
          <w:szCs w:val="28"/>
          <w14:textFill>
            <w14:solidFill>
              <w14:schemeClr w14:val="tx1"/>
            </w14:solidFill>
          </w14:textFill>
        </w:rPr>
        <w:t>15.1  一般规定</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122</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"_Toc18480" </w:instrText>
      </w:r>
      <w:r>
        <w:fldChar w:fldCharType="separate"/>
      </w:r>
      <w:r>
        <w:rPr>
          <w:color w:val="000000" w:themeColor="text1"/>
          <w:szCs w:val="28"/>
          <w14:textFill>
            <w14:solidFill>
              <w14:schemeClr w14:val="tx1"/>
            </w14:solidFill>
          </w14:textFill>
        </w:rPr>
        <w:t>15.2  监测项目</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122</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"_Toc2704" </w:instrText>
      </w:r>
      <w:r>
        <w:fldChar w:fldCharType="separate"/>
      </w:r>
      <w:r>
        <w:rPr>
          <w:color w:val="000000" w:themeColor="text1"/>
          <w:szCs w:val="28"/>
          <w14:textFill>
            <w14:solidFill>
              <w14:schemeClr w14:val="tx1"/>
            </w14:solidFill>
          </w14:textFill>
        </w:rPr>
        <w:t>15.3  监测仪器</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122</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"_Toc23897" </w:instrText>
      </w:r>
      <w:r>
        <w:fldChar w:fldCharType="separate"/>
      </w:r>
      <w:r>
        <w:rPr>
          <w:color w:val="000000" w:themeColor="text1"/>
          <w:szCs w:val="28"/>
          <w14:textFill>
            <w14:solidFill>
              <w14:schemeClr w14:val="tx1"/>
            </w14:solidFill>
          </w14:textFill>
        </w:rPr>
        <w:t>15.4  监测方法</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122</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"_Toc25580" </w:instrText>
      </w:r>
      <w:r>
        <w:fldChar w:fldCharType="separate"/>
      </w:r>
      <w:r>
        <w:rPr>
          <w:color w:val="000000" w:themeColor="text1"/>
          <w:szCs w:val="28"/>
          <w14:textFill>
            <w14:solidFill>
              <w14:schemeClr w14:val="tx1"/>
            </w14:solidFill>
          </w14:textFill>
        </w:rPr>
        <w:t>15.5  监控量测控制指标</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122</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"_Toc11611" </w:instrText>
      </w:r>
      <w:r>
        <w:fldChar w:fldCharType="separate"/>
      </w:r>
      <w:r>
        <w:rPr>
          <w:color w:val="000000" w:themeColor="text1"/>
          <w:szCs w:val="28"/>
          <w14:textFill>
            <w14:solidFill>
              <w14:schemeClr w14:val="tx1"/>
            </w14:solidFill>
          </w14:textFill>
        </w:rPr>
        <w:t>15.6  监测成果及信息反馈</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122</w:t>
      </w:r>
    </w:p>
    <w:p>
      <w:pPr>
        <w:pStyle w:val="10"/>
        <w:tabs>
          <w:tab w:val="right" w:leader="dot" w:pos="8306"/>
        </w:tabs>
        <w:rPr>
          <w:color w:val="000000" w:themeColor="text1"/>
          <w:szCs w:val="28"/>
          <w14:textFill>
            <w14:solidFill>
              <w14:schemeClr w14:val="tx1"/>
            </w14:solidFill>
          </w14:textFill>
        </w:rPr>
      </w:pPr>
      <w:r>
        <w:fldChar w:fldCharType="begin"/>
      </w:r>
      <w:r>
        <w:instrText xml:space="preserve"> HYPERLINK \l "_Toc27594" </w:instrText>
      </w:r>
      <w:r>
        <w:fldChar w:fldCharType="separate"/>
      </w:r>
      <w:r>
        <w:rPr>
          <w:color w:val="000000" w:themeColor="text1"/>
          <w:szCs w:val="28"/>
          <w14:textFill>
            <w14:solidFill>
              <w14:schemeClr w14:val="tx1"/>
            </w14:solidFill>
          </w14:textFill>
        </w:rPr>
        <w:t>16 水平和垂直运输</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122</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"_Toc2490" </w:instrText>
      </w:r>
      <w:r>
        <w:fldChar w:fldCharType="separate"/>
      </w:r>
      <w:r>
        <w:rPr>
          <w:color w:val="000000" w:themeColor="text1"/>
          <w:szCs w:val="28"/>
          <w14:textFill>
            <w14:solidFill>
              <w14:schemeClr w14:val="tx1"/>
            </w14:solidFill>
          </w14:textFill>
        </w:rPr>
        <w:t>16.1  一般规定</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122</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"_Toc26594" </w:instrText>
      </w:r>
      <w:r>
        <w:fldChar w:fldCharType="separate"/>
      </w:r>
      <w:r>
        <w:rPr>
          <w:color w:val="000000" w:themeColor="text1"/>
          <w:szCs w:val="28"/>
          <w14:textFill>
            <w14:solidFill>
              <w14:schemeClr w14:val="tx1"/>
            </w14:solidFill>
          </w14:textFill>
        </w:rPr>
        <w:t>16.2  水平运输</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122</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"_Toc6770" </w:instrText>
      </w:r>
      <w:r>
        <w:fldChar w:fldCharType="separate"/>
      </w:r>
      <w:r>
        <w:rPr>
          <w:color w:val="000000" w:themeColor="text1"/>
          <w:szCs w:val="28"/>
          <w14:textFill>
            <w14:solidFill>
              <w14:schemeClr w14:val="tx1"/>
            </w14:solidFill>
          </w14:textFill>
        </w:rPr>
        <w:t>16.3  垂直运输</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122</w:t>
      </w:r>
    </w:p>
    <w:p>
      <w:pPr>
        <w:pStyle w:val="10"/>
        <w:tabs>
          <w:tab w:val="right" w:leader="dot" w:pos="8306"/>
        </w:tabs>
        <w:rPr>
          <w:color w:val="000000" w:themeColor="text1"/>
          <w:szCs w:val="28"/>
          <w14:textFill>
            <w14:solidFill>
              <w14:schemeClr w14:val="tx1"/>
            </w14:solidFill>
          </w14:textFill>
        </w:rPr>
      </w:pPr>
      <w:r>
        <w:fldChar w:fldCharType="begin"/>
      </w:r>
      <w:r>
        <w:instrText xml:space="preserve"> HYPERLINK \l "_Toc31967" </w:instrText>
      </w:r>
      <w:r>
        <w:fldChar w:fldCharType="separate"/>
      </w:r>
      <w:r>
        <w:rPr>
          <w:color w:val="000000" w:themeColor="text1"/>
          <w:szCs w:val="28"/>
          <w14:textFill>
            <w14:solidFill>
              <w14:schemeClr w14:val="tx1"/>
            </w14:solidFill>
          </w14:textFill>
        </w:rPr>
        <w:t>17 风、水、电、通风和扬尘控制</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123</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"_Toc946" </w:instrText>
      </w:r>
      <w:r>
        <w:fldChar w:fldCharType="separate"/>
      </w:r>
      <w:r>
        <w:rPr>
          <w:color w:val="000000" w:themeColor="text1"/>
          <w:szCs w:val="28"/>
          <w14:textFill>
            <w14:solidFill>
              <w14:schemeClr w14:val="tx1"/>
            </w14:solidFill>
          </w14:textFill>
        </w:rPr>
        <w:t>17.1 供风系统</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123</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"_Toc20374" </w:instrText>
      </w:r>
      <w:r>
        <w:fldChar w:fldCharType="separate"/>
      </w:r>
      <w:r>
        <w:rPr>
          <w:color w:val="000000" w:themeColor="text1"/>
          <w:szCs w:val="28"/>
          <w14:textFill>
            <w14:solidFill>
              <w14:schemeClr w14:val="tx1"/>
            </w14:solidFill>
          </w14:textFill>
        </w:rPr>
        <w:t>17.2 供水系统</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123</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"_Toc19132" </w:instrText>
      </w:r>
      <w:r>
        <w:fldChar w:fldCharType="separate"/>
      </w:r>
      <w:r>
        <w:rPr>
          <w:color w:val="000000" w:themeColor="text1"/>
          <w:szCs w:val="28"/>
          <w14:textFill>
            <w14:solidFill>
              <w14:schemeClr w14:val="tx1"/>
            </w14:solidFill>
          </w14:textFill>
        </w:rPr>
        <w:t>17.3 供电和照明系统</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123</w:t>
      </w:r>
    </w:p>
    <w:p>
      <w:pPr>
        <w:pStyle w:val="11"/>
        <w:tabs>
          <w:tab w:val="right" w:leader="dot" w:pos="8306"/>
        </w:tabs>
        <w:rPr>
          <w:color w:val="000000" w:themeColor="text1"/>
          <w:szCs w:val="28"/>
          <w14:textFill>
            <w14:solidFill>
              <w14:schemeClr w14:val="tx1"/>
            </w14:solidFill>
          </w14:textFill>
        </w:rPr>
      </w:pPr>
      <w:r>
        <w:fldChar w:fldCharType="begin"/>
      </w:r>
      <w:r>
        <w:instrText xml:space="preserve"> HYPERLINK \l "_Toc32003" </w:instrText>
      </w:r>
      <w:r>
        <w:fldChar w:fldCharType="separate"/>
      </w:r>
      <w:r>
        <w:rPr>
          <w:color w:val="000000" w:themeColor="text1"/>
          <w:szCs w:val="28"/>
          <w14:textFill>
            <w14:solidFill>
              <w14:schemeClr w14:val="tx1"/>
            </w14:solidFill>
          </w14:textFill>
        </w:rPr>
        <w:t>17.4 通风系统和扬尘控制</w:t>
      </w:r>
      <w:r>
        <w:rPr>
          <w:color w:val="000000" w:themeColor="text1"/>
          <w:szCs w:val="28"/>
          <w14:textFill>
            <w14:solidFill>
              <w14:schemeClr w14:val="tx1"/>
            </w14:solidFill>
          </w14:textFill>
        </w:rPr>
        <w:tab/>
      </w:r>
      <w:r>
        <w:rPr>
          <w:color w:val="000000" w:themeColor="text1"/>
          <w:szCs w:val="28"/>
          <w14:textFill>
            <w14:solidFill>
              <w14:schemeClr w14:val="tx1"/>
            </w14:solidFill>
          </w14:textFill>
        </w:rPr>
        <w:fldChar w:fldCharType="end"/>
      </w:r>
      <w:r>
        <w:rPr>
          <w:rFonts w:hint="eastAsia"/>
          <w:color w:val="000000" w:themeColor="text1"/>
          <w:szCs w:val="28"/>
          <w14:textFill>
            <w14:solidFill>
              <w14:schemeClr w14:val="tx1"/>
            </w14:solidFill>
          </w14:textFill>
        </w:rPr>
        <w:t>124</w:t>
      </w:r>
    </w:p>
    <w:p>
      <w:pPr>
        <w:numPr>
          <w:ilvl w:val="255"/>
          <w:numId w:val="0"/>
        </w:numPr>
        <w:tabs>
          <w:tab w:val="left" w:pos="360"/>
        </w:tabs>
        <w:adjustRightInd w:val="0"/>
        <w:snapToGrid w:val="0"/>
        <w:spacing w:before="312" w:beforeLines="100" w:after="312" w:afterLines="100" w:line="360" w:lineRule="auto"/>
        <w:jc w:val="center"/>
        <w:outlineLvl w:val="0"/>
        <w:rPr>
          <w:color w:val="000000" w:themeColor="text1"/>
          <w:szCs w:val="28"/>
          <w14:textFill>
            <w14:solidFill>
              <w14:schemeClr w14:val="tx1"/>
            </w14:solidFill>
          </w14:textFill>
        </w:rPr>
      </w:pPr>
      <w:r>
        <w:rPr>
          <w:color w:val="000000" w:themeColor="text1"/>
          <w:szCs w:val="28"/>
          <w14:textFill>
            <w14:solidFill>
              <w14:schemeClr w14:val="tx1"/>
            </w14:solidFill>
          </w14:textFill>
        </w:rPr>
        <w:fldChar w:fldCharType="end"/>
      </w:r>
      <w:bookmarkStart w:id="546" w:name="_Toc3604"/>
      <w:bookmarkStart w:id="547" w:name="_Toc791"/>
      <w:bookmarkStart w:id="548" w:name="_Toc24036"/>
      <w:bookmarkStart w:id="549" w:name="_Toc29908"/>
      <w:bookmarkStart w:id="550" w:name="_Toc5845"/>
      <w:bookmarkStart w:id="551" w:name="_Toc3461"/>
    </w:p>
    <w:p>
      <w:pPr>
        <w:numPr>
          <w:ilvl w:val="255"/>
          <w:numId w:val="0"/>
        </w:numPr>
        <w:jc w:val="left"/>
        <w:rPr>
          <w:color w:val="000000" w:themeColor="text1"/>
          <w:szCs w:val="28"/>
          <w14:textFill>
            <w14:solidFill>
              <w14:schemeClr w14:val="tx1"/>
            </w14:solidFill>
          </w14:textFill>
        </w:rPr>
      </w:pPr>
      <w:r>
        <w:rPr>
          <w:color w:val="000000" w:themeColor="text1"/>
          <w:szCs w:val="28"/>
          <w14:textFill>
            <w14:solidFill>
              <w14:schemeClr w14:val="tx1"/>
            </w14:solidFill>
          </w14:textFill>
        </w:rPr>
        <w:br w:type="page"/>
      </w:r>
    </w:p>
    <w:p>
      <w:pPr>
        <w:numPr>
          <w:ilvl w:val="255"/>
          <w:numId w:val="0"/>
        </w:numPr>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552" w:name="_Toc16788"/>
      <w:r>
        <w:rPr>
          <w:rFonts w:hint="eastAsia"/>
          <w:b/>
          <w:bCs/>
          <w:color w:val="000000" w:themeColor="text1"/>
          <w:sz w:val="28"/>
          <w:szCs w:val="28"/>
          <w14:textFill>
            <w14:solidFill>
              <w14:schemeClr w14:val="tx1"/>
            </w14:solidFill>
          </w14:textFill>
        </w:rPr>
        <w:t xml:space="preserve">1 </w:t>
      </w:r>
      <w:r>
        <w:rPr>
          <w:rFonts w:hint="eastAsia"/>
          <w:color w:val="000000" w:themeColor="text1"/>
          <w:szCs w:val="28"/>
          <w14:textFill>
            <w14:solidFill>
              <w14:schemeClr w14:val="tx1"/>
            </w14:solidFill>
          </w14:textFill>
        </w:rPr>
        <w:t xml:space="preserve"> </w:t>
      </w:r>
      <w:r>
        <w:rPr>
          <w:b/>
          <w:color w:val="000000" w:themeColor="text1"/>
          <w:sz w:val="28"/>
          <w:szCs w:val="28"/>
          <w14:textFill>
            <w14:solidFill>
              <w14:schemeClr w14:val="tx1"/>
            </w14:solidFill>
          </w14:textFill>
        </w:rPr>
        <w:t>总则</w:t>
      </w:r>
      <w:bookmarkEnd w:id="552"/>
    </w:p>
    <w:p>
      <w:pPr>
        <w:pStyle w:val="22"/>
        <w:tabs>
          <w:tab w:val="left" w:pos="851"/>
          <w:tab w:val="left" w:pos="5835"/>
        </w:tabs>
        <w:snapToGrid w:val="0"/>
        <w:spacing w:line="360" w:lineRule="auto"/>
        <w:ind w:firstLine="0" w:firstLineChars="0"/>
        <w:jc w:val="left"/>
        <w:rPr>
          <w:color w:val="000000" w:themeColor="text1"/>
          <w14:textFill>
            <w14:solidFill>
              <w14:schemeClr w14:val="tx1"/>
            </w14:solidFill>
          </w14:textFill>
        </w:rPr>
      </w:pPr>
      <w:r>
        <w:rPr>
          <w:rFonts w:hAnsi="宋体"/>
          <w:b/>
          <w:color w:val="000000" w:themeColor="text1"/>
          <w:szCs w:val="21"/>
          <w14:textFill>
            <w14:solidFill>
              <w14:schemeClr w14:val="tx1"/>
            </w14:solidFill>
          </w14:textFill>
        </w:rPr>
        <w:t xml:space="preserve">1.0.2 </w:t>
      </w:r>
      <w:r>
        <w:rPr>
          <w:rFonts w:hint="eastAsia" w:hAnsi="宋体"/>
          <w:color w:val="000000" w:themeColor="text1"/>
          <w:szCs w:val="21"/>
          <w14:textFill>
            <w14:solidFill>
              <w14:schemeClr w14:val="tx1"/>
            </w14:solidFill>
          </w14:textFill>
        </w:rPr>
        <w:t>本条根据</w:t>
      </w:r>
      <w:r>
        <w:rPr>
          <w:rFonts w:hint="eastAsia"/>
          <w:color w:val="000000" w:themeColor="text1"/>
          <w14:textFill>
            <w14:solidFill>
              <w14:schemeClr w14:val="tx1"/>
            </w14:solidFill>
          </w14:textFill>
        </w:rPr>
        <w:t>北京市地方标准《城市轨道交通工程设计规范》</w:t>
      </w:r>
      <w:r>
        <w:rPr>
          <w:rFonts w:hint="eastAsia" w:hAnsi="宋体"/>
          <w:color w:val="000000" w:themeColor="text1"/>
          <w:szCs w:val="21"/>
          <w14:textFill>
            <w14:solidFill>
              <w14:schemeClr w14:val="tx1"/>
            </w14:solidFill>
          </w14:textFill>
        </w:rPr>
        <w:t>DB11/995—2013有关规定确定本标准范围。</w:t>
      </w:r>
      <w:r>
        <w:rPr>
          <w:rFonts w:hint="eastAsia"/>
          <w:color w:val="000000" w:themeColor="text1"/>
          <w14:textFill>
            <w14:solidFill>
              <w14:schemeClr w14:val="tx1"/>
            </w14:solidFill>
          </w14:textFill>
        </w:rPr>
        <w:t>城市轨道交通工程隧道施工方法包括两类，一类为采用大型设备进行隧道开挖，主要指盾构法、TBM法和顶管法；另一类为人工开挖方法，主要指新奥法和浅埋暗挖法，统称为矿山法。其中新奥法用于岩石、山岭隧道，其基本原理是利用岩石本生的承载能力来抵御荷载；浅埋暗挖主要是通过及时提供刚度较大的钢架支撑土体，快速封闭，减少变形和沉降，控制对周边环境的影响。</w:t>
      </w:r>
    </w:p>
    <w:p>
      <w:pPr>
        <w:pStyle w:val="22"/>
        <w:tabs>
          <w:tab w:val="left" w:pos="851"/>
          <w:tab w:val="left" w:pos="5835"/>
        </w:tabs>
        <w:snapToGrid w:val="0"/>
        <w:spacing w:line="360" w:lineRule="auto"/>
        <w:jc w:val="left"/>
        <w:rPr>
          <w:rFonts w:hAnsi="宋体" w:eastAsiaTheme="minorEastAsia"/>
          <w:color w:val="000000" w:themeColor="text1"/>
          <w:szCs w:val="21"/>
          <w14:textFill>
            <w14:solidFill>
              <w14:schemeClr w14:val="tx1"/>
            </w14:solidFill>
          </w14:textFill>
        </w:rPr>
      </w:pPr>
      <w:r>
        <w:rPr>
          <w:rFonts w:hint="eastAsia"/>
          <w:color w:val="000000" w:themeColor="text1"/>
          <w14:textFill>
            <w14:solidFill>
              <w14:schemeClr w14:val="tx1"/>
            </w14:solidFill>
          </w14:textFill>
        </w:rPr>
        <w:t>由于北京城区岩石地层较少，在北京城市内浅埋暗挖施工方法用途广泛。本规范主要指轨道交通工程中采用浅埋暗挖方法施工的地铁区间隧道、地铁车站（PBA工法）和附属通道的施工。</w:t>
      </w:r>
    </w:p>
    <w:p>
      <w:pPr>
        <w:rPr>
          <w:color w:val="000000" w:themeColor="text1"/>
          <w14:textFill>
            <w14:solidFill>
              <w14:schemeClr w14:val="tx1"/>
            </w14:solidFill>
          </w14:textFill>
        </w:rPr>
        <w:sectPr>
          <w:footerReference r:id="rId5" w:type="default"/>
          <w:pgSz w:w="11906" w:h="16838"/>
          <w:pgMar w:top="1440" w:right="1800" w:bottom="1440" w:left="1800" w:header="851" w:footer="992" w:gutter="0"/>
          <w:cols w:space="425" w:num="1"/>
          <w:docGrid w:type="lines" w:linePitch="312" w:charSpace="0"/>
        </w:sectPr>
      </w:pPr>
    </w:p>
    <w:p>
      <w:pPr>
        <w:numPr>
          <w:ilvl w:val="255"/>
          <w:numId w:val="0"/>
        </w:numPr>
        <w:tabs>
          <w:tab w:val="left" w:pos="360"/>
        </w:tabs>
        <w:adjustRightInd w:val="0"/>
        <w:snapToGrid w:val="0"/>
        <w:spacing w:before="312" w:beforeLines="100" w:after="312" w:afterLines="100" w:line="360" w:lineRule="auto"/>
        <w:jc w:val="center"/>
        <w:outlineLvl w:val="0"/>
        <w:rPr>
          <w:bCs/>
          <w:color w:val="000000" w:themeColor="text1"/>
          <w:sz w:val="28"/>
          <w:szCs w:val="28"/>
          <w14:textFill>
            <w14:solidFill>
              <w14:schemeClr w14:val="tx1"/>
            </w14:solidFill>
          </w14:textFill>
        </w:rPr>
      </w:pPr>
      <w:bookmarkStart w:id="553" w:name="_Toc29756"/>
      <w:r>
        <w:rPr>
          <w:rFonts w:hint="eastAsia"/>
          <w:b/>
          <w:color w:val="000000" w:themeColor="text1"/>
          <w:sz w:val="28"/>
          <w:szCs w:val="28"/>
          <w14:textFill>
            <w14:solidFill>
              <w14:schemeClr w14:val="tx1"/>
            </w14:solidFill>
          </w14:textFill>
        </w:rPr>
        <w:t>3  基本规定</w:t>
      </w:r>
      <w:bookmarkEnd w:id="553"/>
    </w:p>
    <w:p>
      <w:pPr>
        <w:tabs>
          <w:tab w:val="left" w:pos="851"/>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3.0.1 </w:t>
      </w:r>
      <w:r>
        <w:rPr>
          <w:rFonts w:hint="eastAsia" w:hAnsi="宋体"/>
          <w:color w:val="000000" w:themeColor="text1"/>
          <w:szCs w:val="21"/>
          <w14:textFill>
            <w14:solidFill>
              <w14:schemeClr w14:val="tx1"/>
            </w14:solidFill>
          </w14:textFill>
        </w:rPr>
        <w:t>在开工前应编制施工组织设计，并按照国家相关法律法规的相关规定编制专项施工方案，对需要论证的专项施工方案进行方案论证。施工组织设计和专项施工方案必须按规定程序审批，经方案交底和安全交底和技术交底后执行，有变更时应办理变更批。</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3.0.2 </w:t>
      </w:r>
      <w:r>
        <w:rPr>
          <w:rFonts w:hint="eastAsia" w:hAnsi="宋体"/>
          <w:color w:val="000000" w:themeColor="text1"/>
          <w:szCs w:val="21"/>
          <w14:textFill>
            <w14:solidFill>
              <w14:schemeClr w14:val="tx1"/>
            </w14:solidFill>
          </w14:textFill>
        </w:rPr>
        <w:t>工程施工应以批准的设计文件为依据，如需变更，应由设计单位的同意并签署变更设计或洽商记录后方可实施。在竖井、隧道施工过程中，如地质条件、水文条件以及周边环境发生较大变化，施工单位需要及时向提出设计变更要求。</w:t>
      </w:r>
    </w:p>
    <w:p>
      <w:pPr>
        <w:snapToGrid w:val="0"/>
        <w:spacing w:line="360" w:lineRule="auto"/>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3.0.4 </w:t>
      </w:r>
      <w:r>
        <w:rPr>
          <w:rFonts w:hint="eastAsia" w:hAnsi="宋体"/>
          <w:color w:val="000000" w:themeColor="text1"/>
          <w:szCs w:val="21"/>
          <w14:textFill>
            <w14:solidFill>
              <w14:schemeClr w14:val="tx1"/>
            </w14:solidFill>
          </w14:textFill>
        </w:rPr>
        <w:t>穿越现况建（构）筑物、地下管线和交通设施主要执行的标准主要有：</w:t>
      </w:r>
    </w:p>
    <w:p>
      <w:pPr>
        <w:snapToGrid w:val="0"/>
        <w:spacing w:line="360" w:lineRule="auto"/>
        <w:ind w:firstLine="420" w:firstLineChars="200"/>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《穿越城市轨道交通设施检测评估及监测技术规范》DB11/T915；</w:t>
      </w:r>
    </w:p>
    <w:p>
      <w:pPr>
        <w:snapToGrid w:val="0"/>
        <w:spacing w:line="360" w:lineRule="auto"/>
        <w:ind w:firstLine="420" w:firstLineChars="200"/>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《穿越既有交通基础设施工程技术要求》DB11/T 716—2019；</w:t>
      </w:r>
    </w:p>
    <w:p>
      <w:pPr>
        <w:snapToGrid w:val="0"/>
        <w:spacing w:line="360" w:lineRule="auto"/>
        <w:ind w:firstLine="420" w:firstLineChars="200"/>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《地铁工程监控量测技术规程》DB11/490-2007；</w:t>
      </w:r>
    </w:p>
    <w:p>
      <w:pPr>
        <w:snapToGrid w:val="0"/>
        <w:spacing w:line="360" w:lineRule="auto"/>
        <w:ind w:firstLine="420" w:firstLineChars="200"/>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《城市桥梁养护技术规范》CJJ99-2003；</w:t>
      </w:r>
    </w:p>
    <w:p>
      <w:pPr>
        <w:snapToGrid w:val="0"/>
        <w:spacing w:line="360" w:lineRule="auto"/>
        <w:ind w:firstLine="420" w:firstLineChars="200"/>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《公路桥涵养护规范》JTG H11-2004、</w:t>
      </w:r>
    </w:p>
    <w:p>
      <w:pPr>
        <w:snapToGrid w:val="0"/>
        <w:spacing w:line="360" w:lineRule="auto"/>
        <w:ind w:firstLine="420" w:firstLineChars="200"/>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建设部 2005 年 140 号令 《城市轨道交通运营管理办法》；</w:t>
      </w:r>
    </w:p>
    <w:p>
      <w:pPr>
        <w:snapToGrid w:val="0"/>
        <w:spacing w:line="360" w:lineRule="auto"/>
        <w:ind w:firstLine="420" w:firstLineChars="200"/>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北京市 2005 年 156 号令 《北京市城市道路管理办法》；</w:t>
      </w:r>
    </w:p>
    <w:p>
      <w:pPr>
        <w:snapToGrid w:val="0"/>
        <w:spacing w:line="360" w:lineRule="auto"/>
        <w:ind w:firstLine="420" w:firstLineChars="200"/>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京路法制发[2008]64 号令《北京市路政局关于印发地下工程穿越交通设施安全监管暂行办法的通知》；</w:t>
      </w:r>
    </w:p>
    <w:p>
      <w:pPr>
        <w:snapToGrid w:val="0"/>
        <w:spacing w:line="360" w:lineRule="auto"/>
        <w:ind w:firstLine="420" w:firstLineChars="200"/>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京路轨建发[2004]481 号 《关于加强穿越既有城市轨道交通线路工程管理的通知》；</w:t>
      </w:r>
    </w:p>
    <w:p>
      <w:pPr>
        <w:snapToGrid w:val="0"/>
        <w:spacing w:line="360" w:lineRule="auto"/>
        <w:ind w:firstLine="420" w:firstLineChars="200"/>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北京市 2004 年第 147 号 《北京市城市轨道交通安全运营管理办法》；</w:t>
      </w:r>
    </w:p>
    <w:p>
      <w:pPr>
        <w:snapToGrid w:val="0"/>
        <w:spacing w:line="360" w:lineRule="auto"/>
        <w:ind w:left="420" w:leftChars="200"/>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年中线局技[2013]38号《其他工程穿越或跨越南水北调中线干线工程管理规定（试行）》；</w:t>
      </w:r>
    </w:p>
    <w:p>
      <w:pPr>
        <w:snapToGrid w:val="0"/>
        <w:spacing w:line="360" w:lineRule="auto"/>
        <w:ind w:left="420" w:leftChars="200"/>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《其他工程穿越或跨越南水北调中线干线工程设计技术要求》NSBD-ZXJ-1-02。</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3.0.5 </w:t>
      </w:r>
      <w:r>
        <w:rPr>
          <w:rFonts w:hint="eastAsia" w:hAnsi="宋体"/>
          <w:color w:val="000000" w:themeColor="text1"/>
          <w:szCs w:val="21"/>
          <w14:textFill>
            <w14:solidFill>
              <w14:schemeClr w14:val="tx1"/>
            </w14:solidFill>
          </w14:textFill>
        </w:rPr>
        <w:t>采用的原材料、预制品等，其品种、规格、质量、性能应符合设计文件要求和国家现行的有关技术标准规定。采用的原材料、预制品等，必须符合国家有关环保、卫生、防火、防水、防冻、防爆炸、防腐蚀等标准的规定。进场的材料和设备应按规定进行复检，复检的材料和设备其各项指标应符合设计文件要求及本规程的规定。承担材料和设备检测的单位应具备相应的资质。</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3.0.6 </w:t>
      </w:r>
      <w:r>
        <w:rPr>
          <w:rFonts w:hint="eastAsia" w:hAnsi="宋体"/>
          <w:color w:val="000000" w:themeColor="text1"/>
          <w:szCs w:val="21"/>
          <w14:textFill>
            <w14:solidFill>
              <w14:schemeClr w14:val="tx1"/>
            </w14:solidFill>
          </w14:textFill>
        </w:rPr>
        <w:t>施工应按设计要求实施限制杂散电流的各项措施。</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3.0.7 </w:t>
      </w:r>
      <w:r>
        <w:rPr>
          <w:rFonts w:hint="eastAsia" w:hAnsi="宋体"/>
          <w:color w:val="000000" w:themeColor="text1"/>
          <w:szCs w:val="21"/>
          <w14:textFill>
            <w14:solidFill>
              <w14:schemeClr w14:val="tx1"/>
            </w14:solidFill>
          </w14:textFill>
        </w:rPr>
        <w:t>加强测量管理，严格控制建筑施工、设备基础、预埋件安装等偏差，严禁侵入限界。对永久性测量标桩和地质、地震观测桩等应予保护，如需改动，应报请有关部门批准。</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3.0.9 </w:t>
      </w:r>
      <w:r>
        <w:rPr>
          <w:rFonts w:hint="eastAsia" w:hAnsi="宋体"/>
          <w:color w:val="000000" w:themeColor="text1"/>
          <w:szCs w:val="21"/>
          <w14:textFill>
            <w14:solidFill>
              <w14:schemeClr w14:val="tx1"/>
            </w14:solidFill>
          </w14:textFill>
        </w:rPr>
        <w:t>施工做到信息化施工，连续监控是指</w:t>
      </w:r>
      <w:r>
        <w:rPr>
          <w:rFonts w:hAnsi="宋体"/>
          <w:color w:val="000000" w:themeColor="text1"/>
          <w:szCs w:val="21"/>
          <w14:textFill>
            <w14:solidFill>
              <w14:schemeClr w14:val="tx1"/>
            </w14:solidFill>
          </w14:textFill>
        </w:rPr>
        <w:t>24</w:t>
      </w:r>
      <w:r>
        <w:rPr>
          <w:rFonts w:hint="eastAsia" w:hAnsi="宋体"/>
          <w:color w:val="000000" w:themeColor="text1"/>
          <w:szCs w:val="21"/>
          <w14:textFill>
            <w14:solidFill>
              <w14:schemeClr w14:val="tx1"/>
            </w14:solidFill>
          </w14:textFill>
        </w:rPr>
        <w:t>小时不间断地对施工作业面进行监控，同时加强监控量测数据采集、分析、响应、处置管理，以确保施工安全和周边环境安全，承担监控量测的单位应具备相应的资质。</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3.0.11 </w:t>
      </w:r>
      <w:r>
        <w:rPr>
          <w:rFonts w:hint="eastAsia" w:hAnsi="宋体"/>
          <w:color w:val="000000" w:themeColor="text1"/>
          <w:szCs w:val="21"/>
          <w14:textFill>
            <w14:solidFill>
              <w14:schemeClr w14:val="tx1"/>
            </w14:solidFill>
          </w14:textFill>
        </w:rPr>
        <w:t>施工现场及周围环境应保持清洁，减少对交通干扰，严格控制地面变形和环境污染。施工中如发现文物、古墓等需要妥善保护，并及时报请有关部门处理。</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sectPr>
          <w:pgSz w:w="11906" w:h="16838"/>
          <w:pgMar w:top="1440" w:right="1800" w:bottom="1440" w:left="1800" w:header="851" w:footer="992" w:gutter="0"/>
          <w:cols w:space="425" w:num="1"/>
          <w:docGrid w:type="lines" w:linePitch="312" w:charSpace="0"/>
        </w:sectPr>
      </w:pPr>
    </w:p>
    <w:p>
      <w:pPr>
        <w:pageBreakBefore/>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554" w:name="_Toc11082"/>
      <w:r>
        <w:rPr>
          <w:rFonts w:hint="eastAsia"/>
          <w:b/>
          <w:color w:val="000000" w:themeColor="text1"/>
          <w:sz w:val="28"/>
          <w:szCs w:val="28"/>
          <w14:textFill>
            <w14:solidFill>
              <w14:schemeClr w14:val="tx1"/>
            </w14:solidFill>
          </w14:textFill>
        </w:rPr>
        <w:t>4  施工准备</w:t>
      </w:r>
      <w:bookmarkEnd w:id="554"/>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 xml:space="preserve">4.0.5 </w:t>
      </w:r>
      <w:r>
        <w:rPr>
          <w:rFonts w:hint="eastAsia" w:hAnsi="宋体"/>
          <w:color w:val="000000" w:themeColor="text1"/>
          <w:szCs w:val="21"/>
          <w14:textFill>
            <w14:solidFill>
              <w14:schemeClr w14:val="tx1"/>
            </w14:solidFill>
          </w14:textFill>
        </w:rPr>
        <w:t>本条主要根据北京市有关规定编制，以保证应急情况下措施有效实施。浅埋暗挖工程现场应配备的应急物资和设备主要有：抢险车、发电机、应急照明、方木、钢管、泡沫砖、钢筋网片等。</w:t>
      </w:r>
    </w:p>
    <w:p>
      <w:pPr>
        <w:pageBreakBefore/>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555" w:name="_Toc13244"/>
      <w:r>
        <w:rPr>
          <w:rFonts w:hint="eastAsia"/>
          <w:b/>
          <w:color w:val="000000" w:themeColor="text1"/>
          <w:sz w:val="28"/>
          <w:szCs w:val="28"/>
          <w14:textFill>
            <w14:solidFill>
              <w14:schemeClr w14:val="tx1"/>
            </w14:solidFill>
          </w14:textFill>
        </w:rPr>
        <w:t>5  施工测</w:t>
      </w:r>
      <w:bookmarkEnd w:id="555"/>
      <w:r>
        <w:rPr>
          <w:rFonts w:hint="eastAsia"/>
          <w:b/>
          <w:color w:val="000000" w:themeColor="text1"/>
          <w:sz w:val="28"/>
          <w:szCs w:val="28"/>
          <w14:textFill>
            <w14:solidFill>
              <w14:schemeClr w14:val="tx1"/>
            </w14:solidFill>
          </w14:textFill>
        </w:rPr>
        <w:t>量</w:t>
      </w:r>
    </w:p>
    <w:p>
      <w:pPr>
        <w:tabs>
          <w:tab w:val="left" w:pos="576"/>
          <w:tab w:val="left" w:pos="5835"/>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56" w:name="_Toc7554"/>
      <w:r>
        <w:rPr>
          <w:rFonts w:hint="eastAsia" w:hAnsi="宋体"/>
          <w:b/>
          <w:color w:val="000000" w:themeColor="text1"/>
          <w:sz w:val="24"/>
          <w14:textFill>
            <w14:solidFill>
              <w14:schemeClr w14:val="tx1"/>
            </w14:solidFill>
          </w14:textFill>
        </w:rPr>
        <w:t>5.3  地下控制测量</w:t>
      </w:r>
      <w:bookmarkEnd w:id="556"/>
    </w:p>
    <w:p>
      <w:pPr>
        <w:tabs>
          <w:tab w:val="left" w:pos="851"/>
          <w:tab w:val="left" w:pos="1364"/>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5.3.1</w:t>
      </w:r>
      <w:r>
        <w:rPr>
          <w:rFonts w:hint="eastAsia" w:hAnsi="宋体"/>
          <w:color w:val="000000" w:themeColor="text1"/>
          <w:szCs w:val="21"/>
          <w14:textFill>
            <w14:solidFill>
              <w14:schemeClr w14:val="tx1"/>
            </w14:solidFill>
          </w14:textFill>
        </w:rPr>
        <w:t xml:space="preserve"> 隧道施工初始阶段一般先布设施工导线和高程测量路线。当隧道掘进距离满足布设控制点条件时，需要在隧道内及时布设控制测量点。</w:t>
      </w:r>
    </w:p>
    <w:p>
      <w:pPr>
        <w:tabs>
          <w:tab w:val="left" w:pos="851"/>
          <w:tab w:val="left" w:pos="1364"/>
          <w:tab w:val="left" w:pos="5835"/>
        </w:tabs>
        <w:snapToGrid w:val="0"/>
        <w:spacing w:line="360" w:lineRule="auto"/>
        <w:jc w:val="left"/>
        <w:rPr>
          <w:rFonts w:hAnsi="宋体"/>
          <w:color w:val="000000" w:themeColor="text1"/>
          <w:szCs w:val="21"/>
          <w14:textFill>
            <w14:solidFill>
              <w14:schemeClr w14:val="tx1"/>
            </w14:solidFill>
          </w14:textFill>
        </w:rPr>
      </w:pPr>
      <w:r>
        <w:rPr>
          <w:rFonts w:hAnsi="宋体"/>
          <w:b/>
          <w:color w:val="000000" w:themeColor="text1"/>
          <w:szCs w:val="21"/>
          <w14:textFill>
            <w14:solidFill>
              <w14:schemeClr w14:val="tx1"/>
            </w14:solidFill>
          </w14:textFill>
        </w:rPr>
        <w:t>5.3.2</w:t>
      </w:r>
      <w:r>
        <w:rPr>
          <w:rFonts w:hint="eastAsia" w:hAnsi="宋体"/>
          <w:color w:val="000000" w:themeColor="text1"/>
          <w:szCs w:val="21"/>
          <w14:textFill>
            <w14:solidFill>
              <w14:schemeClr w14:val="tx1"/>
            </w14:solidFill>
          </w14:textFill>
        </w:rPr>
        <w:t xml:space="preserve"> 暗挖隧道内施工导线和高程控制路线选用前期线路控制点，是为了减少系统误差，提高控制测量精度，同时最大限度防止出现测量错误。当现场条件受限时，也可另行单独布设，但需要采取措施保证地下控制测量精度。</w:t>
      </w:r>
    </w:p>
    <w:p>
      <w:pPr>
        <w:tabs>
          <w:tab w:val="left" w:pos="576"/>
          <w:tab w:val="left" w:pos="5835"/>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57" w:name="_Toc16176"/>
      <w:r>
        <w:rPr>
          <w:rFonts w:hint="eastAsia" w:hAnsi="宋体"/>
          <w:b/>
          <w:color w:val="000000" w:themeColor="text1"/>
          <w:sz w:val="24"/>
          <w14:textFill>
            <w14:solidFill>
              <w14:schemeClr w14:val="tx1"/>
            </w14:solidFill>
          </w14:textFill>
        </w:rPr>
        <w:t>5.5  贯通测量</w:t>
      </w:r>
      <w:bookmarkEnd w:id="557"/>
    </w:p>
    <w:p>
      <w:pPr>
        <w:tabs>
          <w:tab w:val="left" w:pos="851"/>
        </w:tabs>
        <w:snapToGrid w:val="0"/>
        <w:spacing w:line="360" w:lineRule="auto"/>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5.5.1 </w:t>
      </w:r>
      <w:r>
        <w:rPr>
          <w:rFonts w:hint="eastAsia" w:hAnsi="宋体"/>
          <w:color w:val="000000" w:themeColor="text1"/>
          <w:szCs w:val="21"/>
          <w14:textFill>
            <w14:solidFill>
              <w14:schemeClr w14:val="tx1"/>
            </w14:solidFill>
          </w14:textFill>
        </w:rPr>
        <w:t>计算贯通</w:t>
      </w:r>
      <w:r>
        <w:rPr>
          <w:rFonts w:hAnsi="宋体"/>
          <w:color w:val="000000" w:themeColor="text1"/>
          <w:szCs w:val="21"/>
          <w14:textFill>
            <w14:solidFill>
              <w14:schemeClr w14:val="tx1"/>
            </w14:solidFill>
          </w14:textFill>
        </w:rPr>
        <w:t>测量</w:t>
      </w:r>
      <w:r>
        <w:rPr>
          <w:rFonts w:hint="eastAsia" w:hAnsi="宋体"/>
          <w:color w:val="000000" w:themeColor="text1"/>
          <w:szCs w:val="21"/>
          <w14:textFill>
            <w14:solidFill>
              <w14:schemeClr w14:val="tx1"/>
            </w14:solidFill>
          </w14:textFill>
        </w:rPr>
        <w:t>误差时，应将坐标不符值</w:t>
      </w:r>
      <w:r>
        <w:rPr>
          <w:rFonts w:hAnsi="宋体"/>
          <w:color w:val="000000" w:themeColor="text1"/>
          <w:szCs w:val="21"/>
          <w14:textFill>
            <w14:solidFill>
              <w14:schemeClr w14:val="tx1"/>
            </w14:solidFill>
          </w14:textFill>
        </w:rPr>
        <w:t>分别投影到线路和线路的法线方向上</w:t>
      </w:r>
      <w:r>
        <w:rPr>
          <w:rFonts w:hint="eastAsia" w:hAnsi="宋体"/>
          <w:color w:val="000000" w:themeColor="text1"/>
          <w:szCs w:val="21"/>
          <w14:textFill>
            <w14:solidFill>
              <w14:schemeClr w14:val="tx1"/>
            </w14:solidFill>
          </w14:textFill>
        </w:rPr>
        <w:t>确定</w:t>
      </w:r>
      <w:r>
        <w:rPr>
          <w:rFonts w:hAnsi="宋体"/>
          <w:color w:val="000000" w:themeColor="text1"/>
          <w:szCs w:val="21"/>
          <w14:textFill>
            <w14:solidFill>
              <w14:schemeClr w14:val="tx1"/>
            </w14:solidFill>
          </w14:textFill>
        </w:rPr>
        <w:t>纵向、横向贯通测量误差</w:t>
      </w:r>
      <w:r>
        <w:rPr>
          <w:rFonts w:hint="eastAsia" w:hAnsi="宋体"/>
          <w:color w:val="000000" w:themeColor="text1"/>
          <w:szCs w:val="21"/>
          <w14:textFill>
            <w14:solidFill>
              <w14:schemeClr w14:val="tx1"/>
            </w14:solidFill>
          </w14:textFill>
        </w:rPr>
        <w:t>；</w:t>
      </w:r>
      <w:r>
        <w:rPr>
          <w:rFonts w:hAnsi="宋体"/>
          <w:color w:val="000000" w:themeColor="text1"/>
          <w:szCs w:val="21"/>
          <w14:textFill>
            <w14:solidFill>
              <w14:schemeClr w14:val="tx1"/>
            </w14:solidFill>
          </w14:textFill>
        </w:rPr>
        <w:t>方位角贯通测量误差</w:t>
      </w:r>
      <w:r>
        <w:rPr>
          <w:rFonts w:hint="eastAsia" w:hAnsi="宋体"/>
          <w:color w:val="000000" w:themeColor="text1"/>
          <w:szCs w:val="21"/>
          <w14:textFill>
            <w14:solidFill>
              <w14:schemeClr w14:val="tx1"/>
            </w14:solidFill>
          </w14:textFill>
        </w:rPr>
        <w:t>为与</w:t>
      </w:r>
      <w:r>
        <w:rPr>
          <w:rFonts w:hAnsi="宋体"/>
          <w:color w:val="000000" w:themeColor="text1"/>
          <w:szCs w:val="21"/>
          <w14:textFill>
            <w14:solidFill>
              <w14:schemeClr w14:val="tx1"/>
            </w14:solidFill>
          </w14:textFill>
        </w:rPr>
        <w:t>贯通面相邻的同一导线边的方位角较差</w:t>
      </w:r>
      <w:r>
        <w:rPr>
          <w:rFonts w:hint="eastAsia" w:hAnsi="宋体"/>
          <w:color w:val="000000" w:themeColor="text1"/>
          <w:szCs w:val="21"/>
          <w14:textFill>
            <w14:solidFill>
              <w14:schemeClr w14:val="tx1"/>
            </w14:solidFill>
          </w14:textFill>
        </w:rPr>
        <w:t>。</w:t>
      </w:r>
    </w:p>
    <w:p>
      <w:pPr>
        <w:adjustRightInd w:val="0"/>
        <w:snapToGrid w:val="0"/>
        <w:spacing w:before="312" w:beforeLines="100" w:after="312" w:afterLines="100"/>
        <w:outlineLvl w:val="1"/>
        <w:rPr>
          <w:rFonts w:hAnsi="宋体"/>
          <w:color w:val="000000" w:themeColor="text1"/>
          <w:szCs w:val="21"/>
          <w14:textFill>
            <w14:solidFill>
              <w14:schemeClr w14:val="tx1"/>
            </w14:solidFill>
          </w14:textFill>
        </w:rPr>
        <w:sectPr>
          <w:pgSz w:w="11906" w:h="16838"/>
          <w:pgMar w:top="1440" w:right="1800" w:bottom="1440" w:left="1800" w:header="851" w:footer="992" w:gutter="0"/>
          <w:cols w:space="425" w:num="1"/>
          <w:docGrid w:type="lines" w:linePitch="312" w:charSpace="0"/>
        </w:sectPr>
      </w:pPr>
    </w:p>
    <w:p>
      <w:pPr>
        <w:pageBreakBefore/>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558" w:name="_Toc29777"/>
      <w:r>
        <w:rPr>
          <w:rFonts w:hint="eastAsia"/>
          <w:b/>
          <w:color w:val="000000" w:themeColor="text1"/>
          <w:sz w:val="28"/>
          <w:szCs w:val="28"/>
          <w14:textFill>
            <w14:solidFill>
              <w14:schemeClr w14:val="tx1"/>
            </w14:solidFill>
          </w14:textFill>
        </w:rPr>
        <w:t>6 地下水控制</w:t>
      </w:r>
      <w:bookmarkEnd w:id="558"/>
    </w:p>
    <w:p>
      <w:pPr>
        <w:tabs>
          <w:tab w:val="left" w:pos="576"/>
          <w:tab w:val="left" w:pos="5835"/>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59" w:name="_Toc18644"/>
      <w:r>
        <w:rPr>
          <w:rFonts w:hint="eastAsia" w:hAnsi="宋体"/>
          <w:b/>
          <w:color w:val="000000" w:themeColor="text1"/>
          <w:sz w:val="24"/>
          <w14:textFill>
            <w14:solidFill>
              <w14:schemeClr w14:val="tx1"/>
            </w14:solidFill>
          </w14:textFill>
        </w:rPr>
        <w:t>6.1  一般规定</w:t>
      </w:r>
      <w:bookmarkEnd w:id="559"/>
    </w:p>
    <w:p>
      <w:pPr>
        <w:adjustRightInd w:val="0"/>
        <w:snapToGrid w:val="0"/>
        <w:spacing w:line="360" w:lineRule="auto"/>
        <w:jc w:val="left"/>
        <w:rPr>
          <w:bCs/>
          <w:color w:val="000000" w:themeColor="text1"/>
          <w14:textFill>
            <w14:solidFill>
              <w14:schemeClr w14:val="tx1"/>
            </w14:solidFill>
          </w14:textFill>
        </w:rPr>
      </w:pPr>
      <w:r>
        <w:rPr>
          <w:b/>
          <w:color w:val="000000" w:themeColor="text1"/>
          <w14:textFill>
            <w14:solidFill>
              <w14:schemeClr w14:val="tx1"/>
            </w14:solidFill>
          </w14:textFill>
        </w:rPr>
        <w:t xml:space="preserve">6.1.1 </w:t>
      </w:r>
      <w:r>
        <w:rPr>
          <w:rFonts w:hint="eastAsia"/>
          <w:bCs/>
          <w:color w:val="000000" w:themeColor="text1"/>
          <w14:textFill>
            <w14:solidFill>
              <w14:schemeClr w14:val="tx1"/>
            </w14:solidFill>
          </w14:textFill>
        </w:rPr>
        <w:t>主要执行的国家标准有《建筑与市政工程地下水控制技术规范》JGJ111和《建筑基坑支护技术规程》JGJ120。</w:t>
      </w:r>
    </w:p>
    <w:p>
      <w:pPr>
        <w:adjustRightInd w:val="0"/>
        <w:snapToGrid w:val="0"/>
        <w:spacing w:line="360" w:lineRule="auto"/>
        <w:jc w:val="left"/>
        <w:rPr>
          <w:bCs/>
          <w:color w:val="000000" w:themeColor="text1"/>
          <w14:textFill>
            <w14:solidFill>
              <w14:schemeClr w14:val="tx1"/>
            </w14:solidFill>
          </w14:textFill>
        </w:rPr>
      </w:pPr>
      <w:r>
        <w:rPr>
          <w:rFonts w:hint="eastAsia"/>
          <w:b/>
          <w:color w:val="000000" w:themeColor="text1"/>
          <w14:textFill>
            <w14:solidFill>
              <w14:schemeClr w14:val="tx1"/>
            </w14:solidFill>
          </w14:textFill>
        </w:rPr>
        <w:t xml:space="preserve">6.1.2 </w:t>
      </w:r>
      <w:r>
        <w:rPr>
          <w:rFonts w:hint="eastAsia"/>
          <w:bCs/>
          <w:color w:val="000000" w:themeColor="text1"/>
          <w14:textFill>
            <w14:solidFill>
              <w14:schemeClr w14:val="tx1"/>
            </w14:solidFill>
          </w14:textFill>
        </w:rPr>
        <w:t>暗挖结构位于地下水位以下时，应根据设计要求采取措施降水（含排水）、止水，以保证隧道开挖面在无水条件下施工。按照北京市地方标准《城市建设工程地下水控制技术规范》DB11/1115 的规定和北京市有关限制降水的规定，降水方案应进行经济、技术比较，经专家论证后方可实施。</w:t>
      </w:r>
    </w:p>
    <w:p>
      <w:pPr>
        <w:adjustRightInd w:val="0"/>
        <w:snapToGrid w:val="0"/>
        <w:spacing w:line="360" w:lineRule="auto"/>
        <w:jc w:val="left"/>
        <w:rPr>
          <w:bCs/>
          <w:color w:val="000000" w:themeColor="text1"/>
          <w14:textFill>
            <w14:solidFill>
              <w14:schemeClr w14:val="tx1"/>
            </w14:solidFill>
          </w14:textFill>
        </w:rPr>
      </w:pPr>
      <w:r>
        <w:rPr>
          <w:rFonts w:hint="eastAsia"/>
          <w:b/>
          <w:color w:val="000000" w:themeColor="text1"/>
          <w14:textFill>
            <w14:solidFill>
              <w14:schemeClr w14:val="tx1"/>
            </w14:solidFill>
          </w14:textFill>
        </w:rPr>
        <w:t xml:space="preserve">6.1.3 </w:t>
      </w:r>
      <w:r>
        <w:rPr>
          <w:rFonts w:hint="eastAsia"/>
          <w:bCs/>
          <w:color w:val="000000" w:themeColor="text1"/>
          <w14:textFill>
            <w14:solidFill>
              <w14:schemeClr w14:val="tx1"/>
            </w14:solidFill>
          </w14:textFill>
        </w:rPr>
        <w:t xml:space="preserve">施工单位根据勘察报告、工程地质、水文地质条件和环境条件，在现场核查的基础上，制定有针对性的地下水的控制方案和技术措施。 </w:t>
      </w:r>
    </w:p>
    <w:p>
      <w:pPr>
        <w:adjustRightInd w:val="0"/>
        <w:snapToGrid w:val="0"/>
        <w:spacing w:line="360" w:lineRule="auto"/>
        <w:rPr>
          <w:color w:val="000000" w:themeColor="text1"/>
          <w:szCs w:val="21"/>
          <w14:textFill>
            <w14:solidFill>
              <w14:schemeClr w14:val="tx1"/>
            </w14:solidFill>
          </w14:textFill>
        </w:rPr>
      </w:pPr>
      <w:r>
        <w:rPr>
          <w:b/>
          <w:color w:val="000000" w:themeColor="text1"/>
          <w14:textFill>
            <w14:solidFill>
              <w14:schemeClr w14:val="tx1"/>
            </w14:solidFill>
          </w14:textFill>
        </w:rPr>
        <w:t>6.1.</w:t>
      </w:r>
      <w:r>
        <w:rPr>
          <w:rFonts w:hint="eastAsia"/>
          <w:b/>
          <w:color w:val="000000" w:themeColor="text1"/>
          <w14:textFill>
            <w14:solidFill>
              <w14:schemeClr w14:val="tx1"/>
            </w14:solidFill>
          </w14:textFill>
        </w:rPr>
        <w:t>4</w:t>
      </w:r>
      <w:r>
        <w:rPr>
          <w:b/>
          <w:color w:val="000000" w:themeColor="text1"/>
          <w14:textFill>
            <w14:solidFill>
              <w14:schemeClr w14:val="tx1"/>
            </w14:solidFill>
          </w14:textFill>
        </w:rPr>
        <w:t xml:space="preserve"> </w:t>
      </w:r>
      <w:r>
        <w:rPr>
          <w:rFonts w:hint="eastAsia"/>
          <w:bCs/>
          <w:color w:val="000000" w:themeColor="text1"/>
          <w14:textFill>
            <w14:solidFill>
              <w14:schemeClr w14:val="tx1"/>
            </w14:solidFill>
          </w14:textFill>
        </w:rPr>
        <w:t>第1款</w:t>
      </w:r>
      <w:r>
        <w:rPr>
          <w:rFonts w:hint="eastAsia"/>
          <w:color w:val="000000" w:themeColor="text1"/>
          <w:szCs w:val="21"/>
          <w14:textFill>
            <w14:solidFill>
              <w14:schemeClr w14:val="tx1"/>
            </w14:solidFill>
          </w14:textFill>
        </w:rPr>
        <w:t>主要收集竖井、隧道的平、纵剖面图及地下水控制、开挖与围（支）护设计文件、土建结构施工方案，明确地下水控制范围、深度及工程环境要求。</w:t>
      </w:r>
    </w:p>
    <w:p>
      <w:pPr>
        <w:adjustRightInd w:val="0"/>
        <w:snapToGrid w:val="0"/>
        <w:spacing w:line="360" w:lineRule="auto"/>
        <w:ind w:firstLine="359" w:firstLineChars="171"/>
        <w:rPr>
          <w:color w:val="000000" w:themeColor="text1"/>
          <w:szCs w:val="21"/>
          <w14:textFill>
            <w14:solidFill>
              <w14:schemeClr w14:val="tx1"/>
            </w14:solidFill>
          </w14:textFill>
        </w:rPr>
      </w:pPr>
      <w:r>
        <w:rPr>
          <w:rFonts w:hint="eastAsia"/>
          <w:bCs/>
          <w:color w:val="000000" w:themeColor="text1"/>
          <w14:textFill>
            <w14:solidFill>
              <w14:schemeClr w14:val="tx1"/>
            </w14:solidFill>
          </w14:textFill>
        </w:rPr>
        <w:t>第2款</w:t>
      </w:r>
      <w:r>
        <w:rPr>
          <w:rFonts w:hint="eastAsia"/>
          <w:bCs/>
          <w:color w:val="000000" w:themeColor="text1"/>
          <w:szCs w:val="21"/>
          <w14:textFill>
            <w14:solidFill>
              <w14:schemeClr w14:val="tx1"/>
            </w14:solidFill>
          </w14:textFill>
        </w:rPr>
        <w:t>收</w:t>
      </w:r>
      <w:r>
        <w:rPr>
          <w:rFonts w:hint="eastAsia"/>
          <w:color w:val="000000" w:themeColor="text1"/>
          <w:szCs w:val="21"/>
          <w14:textFill>
            <w14:solidFill>
              <w14:schemeClr w14:val="tx1"/>
            </w14:solidFill>
          </w14:textFill>
        </w:rPr>
        <w:t>集场地及临近区域水文地质、工程地质等资料及当地地下水控制工程经验。</w:t>
      </w:r>
    </w:p>
    <w:p>
      <w:pPr>
        <w:adjustRightInd w:val="0"/>
        <w:snapToGrid w:val="0"/>
        <w:spacing w:line="360" w:lineRule="auto"/>
        <w:ind w:firstLine="359" w:firstLineChars="171"/>
        <w:rPr>
          <w:color w:val="000000" w:themeColor="text1"/>
          <w:szCs w:val="21"/>
          <w14:textFill>
            <w14:solidFill>
              <w14:schemeClr w14:val="tx1"/>
            </w14:solidFill>
          </w14:textFill>
        </w:rPr>
      </w:pPr>
      <w:r>
        <w:rPr>
          <w:rFonts w:hint="eastAsia"/>
          <w:bCs/>
          <w:color w:val="000000" w:themeColor="text1"/>
          <w14:textFill>
            <w14:solidFill>
              <w14:schemeClr w14:val="tx1"/>
            </w14:solidFill>
          </w14:textFill>
        </w:rPr>
        <w:t>第3款</w:t>
      </w:r>
      <w:r>
        <w:rPr>
          <w:rFonts w:hint="eastAsia"/>
          <w:color w:val="000000" w:themeColor="text1"/>
          <w:szCs w:val="21"/>
          <w14:textFill>
            <w14:solidFill>
              <w14:schemeClr w14:val="tx1"/>
            </w14:solidFill>
          </w14:textFill>
        </w:rPr>
        <w:t>需要掌握地下水控制施工场地内的障碍物、管线分布情况，收集影响区域内的地上（下）建（构）筑物、管线等周围环境资料。</w:t>
      </w:r>
    </w:p>
    <w:p>
      <w:pPr>
        <w:adjustRightInd w:val="0"/>
        <w:snapToGrid w:val="0"/>
        <w:spacing w:line="360" w:lineRule="auto"/>
        <w:ind w:firstLine="359" w:firstLineChars="171"/>
        <w:rPr>
          <w:color w:val="000000" w:themeColor="text1"/>
          <w:szCs w:val="21"/>
          <w14:textFill>
            <w14:solidFill>
              <w14:schemeClr w14:val="tx1"/>
            </w14:solidFill>
          </w14:textFill>
        </w:rPr>
      </w:pPr>
      <w:r>
        <w:rPr>
          <w:rFonts w:hint="eastAsia"/>
          <w:bCs/>
          <w:color w:val="000000" w:themeColor="text1"/>
          <w14:textFill>
            <w14:solidFill>
              <w14:schemeClr w14:val="tx1"/>
            </w14:solidFill>
          </w14:textFill>
        </w:rPr>
        <w:t>第4款</w:t>
      </w:r>
      <w:r>
        <w:rPr>
          <w:rFonts w:hint="eastAsia"/>
          <w:color w:val="000000" w:themeColor="text1"/>
          <w:szCs w:val="21"/>
          <w14:textFill>
            <w14:solidFill>
              <w14:schemeClr w14:val="tx1"/>
            </w14:solidFill>
          </w14:textFill>
        </w:rPr>
        <w:t>主要调查地下水控制施工所需的现场条件、市政排水条件。</w:t>
      </w:r>
    </w:p>
    <w:p>
      <w:pPr>
        <w:adjustRightInd w:val="0"/>
        <w:snapToGrid w:val="0"/>
        <w:spacing w:line="360" w:lineRule="auto"/>
        <w:jc w:val="left"/>
        <w:rPr>
          <w:color w:val="000000" w:themeColor="text1"/>
          <w:szCs w:val="21"/>
          <w14:textFill>
            <w14:solidFill>
              <w14:schemeClr w14:val="tx1"/>
            </w14:solidFill>
          </w14:textFill>
        </w:rPr>
      </w:pPr>
      <w:r>
        <w:rPr>
          <w:b/>
          <w:color w:val="000000" w:themeColor="text1"/>
          <w14:textFill>
            <w14:solidFill>
              <w14:schemeClr w14:val="tx1"/>
            </w14:solidFill>
          </w14:textFill>
        </w:rPr>
        <w:t>6.1.</w:t>
      </w:r>
      <w:r>
        <w:rPr>
          <w:rFonts w:hint="eastAsia"/>
          <w:b/>
          <w:color w:val="000000" w:themeColor="text1"/>
          <w14:textFill>
            <w14:solidFill>
              <w14:schemeClr w14:val="tx1"/>
            </w14:solidFill>
          </w14:textFill>
        </w:rPr>
        <w:t>5</w:t>
      </w:r>
      <w:r>
        <w:rPr>
          <w:b/>
          <w:color w:val="000000" w:themeColor="text1"/>
          <w14:textFill>
            <w14:solidFill>
              <w14:schemeClr w14:val="tx1"/>
            </w14:solidFill>
          </w14:textFill>
        </w:rPr>
        <w:t xml:space="preserve"> </w:t>
      </w:r>
      <w:r>
        <w:rPr>
          <w:rFonts w:hint="eastAsia"/>
          <w:color w:val="000000" w:themeColor="text1"/>
          <w:szCs w:val="21"/>
          <w14:textFill>
            <w14:solidFill>
              <w14:schemeClr w14:val="tx1"/>
            </w14:solidFill>
          </w14:textFill>
        </w:rPr>
        <w:t>竖井隔水帷幕施工执行现行行业标准《建筑地基处理技术规范》JGJ 79和《建筑基坑支护技术规程》</w:t>
      </w:r>
      <w:r>
        <w:rPr>
          <w:rFonts w:hint="eastAsia"/>
          <w:b/>
          <w:bCs/>
          <w:color w:val="000000" w:themeColor="text1"/>
          <w:szCs w:val="21"/>
          <w14:textFill>
            <w14:solidFill>
              <w14:schemeClr w14:val="tx1"/>
            </w14:solidFill>
          </w14:textFill>
        </w:rPr>
        <w:t>JGJ 120</w:t>
      </w:r>
      <w:r>
        <w:rPr>
          <w:rFonts w:hint="eastAsia"/>
          <w:color w:val="000000" w:themeColor="text1"/>
          <w:szCs w:val="21"/>
          <w14:textFill>
            <w14:solidFill>
              <w14:schemeClr w14:val="tx1"/>
            </w14:solidFill>
          </w14:textFill>
        </w:rPr>
        <w:t>的有关规定，在本标准中不再说明。</w:t>
      </w:r>
    </w:p>
    <w:p>
      <w:pPr>
        <w:adjustRightInd w:val="0"/>
        <w:snapToGrid w:val="0"/>
        <w:spacing w:line="360" w:lineRule="auto"/>
        <w:rPr>
          <w:color w:val="000000" w:themeColor="text1"/>
          <w:szCs w:val="21"/>
          <w14:textFill>
            <w14:solidFill>
              <w14:schemeClr w14:val="tx1"/>
            </w14:solidFill>
          </w14:textFill>
        </w:rPr>
      </w:pPr>
      <w:r>
        <w:rPr>
          <w:b/>
          <w:color w:val="000000" w:themeColor="text1"/>
          <w14:textFill>
            <w14:solidFill>
              <w14:schemeClr w14:val="tx1"/>
            </w14:solidFill>
          </w14:textFill>
        </w:rPr>
        <w:t>6.1.</w:t>
      </w:r>
      <w:r>
        <w:rPr>
          <w:rFonts w:hint="eastAsia"/>
          <w:b/>
          <w:color w:val="000000" w:themeColor="text1"/>
          <w14:textFill>
            <w14:solidFill>
              <w14:schemeClr w14:val="tx1"/>
            </w14:solidFill>
          </w14:textFill>
        </w:rPr>
        <w:t>7</w:t>
      </w:r>
      <w:r>
        <w:rPr>
          <w:b/>
          <w:color w:val="000000" w:themeColor="text1"/>
          <w14:textFill>
            <w14:solidFill>
              <w14:schemeClr w14:val="tx1"/>
            </w14:solidFill>
          </w14:textFill>
        </w:rPr>
        <w:t xml:space="preserve"> </w:t>
      </w:r>
      <w:r>
        <w:rPr>
          <w:rFonts w:hint="eastAsia"/>
          <w:color w:val="000000" w:themeColor="text1"/>
          <w:szCs w:val="21"/>
          <w14:textFill>
            <w14:solidFill>
              <w14:schemeClr w14:val="tx1"/>
            </w14:solidFill>
          </w14:textFill>
        </w:rPr>
        <w:t>隧道通过的地层有含水、渗水、涌水和地下水水压等客观情况，地下水的存在会对软岩、土、砂层造成不稳定，增大荷载，大量地下水与高水压会酿成洞内突水、突泥、地面沉陷地表水资源枯竭等重大事故。目前有效控制地下水主要有两种方法，排水和止水，止水方法常与围岩的加固相联系，可供选择的主要处理方案有注浆、冻结、导坑排水、底设导坑排水、排水钻孔，深井降水、洞内井点降水等方法；注浆过程中，水量大、水压高时，需要与排水相结合进行注浆。（《中国隧道及地下工程修建技术》王梦恕著P315</w:t>
      </w:r>
      <w:r>
        <w:rPr>
          <w:rFonts w:hint="eastAsia" w:ascii="宋体" w:hAnsi="宋体" w:cs="宋体"/>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316）</w:t>
      </w:r>
    </w:p>
    <w:p>
      <w:pPr>
        <w:adjustRightInd w:val="0"/>
        <w:snapToGrid w:val="0"/>
        <w:spacing w:line="360" w:lineRule="auto"/>
        <w:ind w:firstLine="42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根据北京市地方标准《城市建设工程地下水控制技术规范》DB11/1115—2014的第5.1.10条“用于地铁、地下公路隧道、热力、电力及人行过街地道等隧道工程的水平向隔水帷幕可采用注浆隔水、水平旋喷等施工方法”结合实践经验编制。</w:t>
      </w:r>
    </w:p>
    <w:p>
      <w:pPr>
        <w:adjustRightInd w:val="0"/>
        <w:snapToGrid w:val="0"/>
        <w:spacing w:line="360" w:lineRule="auto"/>
        <w:ind w:firstLine="42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虽然在规范中将隧道注浆作为帷幕隔水的做法一种，认为隧道内是水平向隔水帷幕，并将隔水帷幕定义为“用以阻截或减少地下水流入施工区域内、控制施工区域外水环境状态的幕墙状防渗体”。住建部《地下铁道施工标准》GB/T 51310-2018第7.6节“隔水帷幕”主要指续墙、型钢水泥土搅拌桩、咬合桩和冻结法等，要求隔水帷幕应连续，强度和抗渗性能应符合隔水专项设计的要求，主要考虑与基坑围护结构、桩结构的施工配合。行业标准《建筑基坑支护技术规程》JGJ 120—2012的有关“截水帷幕”定义为“用以阻隔或减少地下水通过基坑侧壁与坑底流入基坑和控制基坑外地下水位下降的幕墙状竖向截水体”。</w:t>
      </w:r>
    </w:p>
    <w:p>
      <w:pPr>
        <w:adjustRightInd w:val="0"/>
        <w:snapToGrid w:val="0"/>
        <w:spacing w:line="360" w:lineRule="auto"/>
        <w:ind w:firstLine="42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孙保卫、沈小克《地下水控制理论》中将基坑工程地下水控制分为隔水帷幕、降水、隔水帷幕+降水三种方法，隔水帷幕按照布置方法可分为悬挂式竖向隔水帷幕、落底式竖向隔水帷幕、水平向隔水帷幕。由此可见，隔水帷幕与国家标准的截水帷幕意义基本相同。隧道初期支护注浆范围与帷幕有所区别。在《地下水控制理论》中，将隧道工程地下水控制方法单独列出，主要考虑隧道工程的特殊性，以便于研究。隧道地下水控制方法主要有压注法、导水法、堵水法和降水法，进一步总结主要是注浆法、降排水法；注浆法主要是向土层灌浆，强化土壤密实度，提高地层防水性，通过浆液的加固和填充、固化，是地层起到防水抗渗作用。更确切的说，主要起到止水、堵水作用，与基坑帷幕有所不同，隧道是全断面加固注浆，在加固好的地层内掘进，初期支护结构外、掌子面的地层起到止水保护作用，加固范围设计有计算，但是实际中并不能确切的找到边界，并不是规则的幕墙体；其设计理论、计算方法、控制指标与基坑帷幕有较大的差异，与土层条件、地下水状况有密切联系。建议将初期支护外围加固范围成为有效止水（加固）范围。</w:t>
      </w:r>
    </w:p>
    <w:p>
      <w:pPr>
        <w:adjustRightInd w:val="0"/>
        <w:snapToGrid w:val="0"/>
        <w:spacing w:line="360" w:lineRule="auto"/>
        <w:jc w:val="left"/>
        <w:rPr>
          <w:color w:val="000000" w:themeColor="text1"/>
          <w:szCs w:val="21"/>
          <w14:textFill>
            <w14:solidFill>
              <w14:schemeClr w14:val="tx1"/>
            </w14:solidFill>
          </w14:textFill>
        </w:rPr>
      </w:pPr>
      <w:r>
        <w:rPr>
          <w:rFonts w:hint="eastAsia"/>
          <w:b/>
          <w:color w:val="000000" w:themeColor="text1"/>
          <w14:textFill>
            <w14:solidFill>
              <w14:schemeClr w14:val="tx1"/>
            </w14:solidFill>
          </w14:textFill>
        </w:rPr>
        <w:t xml:space="preserve">6.1.8  </w:t>
      </w:r>
      <w:r>
        <w:rPr>
          <w:rFonts w:hint="eastAsia"/>
          <w:color w:val="000000" w:themeColor="text1"/>
          <w:szCs w:val="21"/>
          <w14:textFill>
            <w14:solidFill>
              <w14:schemeClr w14:val="tx1"/>
            </w14:solidFill>
          </w14:textFill>
        </w:rPr>
        <w:t>第1款对注浆材料提出要求。工程中使用的注浆材料必须是无毒、污染小、不变异的产品，严禁使用可能污染地下水的有毒类浆液，如氨基类、含苯环类、酰胺类材料或成分不明的浆液。浆液材料也要有充分的稳定性，注入地层后不能因为时间、酸碱环境等变化，而使浆液分解出污染地下水的物质。氨基类、含苯环类、酰胺类的化学试剂不得使用，即使作为少量的外加剂也不得使用。浆材需提供厂家生产合格证，成分明确。</w:t>
      </w:r>
    </w:p>
    <w:p>
      <w:pPr>
        <w:adjustRightInd w:val="0"/>
        <w:snapToGrid w:val="0"/>
        <w:spacing w:line="360" w:lineRule="auto"/>
        <w:jc w:val="left"/>
        <w:rPr>
          <w:bCs/>
          <w:color w:val="000000" w:themeColor="text1"/>
          <w14:textFill>
            <w14:solidFill>
              <w14:schemeClr w14:val="tx1"/>
            </w14:solidFill>
          </w14:textFill>
        </w:rPr>
      </w:pPr>
      <w:r>
        <w:rPr>
          <w:rFonts w:hint="eastAsia"/>
          <w:b/>
          <w:color w:val="000000" w:themeColor="text1"/>
          <w14:textFill>
            <w14:solidFill>
              <w14:schemeClr w14:val="tx1"/>
            </w14:solidFill>
          </w14:textFill>
        </w:rPr>
        <w:t xml:space="preserve">6.1.10 </w:t>
      </w:r>
      <w:r>
        <w:rPr>
          <w:rFonts w:hint="eastAsia"/>
          <w:bCs/>
          <w:color w:val="000000" w:themeColor="text1"/>
          <w14:textFill>
            <w14:solidFill>
              <w14:schemeClr w14:val="tx1"/>
            </w14:solidFill>
          </w14:textFill>
        </w:rPr>
        <w:t>第4款排水中的含砂量一般要求为：</w:t>
      </w:r>
      <w:r>
        <w:rPr>
          <w:bCs/>
          <w:color w:val="000000" w:themeColor="text1"/>
          <w14:textFill>
            <w14:solidFill>
              <w14:schemeClr w14:val="tx1"/>
            </w14:solidFill>
          </w14:textFill>
        </w:rPr>
        <w:t>①</w:t>
      </w:r>
      <w:r>
        <w:rPr>
          <w:rFonts w:hint="eastAsia"/>
          <w:bCs/>
          <w:color w:val="000000" w:themeColor="text1"/>
          <w14:textFill>
            <w14:solidFill>
              <w14:schemeClr w14:val="tx1"/>
            </w14:solidFill>
          </w14:textFill>
        </w:rPr>
        <w:t xml:space="preserve"> 粗砂含量应不大于 1/50000，</w:t>
      </w:r>
      <w:r>
        <w:rPr>
          <w:bCs/>
          <w:color w:val="000000" w:themeColor="text1"/>
          <w14:textFill>
            <w14:solidFill>
              <w14:schemeClr w14:val="tx1"/>
            </w14:solidFill>
          </w14:textFill>
        </w:rPr>
        <w:t>②</w:t>
      </w:r>
      <w:r>
        <w:rPr>
          <w:rFonts w:hint="eastAsia"/>
          <w:bCs/>
          <w:color w:val="000000" w:themeColor="text1"/>
          <w14:textFill>
            <w14:solidFill>
              <w14:schemeClr w14:val="tx1"/>
            </w14:solidFill>
          </w14:textFill>
        </w:rPr>
        <w:t>中砂含量应不大于 1/20000，</w:t>
      </w:r>
      <w:r>
        <w:rPr>
          <w:bCs/>
          <w:color w:val="000000" w:themeColor="text1"/>
          <w14:textFill>
            <w14:solidFill>
              <w14:schemeClr w14:val="tx1"/>
            </w14:solidFill>
          </w14:textFill>
        </w:rPr>
        <w:t>③</w:t>
      </w:r>
      <w:r>
        <w:rPr>
          <w:rFonts w:hint="eastAsia"/>
          <w:bCs/>
          <w:color w:val="000000" w:themeColor="text1"/>
          <w14:textFill>
            <w14:solidFill>
              <w14:schemeClr w14:val="tx1"/>
            </w14:solidFill>
          </w14:textFill>
        </w:rPr>
        <w:t>细砂含量应不大于 1/10000。</w:t>
      </w:r>
    </w:p>
    <w:p>
      <w:pPr>
        <w:adjustRightInd w:val="0"/>
        <w:snapToGrid w:val="0"/>
        <w:spacing w:line="360" w:lineRule="auto"/>
        <w:ind w:firstLine="420"/>
        <w:jc w:val="left"/>
        <w:rPr>
          <w:bCs/>
          <w:color w:val="000000" w:themeColor="text1"/>
          <w14:textFill>
            <w14:solidFill>
              <w14:schemeClr w14:val="tx1"/>
            </w14:solidFill>
          </w14:textFill>
        </w:rPr>
      </w:pPr>
    </w:p>
    <w:p>
      <w:pPr>
        <w:pStyle w:val="22"/>
        <w:numPr>
          <w:ilvl w:val="1"/>
          <w:numId w:val="0"/>
        </w:numPr>
        <w:adjustRightInd w:val="0"/>
        <w:snapToGrid w:val="0"/>
        <w:spacing w:before="312" w:beforeLines="100" w:after="312" w:afterLines="100"/>
        <w:ind w:left="578" w:hanging="578"/>
        <w:jc w:val="center"/>
        <w:outlineLvl w:val="1"/>
        <w:rPr>
          <w:rFonts w:hAnsi="宋体"/>
          <w:b/>
          <w:color w:val="000000" w:themeColor="text1"/>
          <w:sz w:val="24"/>
          <w14:textFill>
            <w14:solidFill>
              <w14:schemeClr w14:val="tx1"/>
            </w14:solidFill>
          </w14:textFill>
        </w:rPr>
      </w:pPr>
      <w:bookmarkStart w:id="560" w:name="_Toc26695"/>
      <w:r>
        <w:rPr>
          <w:rFonts w:hint="eastAsia" w:hAnsi="宋体"/>
          <w:b/>
          <w:color w:val="000000" w:themeColor="text1"/>
          <w:sz w:val="24"/>
          <w14:textFill>
            <w14:solidFill>
              <w14:schemeClr w14:val="tx1"/>
            </w14:solidFill>
          </w14:textFill>
        </w:rPr>
        <w:t>6.2  降、排水</w:t>
      </w:r>
      <w:bookmarkEnd w:id="560"/>
    </w:p>
    <w:p>
      <w:pPr>
        <w:adjustRightInd w:val="0"/>
        <w:snapToGrid w:val="0"/>
        <w:spacing w:line="360" w:lineRule="auto"/>
        <w:rPr>
          <w:bCs/>
          <w:color w:val="000000" w:themeColor="text1"/>
          <w14:textFill>
            <w14:solidFill>
              <w14:schemeClr w14:val="tx1"/>
            </w14:solidFill>
          </w14:textFill>
        </w:rPr>
      </w:pPr>
      <w:r>
        <w:rPr>
          <w:rFonts w:hAnsi="宋体"/>
          <w:b/>
          <w:color w:val="000000" w:themeColor="text1"/>
          <w:szCs w:val="21"/>
          <w14:textFill>
            <w14:solidFill>
              <w14:schemeClr w14:val="tx1"/>
            </w14:solidFill>
          </w14:textFill>
        </w:rPr>
        <w:t>6.</w:t>
      </w:r>
      <w:r>
        <w:rPr>
          <w:rFonts w:hint="eastAsia" w:hAnsi="宋体"/>
          <w:b/>
          <w:color w:val="000000" w:themeColor="text1"/>
          <w:szCs w:val="21"/>
          <w14:textFill>
            <w14:solidFill>
              <w14:schemeClr w14:val="tx1"/>
            </w14:solidFill>
          </w14:textFill>
        </w:rPr>
        <w:t>2</w:t>
      </w:r>
      <w:r>
        <w:rPr>
          <w:rFonts w:hAnsi="宋体"/>
          <w:b/>
          <w:color w:val="000000" w:themeColor="text1"/>
          <w:szCs w:val="21"/>
          <w14:textFill>
            <w14:solidFill>
              <w14:schemeClr w14:val="tx1"/>
            </w14:solidFill>
          </w14:textFill>
        </w:rPr>
        <w:t xml:space="preserve">.1 </w:t>
      </w:r>
      <w:r>
        <w:rPr>
          <w:rFonts w:hint="eastAsia"/>
          <w:bCs/>
          <w:color w:val="000000" w:themeColor="text1"/>
          <w14:textFill>
            <w14:solidFill>
              <w14:schemeClr w14:val="tx1"/>
            </w14:solidFill>
          </w14:textFill>
        </w:rPr>
        <w:t>本条第1款根据现行国家标准《地下铁道工程施工质量验收标准》GB/T 50299-2018的第4.2.6条的规定编制。降水井与初期支护需要保持一定的距离，保证在初期支护施工过程中不影响降水井。</w:t>
      </w:r>
    </w:p>
    <w:p>
      <w:pPr>
        <w:adjustRightInd w:val="0"/>
        <w:snapToGrid w:val="0"/>
        <w:spacing w:line="360" w:lineRule="auto"/>
        <w:ind w:firstLine="420" w:firstLineChars="200"/>
        <w:rPr>
          <w:bCs/>
          <w:color w:val="000000" w:themeColor="text1"/>
          <w14:textFill>
            <w14:solidFill>
              <w14:schemeClr w14:val="tx1"/>
            </w14:solidFill>
          </w14:textFill>
        </w:rPr>
      </w:pPr>
      <w:r>
        <w:rPr>
          <w:rFonts w:hint="eastAsia" w:hAnsi="宋体"/>
          <w:bCs/>
          <w:color w:val="000000" w:themeColor="text1"/>
          <w:szCs w:val="21"/>
          <w14:textFill>
            <w14:solidFill>
              <w14:schemeClr w14:val="tx1"/>
            </w14:solidFill>
          </w14:textFill>
        </w:rPr>
        <w:t>第3款</w:t>
      </w:r>
      <w:r>
        <w:rPr>
          <w:rFonts w:hint="eastAsia"/>
          <w:bCs/>
          <w:color w:val="000000" w:themeColor="text1"/>
          <w14:textFill>
            <w14:solidFill>
              <w14:schemeClr w14:val="tx1"/>
            </w14:solidFill>
          </w14:textFill>
        </w:rPr>
        <w:t>隧道涌水量、单井涌水量可按照标准参照线形基坑、条形基坑计算。间距一般是根据地层渗透性等水文地质参数、结合施工经验计算确定。水位降深可根据规范提供的公式计算确定，当水位降深不满足要求时，可通过调整井数、布井方式，使降深满足降水设计要求。对于水文地质条件和隧道断面、线路复杂的工程，可采用数值法计算降水深度，并对降水方案进行优化。</w:t>
      </w:r>
    </w:p>
    <w:p>
      <w:pPr>
        <w:adjustRightInd w:val="0"/>
        <w:snapToGrid w:val="0"/>
        <w:spacing w:line="360" w:lineRule="auto"/>
        <w:ind w:firstLine="420" w:firstLineChars="200"/>
        <w:rPr>
          <w:bCs/>
          <w:color w:val="000000" w:themeColor="text1"/>
          <w14:textFill>
            <w14:solidFill>
              <w14:schemeClr w14:val="tx1"/>
            </w14:solidFill>
          </w14:textFill>
        </w:rPr>
      </w:pPr>
      <w:r>
        <w:rPr>
          <w:rFonts w:hint="eastAsia" w:hAnsi="宋体"/>
          <w:bCs/>
          <w:color w:val="000000" w:themeColor="text1"/>
          <w:szCs w:val="21"/>
          <w14:textFill>
            <w14:solidFill>
              <w14:schemeClr w14:val="tx1"/>
            </w14:solidFill>
          </w14:textFill>
        </w:rPr>
        <w:t>第5款</w:t>
      </w:r>
      <w:r>
        <w:rPr>
          <w:rFonts w:hint="eastAsia"/>
          <w:bCs/>
          <w:color w:val="000000" w:themeColor="text1"/>
          <w14:textFill>
            <w14:solidFill>
              <w14:schemeClr w14:val="tx1"/>
            </w14:solidFill>
          </w14:textFill>
        </w:rPr>
        <w:t>设计降水深度在基坑范围内一般按照在工作面底面以下 0.5m～1.0m。</w:t>
      </w:r>
    </w:p>
    <w:p>
      <w:pPr>
        <w:pStyle w:val="22"/>
        <w:tabs>
          <w:tab w:val="left" w:pos="851"/>
          <w:tab w:val="left" w:pos="5835"/>
        </w:tabs>
        <w:snapToGrid w:val="0"/>
        <w:spacing w:line="360" w:lineRule="auto"/>
        <w:ind w:firstLine="0" w:firstLineChars="0"/>
        <w:jc w:val="left"/>
        <w:rPr>
          <w:bCs/>
          <w:color w:val="000000" w:themeColor="text1"/>
          <w14:textFill>
            <w14:solidFill>
              <w14:schemeClr w14:val="tx1"/>
            </w14:solidFill>
          </w14:textFill>
        </w:rPr>
      </w:pPr>
      <w:r>
        <w:rPr>
          <w:rFonts w:hAnsi="宋体"/>
          <w:b/>
          <w:color w:val="000000" w:themeColor="text1"/>
          <w:szCs w:val="21"/>
          <w14:textFill>
            <w14:solidFill>
              <w14:schemeClr w14:val="tx1"/>
            </w14:solidFill>
          </w14:textFill>
        </w:rPr>
        <w:t>6.</w:t>
      </w:r>
      <w:r>
        <w:rPr>
          <w:rFonts w:hint="eastAsia" w:hAnsi="宋体"/>
          <w:b/>
          <w:color w:val="000000" w:themeColor="text1"/>
          <w:szCs w:val="21"/>
          <w14:textFill>
            <w14:solidFill>
              <w14:schemeClr w14:val="tx1"/>
            </w14:solidFill>
          </w14:textFill>
        </w:rPr>
        <w:t>2</w:t>
      </w:r>
      <w:r>
        <w:rPr>
          <w:rFonts w:hAnsi="宋体"/>
          <w:b/>
          <w:color w:val="000000" w:themeColor="text1"/>
          <w:szCs w:val="21"/>
          <w14:textFill>
            <w14:solidFill>
              <w14:schemeClr w14:val="tx1"/>
            </w14:solidFill>
          </w14:textFill>
        </w:rPr>
        <w:t>.</w:t>
      </w:r>
      <w:r>
        <w:rPr>
          <w:rFonts w:hint="eastAsia" w:hAnsi="宋体"/>
          <w:b/>
          <w:color w:val="000000" w:themeColor="text1"/>
          <w:szCs w:val="21"/>
          <w14:textFill>
            <w14:solidFill>
              <w14:schemeClr w14:val="tx1"/>
            </w14:solidFill>
          </w14:textFill>
        </w:rPr>
        <w:t>3</w:t>
      </w:r>
      <w:r>
        <w:rPr>
          <w:rFonts w:hAnsi="宋体"/>
          <w:b/>
          <w:color w:val="000000" w:themeColor="text1"/>
          <w:szCs w:val="21"/>
          <w14:textFill>
            <w14:solidFill>
              <w14:schemeClr w14:val="tx1"/>
            </w14:solidFill>
          </w14:textFill>
        </w:rPr>
        <w:t xml:space="preserve"> </w:t>
      </w:r>
      <w:r>
        <w:rPr>
          <w:rFonts w:hint="eastAsia"/>
          <w:bCs/>
          <w:color w:val="000000" w:themeColor="text1"/>
          <w14:textFill>
            <w14:solidFill>
              <w14:schemeClr w14:val="tx1"/>
            </w14:solidFill>
          </w14:textFill>
        </w:rPr>
        <w:t>对于弱透水地层中的隧道，当周边环境简单、含水层薄、水量小、降水深度小，且产生流砂、流土、潜蚀、管涌、淘空、塌陷等现象风险小时，考虑采用洞内集水明排。地下水明排措施主要需要防止渗水（或导水管引水） 过程中带走含水层中的细颗粒土。</w:t>
      </w:r>
    </w:p>
    <w:p>
      <w:pPr>
        <w:tabs>
          <w:tab w:val="left" w:pos="576"/>
        </w:tabs>
        <w:adjustRightInd w:val="0"/>
        <w:snapToGrid w:val="0"/>
        <w:spacing w:before="312" w:beforeLines="100" w:after="312" w:afterLines="100"/>
        <w:jc w:val="center"/>
        <w:outlineLvl w:val="1"/>
        <w:rPr>
          <w:rFonts w:hAnsi="宋体"/>
          <w:b/>
          <w:bCs/>
          <w:color w:val="000000" w:themeColor="text1"/>
          <w:sz w:val="24"/>
          <w14:textFill>
            <w14:solidFill>
              <w14:schemeClr w14:val="tx1"/>
            </w14:solidFill>
          </w14:textFill>
        </w:rPr>
      </w:pPr>
      <w:bookmarkStart w:id="561" w:name="_Toc3024"/>
      <w:r>
        <w:rPr>
          <w:rFonts w:hint="eastAsia"/>
          <w:b/>
          <w:bCs/>
          <w:color w:val="000000" w:themeColor="text1"/>
          <w:sz w:val="24"/>
          <w14:textFill>
            <w14:solidFill>
              <w14:schemeClr w14:val="tx1"/>
            </w14:solidFill>
          </w14:textFill>
        </w:rPr>
        <w:t>6.3  全断面超前深孔注浆</w:t>
      </w:r>
      <w:bookmarkEnd w:id="561"/>
    </w:p>
    <w:p>
      <w:pPr>
        <w:pStyle w:val="22"/>
        <w:tabs>
          <w:tab w:val="left" w:pos="851"/>
          <w:tab w:val="left" w:pos="5693"/>
        </w:tabs>
        <w:snapToGrid w:val="0"/>
        <w:spacing w:line="360" w:lineRule="auto"/>
        <w:ind w:firstLine="0" w:firstLineChars="0"/>
        <w:jc w:val="left"/>
        <w:rPr>
          <w:bCs/>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6.3.2 </w:t>
      </w:r>
      <w:r>
        <w:rPr>
          <w:rFonts w:hint="eastAsia"/>
          <w:bCs/>
          <w:color w:val="000000" w:themeColor="text1"/>
          <w14:textFill>
            <w14:solidFill>
              <w14:schemeClr w14:val="tx1"/>
            </w14:solidFill>
          </w14:textFill>
        </w:rPr>
        <w:t>本标准深孔是指深度超过3m的钻孔。</w:t>
      </w:r>
    </w:p>
    <w:p>
      <w:pPr>
        <w:tabs>
          <w:tab w:val="left" w:pos="576"/>
        </w:tabs>
        <w:adjustRightInd w:val="0"/>
        <w:snapToGrid w:val="0"/>
        <w:spacing w:before="312" w:beforeLines="100" w:after="312" w:afterLines="100"/>
        <w:jc w:val="center"/>
        <w:outlineLvl w:val="1"/>
        <w:rPr>
          <w:rFonts w:hAnsi="宋体"/>
          <w:b/>
          <w:bCs/>
          <w:color w:val="000000" w:themeColor="text1"/>
          <w:sz w:val="24"/>
          <w14:textFill>
            <w14:solidFill>
              <w14:schemeClr w14:val="tx1"/>
            </w14:solidFill>
          </w14:textFill>
        </w:rPr>
      </w:pPr>
      <w:bookmarkStart w:id="562" w:name="_Toc3056"/>
      <w:r>
        <w:rPr>
          <w:rFonts w:hint="eastAsia"/>
          <w:b/>
          <w:bCs/>
          <w:color w:val="000000" w:themeColor="text1"/>
          <w:sz w:val="24"/>
          <w14:textFill>
            <w14:solidFill>
              <w14:schemeClr w14:val="tx1"/>
            </w14:solidFill>
          </w14:textFill>
        </w:rPr>
        <w:t>6.4  水平旋喷注浆止水</w:t>
      </w:r>
      <w:bookmarkEnd w:id="562"/>
    </w:p>
    <w:p>
      <w:pPr>
        <w:adjustRightInd w:val="0"/>
        <w:snapToGrid w:val="0"/>
        <w:spacing w:line="360" w:lineRule="auto"/>
        <w:rPr>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6.4.2</w:t>
      </w:r>
      <w:r>
        <w:rPr>
          <w:rFonts w:hint="eastAsia" w:ascii="宋体" w:hAnsi="宋体" w:cs="宋体"/>
          <w:color w:val="000000" w:themeColor="text1"/>
          <w:kern w:val="0"/>
          <w:szCs w:val="21"/>
          <w:lang w:bidi="ar"/>
          <w14:textFill>
            <w14:solidFill>
              <w14:schemeClr w14:val="tx1"/>
            </w14:solidFill>
          </w14:textFill>
        </w:rPr>
        <w:t xml:space="preserve"> </w:t>
      </w:r>
      <w:r>
        <w:rPr>
          <w:rFonts w:hint="eastAsia"/>
          <w:color w:val="000000" w:themeColor="text1"/>
          <w14:textFill>
            <w14:solidFill>
              <w14:schemeClr w14:val="tx1"/>
            </w14:solidFill>
          </w14:textFill>
        </w:rPr>
        <w:t>掺加外加剂主要是</w:t>
      </w:r>
      <w:r>
        <w:rPr>
          <w:rFonts w:hint="eastAsia" w:ascii="宋体" w:hAnsi="宋体" w:cs="宋体"/>
          <w:color w:val="000000" w:themeColor="text1"/>
          <w14:textFill>
            <w14:solidFill>
              <w14:schemeClr w14:val="tx1"/>
            </w14:solidFill>
          </w14:textFill>
        </w:rPr>
        <w:t>为改善水泥土的性能和提高强度。</w:t>
      </w:r>
    </w:p>
    <w:p>
      <w:pPr>
        <w:spacing w:line="360" w:lineRule="auto"/>
        <w:rPr>
          <w:rFonts w:hAnsi="宋体"/>
          <w:b/>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6.4.4 </w:t>
      </w:r>
      <w:r>
        <w:rPr>
          <w:rFonts w:hint="eastAsia"/>
          <w:color w:val="000000" w:themeColor="text1"/>
          <w:szCs w:val="21"/>
          <w14:textFill>
            <w14:solidFill>
              <w14:schemeClr w14:val="tx1"/>
            </w14:solidFill>
          </w14:textFill>
        </w:rPr>
        <w:t>水平旋喷注浆主要的是施工工艺有：长悬臂水平旋喷注浆工法（CXB）和多管组合水平旋喷注浆工法（MJS）。其中，</w:t>
      </w:r>
      <w:r>
        <w:rPr>
          <w:rFonts w:hint="eastAsia" w:hAnsi="宋体"/>
          <w:color w:val="000000" w:themeColor="text1"/>
          <w:szCs w:val="21"/>
          <w14:textFill>
            <w14:solidFill>
              <w14:schemeClr w14:val="tx1"/>
            </w14:solidFill>
          </w14:textFill>
        </w:rPr>
        <w:t>CXB工法适合隧道区间水平工程量大、高效率的施工，成桩直径一般为600mm～1200mm</w:t>
      </w:r>
      <w:r>
        <w:rPr>
          <w:rFonts w:hint="eastAsia"/>
          <w:color w:val="000000" w:themeColor="text1"/>
          <w14:textFill>
            <w14:solidFill>
              <w14:schemeClr w14:val="tx1"/>
            </w14:solidFill>
          </w14:textFill>
        </w:rPr>
        <w:t>；</w:t>
      </w:r>
      <w:r>
        <w:rPr>
          <w:rFonts w:hint="eastAsia"/>
          <w:color w:val="000000" w:themeColor="text1"/>
          <w:szCs w:val="21"/>
          <w14:textFill>
            <w14:solidFill>
              <w14:schemeClr w14:val="tx1"/>
            </w14:solidFill>
          </w14:textFill>
        </w:rPr>
        <w:t>MJS工法主要用于于联络通道、开马头门、及隧道纵向小于30m的地层加固，</w:t>
      </w:r>
      <w:r>
        <w:rPr>
          <w:rFonts w:hint="eastAsia" w:hAnsi="宋体"/>
          <w:color w:val="000000" w:themeColor="text1"/>
          <w:szCs w:val="21"/>
          <w14:textFill>
            <w14:solidFill>
              <w14:schemeClr w14:val="tx1"/>
            </w14:solidFill>
          </w14:textFill>
        </w:rPr>
        <w:t>成桩直径一般不大于2.5m</w:t>
      </w:r>
      <w:r>
        <w:rPr>
          <w:rFonts w:hint="eastAsia"/>
          <w:color w:val="000000" w:themeColor="text1"/>
          <w:szCs w:val="21"/>
          <w14:textFill>
            <w14:solidFill>
              <w14:schemeClr w14:val="tx1"/>
            </w14:solidFill>
          </w14:textFill>
        </w:rPr>
        <w:t>。水平旋喷注浆对</w:t>
      </w:r>
      <w:r>
        <w:rPr>
          <w:rFonts w:hint="eastAsia" w:hAnsi="宋体"/>
          <w:color w:val="000000" w:themeColor="text1"/>
          <w:szCs w:val="21"/>
          <w14:textFill>
            <w14:solidFill>
              <w14:schemeClr w14:val="tx1"/>
            </w14:solidFill>
          </w14:textFill>
        </w:rPr>
        <w:t>施工设备要求较为高，一般采用自动化程度较高设备，方可满足施工质量控制要求。</w:t>
      </w:r>
    </w:p>
    <w:p>
      <w:pPr>
        <w:spacing w:line="360" w:lineRule="auto"/>
        <w:jc w:val="center"/>
        <w:rPr>
          <w:rFonts w:ascii="宋体" w:hAnsi="宋体" w:cstheme="minorEastAsia"/>
          <w:bCs/>
          <w:color w:val="000000" w:themeColor="text1"/>
          <w:szCs w:val="21"/>
          <w14:textFill>
            <w14:solidFill>
              <w14:schemeClr w14:val="tx1"/>
            </w14:solidFill>
          </w14:textFill>
        </w:rPr>
      </w:pPr>
      <w:r>
        <w:rPr>
          <w:rFonts w:hint="eastAsia" w:ascii="宋体" w:hAnsi="宋体" w:cstheme="minorEastAsia"/>
          <w:bCs/>
          <w:color w:val="000000" w:themeColor="text1"/>
          <w:szCs w:val="21"/>
          <w14:textFill>
            <w14:solidFill>
              <w14:schemeClr w14:val="tx1"/>
            </w14:solidFill>
          </w14:textFill>
        </w:rPr>
        <w:t>表</w:t>
      </w:r>
      <w:r>
        <w:rPr>
          <w:rFonts w:hint="eastAsia" w:hAnsi="宋体"/>
          <w:b/>
          <w:color w:val="000000" w:themeColor="text1"/>
          <w:szCs w:val="21"/>
          <w14:textFill>
            <w14:solidFill>
              <w14:schemeClr w14:val="tx1"/>
            </w14:solidFill>
          </w14:textFill>
        </w:rPr>
        <w:t xml:space="preserve">6.4.4  </w:t>
      </w:r>
      <w:r>
        <w:rPr>
          <w:rFonts w:hint="eastAsia" w:ascii="宋体" w:hAnsi="宋体" w:cstheme="minorEastAsia"/>
          <w:bCs/>
          <w:color w:val="000000" w:themeColor="text1"/>
          <w:kern w:val="0"/>
          <w:szCs w:val="21"/>
          <w14:textFill>
            <w14:solidFill>
              <w14:schemeClr w14:val="tx1"/>
            </w14:solidFill>
          </w14:textFill>
        </w:rPr>
        <w:t xml:space="preserve"> </w:t>
      </w:r>
      <w:r>
        <w:rPr>
          <w:rFonts w:hint="eastAsia" w:ascii="宋体" w:hAnsi="宋体" w:cstheme="minorEastAsia"/>
          <w:bCs/>
          <w:color w:val="000000" w:themeColor="text1"/>
          <w:szCs w:val="21"/>
          <w14:textFill>
            <w14:solidFill>
              <w14:schemeClr w14:val="tx1"/>
            </w14:solidFill>
          </w14:textFill>
        </w:rPr>
        <w:t>水平旋喷注浆工艺及特点对照表</w:t>
      </w:r>
    </w:p>
    <w:tbl>
      <w:tblPr>
        <w:tblStyle w:val="12"/>
        <w:tblW w:w="886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3"/>
        <w:gridCol w:w="4187"/>
        <w:gridCol w:w="3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893" w:type="dxa"/>
            <w:vAlign w:val="center"/>
          </w:tcPr>
          <w:p>
            <w:pPr>
              <w:spacing w:before="78" w:after="78"/>
              <w:jc w:val="center"/>
              <w:rPr>
                <w:rFonts w:ascii="宋体" w:hAnsi="宋体" w:cstheme="minorEastAsia"/>
                <w:iCs/>
                <w:color w:val="000000" w:themeColor="text1"/>
                <w:spacing w:val="5"/>
                <w:szCs w:val="21"/>
                <w14:textFill>
                  <w14:solidFill>
                    <w14:schemeClr w14:val="tx1"/>
                  </w14:solidFill>
                </w14:textFill>
              </w:rPr>
            </w:pPr>
            <w:r>
              <w:rPr>
                <w:rFonts w:hint="eastAsia" w:ascii="宋体" w:hAnsi="宋体" w:cstheme="minorEastAsia"/>
                <w:color w:val="000000" w:themeColor="text1"/>
                <w:szCs w:val="21"/>
                <w14:textFill>
                  <w14:solidFill>
                    <w14:schemeClr w14:val="tx1"/>
                  </w14:solidFill>
                </w14:textFill>
              </w:rPr>
              <w:t>水平旋喷工艺</w:t>
            </w:r>
          </w:p>
        </w:tc>
        <w:tc>
          <w:tcPr>
            <w:tcW w:w="4187" w:type="dxa"/>
            <w:vAlign w:val="center"/>
          </w:tcPr>
          <w:p>
            <w:pPr>
              <w:spacing w:before="78" w:after="78" w:line="440" w:lineRule="exact"/>
              <w:jc w:val="center"/>
              <w:rPr>
                <w:rFonts w:ascii="宋体" w:hAnsi="宋体" w:cstheme="minorEastAsia"/>
                <w:color w:val="000000" w:themeColor="text1"/>
                <w:szCs w:val="21"/>
                <w14:textFill>
                  <w14:solidFill>
                    <w14:schemeClr w14:val="tx1"/>
                  </w14:solidFill>
                </w14:textFill>
              </w:rPr>
            </w:pPr>
            <w:r>
              <w:rPr>
                <w:rFonts w:hint="eastAsia" w:ascii="宋体" w:hAnsi="宋体" w:cstheme="minorEastAsia"/>
                <w:color w:val="000000" w:themeColor="text1"/>
                <w:szCs w:val="21"/>
                <w14:textFill>
                  <w14:solidFill>
                    <w14:schemeClr w14:val="tx1"/>
                  </w14:solidFill>
                </w14:textFill>
              </w:rPr>
              <w:t>CXB长悬臂水平旋喷注浆工艺</w:t>
            </w:r>
          </w:p>
        </w:tc>
        <w:tc>
          <w:tcPr>
            <w:tcW w:w="3783" w:type="dxa"/>
            <w:vAlign w:val="center"/>
          </w:tcPr>
          <w:p>
            <w:pPr>
              <w:spacing w:before="78" w:after="78" w:line="440" w:lineRule="exact"/>
              <w:jc w:val="center"/>
              <w:rPr>
                <w:rFonts w:ascii="宋体" w:hAnsi="宋体" w:cstheme="minorEastAsia"/>
                <w:color w:val="000000" w:themeColor="text1"/>
                <w:szCs w:val="21"/>
                <w14:textFill>
                  <w14:solidFill>
                    <w14:schemeClr w14:val="tx1"/>
                  </w14:solidFill>
                </w14:textFill>
              </w:rPr>
            </w:pPr>
            <w:r>
              <w:rPr>
                <w:rFonts w:hint="eastAsia" w:ascii="宋体" w:hAnsi="宋体" w:cstheme="minorEastAsia"/>
                <w:color w:val="000000" w:themeColor="text1"/>
                <w:szCs w:val="21"/>
                <w14:textFill>
                  <w14:solidFill>
                    <w14:schemeClr w14:val="tx1"/>
                  </w14:solidFill>
                </w14:textFill>
              </w:rPr>
              <w:t>MJS多管组合水平旋喷注浆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8" w:hRule="atLeast"/>
        </w:trPr>
        <w:tc>
          <w:tcPr>
            <w:tcW w:w="893" w:type="dxa"/>
            <w:vAlign w:val="center"/>
          </w:tcPr>
          <w:p>
            <w:pPr>
              <w:spacing w:before="78" w:after="78" w:line="440" w:lineRule="exact"/>
              <w:jc w:val="center"/>
              <w:rPr>
                <w:rFonts w:ascii="宋体" w:hAnsi="宋体" w:cstheme="minorEastAsia"/>
                <w:color w:val="000000" w:themeColor="text1"/>
                <w:szCs w:val="21"/>
                <w14:textFill>
                  <w14:solidFill>
                    <w14:schemeClr w14:val="tx1"/>
                  </w14:solidFill>
                </w14:textFill>
              </w:rPr>
            </w:pPr>
            <w:r>
              <w:rPr>
                <w:rFonts w:hint="eastAsia" w:ascii="宋体" w:hAnsi="宋体" w:cstheme="minorEastAsia"/>
                <w:color w:val="000000" w:themeColor="text1"/>
                <w:szCs w:val="21"/>
                <w14:textFill>
                  <w14:solidFill>
                    <w14:schemeClr w14:val="tx1"/>
                  </w14:solidFill>
                </w14:textFill>
              </w:rPr>
              <w:t>特点</w:t>
            </w:r>
          </w:p>
        </w:tc>
        <w:tc>
          <w:tcPr>
            <w:tcW w:w="4187" w:type="dxa"/>
          </w:tcPr>
          <w:p>
            <w:pPr>
              <w:spacing w:before="78" w:after="78"/>
              <w:rPr>
                <w:rFonts w:ascii="宋体" w:hAnsi="宋体" w:cstheme="minorEastAsia"/>
                <w:color w:val="000000" w:themeColor="text1"/>
                <w:szCs w:val="21"/>
                <w14:textFill>
                  <w14:solidFill>
                    <w14:schemeClr w14:val="tx1"/>
                  </w14:solidFill>
                </w14:textFill>
              </w:rPr>
            </w:pPr>
            <w:r>
              <w:rPr>
                <w:rFonts w:hint="eastAsia" w:ascii="宋体" w:hAnsi="宋体" w:cstheme="minorEastAsia"/>
                <w:color w:val="000000" w:themeColor="text1"/>
                <w:szCs w:val="21"/>
                <w14:textFill>
                  <w14:solidFill>
                    <w14:schemeClr w14:val="tx1"/>
                  </w14:solidFill>
                </w14:textFill>
              </w:rPr>
              <w:t>1.工艺配套成熟，自动化程度高，施工速度快，每小时成桩在10m以上；</w:t>
            </w:r>
          </w:p>
          <w:p>
            <w:pPr>
              <w:spacing w:before="78" w:after="78"/>
              <w:rPr>
                <w:rFonts w:ascii="宋体" w:hAnsi="宋体" w:cstheme="minorEastAsia"/>
                <w:color w:val="000000" w:themeColor="text1"/>
                <w:szCs w:val="21"/>
                <w14:textFill>
                  <w14:solidFill>
                    <w14:schemeClr w14:val="tx1"/>
                  </w14:solidFill>
                </w14:textFill>
              </w:rPr>
            </w:pPr>
            <w:r>
              <w:rPr>
                <w:rFonts w:hint="eastAsia" w:ascii="宋体" w:hAnsi="宋体" w:cstheme="minorEastAsia"/>
                <w:color w:val="000000" w:themeColor="text1"/>
                <w:szCs w:val="21"/>
                <w14:textFill>
                  <w14:solidFill>
                    <w14:schemeClr w14:val="tx1"/>
                  </w14:solidFill>
                </w14:textFill>
              </w:rPr>
              <w:t>2.桩体粗细均匀，咬合止水效果好；</w:t>
            </w:r>
          </w:p>
          <w:p>
            <w:pPr>
              <w:spacing w:before="78" w:after="78"/>
              <w:rPr>
                <w:rFonts w:ascii="宋体" w:hAnsi="宋体" w:cstheme="minorEastAsia"/>
                <w:color w:val="000000" w:themeColor="text1"/>
                <w:szCs w:val="21"/>
                <w14:textFill>
                  <w14:solidFill>
                    <w14:schemeClr w14:val="tx1"/>
                  </w14:solidFill>
                </w14:textFill>
              </w:rPr>
            </w:pPr>
            <w:r>
              <w:rPr>
                <w:rFonts w:hint="eastAsia" w:ascii="宋体" w:hAnsi="宋体" w:cstheme="minorEastAsia"/>
                <w:color w:val="000000" w:themeColor="text1"/>
                <w:szCs w:val="21"/>
                <w14:textFill>
                  <w14:solidFill>
                    <w14:schemeClr w14:val="tx1"/>
                  </w14:solidFill>
                </w14:textFill>
              </w:rPr>
              <w:t>3.浆液材料采用普通水泥，不需要再次添加外加剂、改性剂等；</w:t>
            </w:r>
          </w:p>
          <w:p>
            <w:pPr>
              <w:spacing w:before="78" w:after="78"/>
              <w:rPr>
                <w:rFonts w:ascii="宋体" w:hAnsi="宋体" w:cstheme="minorEastAsia"/>
                <w:color w:val="000000" w:themeColor="text1"/>
                <w:szCs w:val="21"/>
                <w14:textFill>
                  <w14:solidFill>
                    <w14:schemeClr w14:val="tx1"/>
                  </w14:solidFill>
                </w14:textFill>
              </w:rPr>
            </w:pPr>
            <w:r>
              <w:rPr>
                <w:rFonts w:hint="eastAsia" w:ascii="宋体" w:hAnsi="宋体" w:cstheme="minorEastAsia"/>
                <w:color w:val="000000" w:themeColor="text1"/>
                <w:szCs w:val="21"/>
                <w14:textFill>
                  <w14:solidFill>
                    <w14:schemeClr w14:val="tx1"/>
                  </w14:solidFill>
                </w14:textFill>
              </w:rPr>
              <w:t>4.桩体直径一般在600mm～1200mm之间，超过以上区间后，成桩效果不好。</w:t>
            </w:r>
          </w:p>
          <w:p>
            <w:pPr>
              <w:spacing w:before="78" w:after="78"/>
              <w:rPr>
                <w:rFonts w:ascii="宋体" w:hAnsi="宋体" w:cstheme="minorEastAsia"/>
                <w:color w:val="000000" w:themeColor="text1"/>
                <w:szCs w:val="21"/>
                <w14:textFill>
                  <w14:solidFill>
                    <w14:schemeClr w14:val="tx1"/>
                  </w14:solidFill>
                </w14:textFill>
              </w:rPr>
            </w:pPr>
            <w:r>
              <w:rPr>
                <w:rFonts w:hint="eastAsia" w:ascii="宋体" w:hAnsi="宋体" w:cstheme="minorEastAsia"/>
                <w:color w:val="000000" w:themeColor="text1"/>
                <w:szCs w:val="21"/>
                <w14:textFill>
                  <w14:solidFill>
                    <w14:schemeClr w14:val="tx1"/>
                  </w14:solidFill>
                </w14:textFill>
              </w:rPr>
              <w:t>5.CXB工艺适合隧道正线区间水平工程量大、高效率的快速施工。</w:t>
            </w:r>
          </w:p>
        </w:tc>
        <w:tc>
          <w:tcPr>
            <w:tcW w:w="3783" w:type="dxa"/>
          </w:tcPr>
          <w:p>
            <w:pPr>
              <w:spacing w:before="78" w:after="78"/>
              <w:rPr>
                <w:rFonts w:ascii="宋体" w:hAnsi="宋体" w:cstheme="minorEastAsia"/>
                <w:color w:val="000000" w:themeColor="text1"/>
                <w:szCs w:val="21"/>
                <w14:textFill>
                  <w14:solidFill>
                    <w14:schemeClr w14:val="tx1"/>
                  </w14:solidFill>
                </w14:textFill>
              </w:rPr>
            </w:pPr>
            <w:r>
              <w:rPr>
                <w:rFonts w:hint="eastAsia" w:ascii="宋体" w:hAnsi="宋体" w:cstheme="minorEastAsia"/>
                <w:color w:val="000000" w:themeColor="text1"/>
                <w:szCs w:val="21"/>
                <w14:textFill>
                  <w14:solidFill>
                    <w14:schemeClr w14:val="tx1"/>
                  </w14:solidFill>
                </w14:textFill>
              </w:rPr>
              <w:t>1.采用多管、多次切割地层，泥浆回抽，主动排浆等工艺，成桩直径可以达到2.5m；</w:t>
            </w:r>
          </w:p>
          <w:p>
            <w:pPr>
              <w:spacing w:before="78" w:after="78"/>
              <w:rPr>
                <w:rFonts w:ascii="宋体" w:hAnsi="宋体" w:cstheme="minorEastAsia"/>
                <w:color w:val="000000" w:themeColor="text1"/>
                <w:szCs w:val="21"/>
                <w14:textFill>
                  <w14:solidFill>
                    <w14:schemeClr w14:val="tx1"/>
                  </w14:solidFill>
                </w14:textFill>
              </w:rPr>
            </w:pPr>
            <w:r>
              <w:rPr>
                <w:rFonts w:hint="eastAsia" w:ascii="宋体" w:hAnsi="宋体" w:cstheme="minorEastAsia"/>
                <w:color w:val="000000" w:themeColor="text1"/>
                <w:szCs w:val="21"/>
                <w14:textFill>
                  <w14:solidFill>
                    <w14:schemeClr w14:val="tx1"/>
                  </w14:solidFill>
                </w14:textFill>
              </w:rPr>
              <w:t>2.桩体直径大，咬合止水效果好；</w:t>
            </w:r>
          </w:p>
          <w:p>
            <w:pPr>
              <w:spacing w:before="78" w:after="78"/>
              <w:rPr>
                <w:rFonts w:ascii="宋体" w:hAnsi="宋体" w:cstheme="minorEastAsia"/>
                <w:color w:val="000000" w:themeColor="text1"/>
                <w:szCs w:val="21"/>
                <w14:textFill>
                  <w14:solidFill>
                    <w14:schemeClr w14:val="tx1"/>
                  </w14:solidFill>
                </w14:textFill>
              </w:rPr>
            </w:pPr>
            <w:r>
              <w:rPr>
                <w:rFonts w:hint="eastAsia" w:ascii="宋体" w:hAnsi="宋体" w:cstheme="minorEastAsia"/>
                <w:color w:val="000000" w:themeColor="text1"/>
                <w:szCs w:val="21"/>
                <w14:textFill>
                  <w14:solidFill>
                    <w14:schemeClr w14:val="tx1"/>
                  </w14:solidFill>
                </w14:textFill>
              </w:rPr>
              <w:t>3.需要多管反复切割地层，多次复喷，施工速度慢，施工成本高；</w:t>
            </w:r>
          </w:p>
          <w:p>
            <w:pPr>
              <w:spacing w:before="78" w:after="78"/>
              <w:rPr>
                <w:rFonts w:ascii="宋体" w:hAnsi="宋体" w:cstheme="minorEastAsia"/>
                <w:color w:val="000000" w:themeColor="text1"/>
                <w:szCs w:val="21"/>
                <w14:textFill>
                  <w14:solidFill>
                    <w14:schemeClr w14:val="tx1"/>
                  </w14:solidFill>
                </w14:textFill>
              </w:rPr>
            </w:pPr>
            <w:r>
              <w:rPr>
                <w:rFonts w:hint="eastAsia" w:ascii="宋体" w:hAnsi="宋体" w:cstheme="minorEastAsia"/>
                <w:color w:val="000000" w:themeColor="text1"/>
                <w:szCs w:val="21"/>
                <w14:textFill>
                  <w14:solidFill>
                    <w14:schemeClr w14:val="tx1"/>
                  </w14:solidFill>
                </w14:textFill>
              </w:rPr>
              <w:t>4.MJS工艺适合联络通道、开马头门、及隧道纵向小于30m范围内的小体量预加固作业。</w:t>
            </w:r>
          </w:p>
        </w:tc>
      </w:tr>
    </w:tbl>
    <w:p>
      <w:pPr>
        <w:snapToGrid w:val="0"/>
        <w:spacing w:line="360" w:lineRule="auto"/>
        <w:rPr>
          <w:rFonts w:hAnsi="宋体"/>
          <w:b/>
          <w:color w:val="000000" w:themeColor="text1"/>
          <w:szCs w:val="21"/>
          <w14:textFill>
            <w14:solidFill>
              <w14:schemeClr w14:val="tx1"/>
            </w14:solidFill>
          </w14:textFill>
        </w:rPr>
      </w:pPr>
    </w:p>
    <w:p>
      <w:pPr>
        <w:snapToGrid w:val="0"/>
        <w:spacing w:line="360" w:lineRule="auto"/>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6.4.5 </w:t>
      </w:r>
      <w:r>
        <w:rPr>
          <w:rFonts w:hint="eastAsia" w:ascii="宋体" w:hAnsi="宋体" w:cs="宋体"/>
          <w:color w:val="000000" w:themeColor="text1"/>
          <w14:textFill>
            <w14:solidFill>
              <w14:schemeClr w14:val="tx1"/>
            </w14:solidFill>
          </w14:textFill>
        </w:rPr>
        <w:t>隔孔实施是为了防止相邻孔间串浆。</w:t>
      </w:r>
    </w:p>
    <w:p>
      <w:pPr>
        <w:spacing w:line="360" w:lineRule="auto"/>
        <w:rPr>
          <w:rFonts w:hAnsi="宋体"/>
          <w:b/>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6.4.8 </w:t>
      </w:r>
      <w:r>
        <w:rPr>
          <w:rFonts w:hint="eastAsia" w:hAnsi="宋体"/>
          <w:color w:val="000000" w:themeColor="text1"/>
          <w:szCs w:val="21"/>
          <w14:textFill>
            <w14:solidFill>
              <w14:schemeClr w14:val="tx1"/>
            </w14:solidFill>
          </w14:textFill>
        </w:rPr>
        <w:t>水平旋喷注浆不适用于含有卵石、破碎岩、孤石等大颗粒地层，因此在选择工法时需特别注意。</w:t>
      </w:r>
    </w:p>
    <w:p>
      <w:pPr>
        <w:tabs>
          <w:tab w:val="left" w:pos="851"/>
          <w:tab w:val="left" w:pos="5835"/>
        </w:tabs>
        <w:snapToGrid w:val="0"/>
        <w:spacing w:line="360" w:lineRule="auto"/>
        <w:jc w:val="left"/>
        <w:rPr>
          <w:rFonts w:hAnsi="宋体"/>
          <w:b/>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 xml:space="preserve">6.4.9 </w:t>
      </w:r>
      <w:r>
        <w:rPr>
          <w:rFonts w:hint="eastAsia" w:ascii="宋体" w:hAnsi="宋体" w:cs="宋体"/>
          <w:color w:val="000000" w:themeColor="text1"/>
          <w14:textFill>
            <w14:solidFill>
              <w14:schemeClr w14:val="tx1"/>
            </w14:solidFill>
          </w14:textFill>
        </w:rPr>
        <w:t>浆液凝固后体积收缩，桩顶面下降，返浆回灌主要是保证桩顶标高满足要求。</w:t>
      </w:r>
    </w:p>
    <w:p>
      <w:pPr>
        <w:rPr>
          <w:rFonts w:eastAsia="黑体"/>
          <w:snapToGrid w:val="0"/>
          <w:color w:val="000000" w:themeColor="text1"/>
          <w:spacing w:val="8"/>
          <w:kern w:val="0"/>
          <w:sz w:val="24"/>
          <w:szCs w:val="21"/>
          <w:lang w:bidi="en-US"/>
          <w14:textFill>
            <w14:solidFill>
              <w14:schemeClr w14:val="tx1"/>
            </w14:solidFill>
          </w14:textFill>
        </w:rPr>
      </w:pPr>
      <w:r>
        <w:rPr>
          <w:rFonts w:eastAsia="黑体"/>
          <w:snapToGrid w:val="0"/>
          <w:color w:val="000000" w:themeColor="text1"/>
          <w:spacing w:val="8"/>
          <w:kern w:val="0"/>
          <w:sz w:val="24"/>
          <w:szCs w:val="21"/>
          <w:lang w:bidi="en-US"/>
          <w14:textFill>
            <w14:solidFill>
              <w14:schemeClr w14:val="tx1"/>
            </w14:solidFill>
          </w14:textFill>
        </w:rPr>
        <w:br w:type="page"/>
      </w:r>
    </w:p>
    <w:p>
      <w:pPr>
        <w:rPr>
          <w:rFonts w:eastAsia="黑体"/>
          <w:snapToGrid w:val="0"/>
          <w:color w:val="000000" w:themeColor="text1"/>
          <w:spacing w:val="8"/>
          <w:kern w:val="0"/>
          <w:sz w:val="24"/>
          <w:szCs w:val="21"/>
          <w:lang w:bidi="en-US"/>
          <w14:textFill>
            <w14:solidFill>
              <w14:schemeClr w14:val="tx1"/>
            </w14:solidFill>
          </w14:textFill>
        </w:rPr>
      </w:pPr>
    </w:p>
    <w:p>
      <w:pPr>
        <w:numPr>
          <w:ilvl w:val="255"/>
          <w:numId w:val="0"/>
        </w:numPr>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563" w:name="_Toc31834"/>
      <w:r>
        <w:rPr>
          <w:rFonts w:hint="eastAsia"/>
          <w:b/>
          <w:color w:val="000000" w:themeColor="text1"/>
          <w:sz w:val="28"/>
          <w:szCs w:val="28"/>
          <w14:textFill>
            <w14:solidFill>
              <w14:schemeClr w14:val="tx1"/>
            </w14:solidFill>
          </w14:textFill>
        </w:rPr>
        <w:t>7  超前预支护和地层加固</w:t>
      </w:r>
      <w:bookmarkEnd w:id="563"/>
    </w:p>
    <w:p>
      <w:pPr>
        <w:numPr>
          <w:ilvl w:val="255"/>
          <w:numId w:val="0"/>
        </w:numPr>
        <w:tabs>
          <w:tab w:val="left" w:pos="576"/>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64" w:name="_Toc1518"/>
      <w:r>
        <w:rPr>
          <w:rFonts w:hint="eastAsia" w:hAnsi="宋体"/>
          <w:b/>
          <w:color w:val="000000" w:themeColor="text1"/>
          <w:sz w:val="24"/>
          <w14:textFill>
            <w14:solidFill>
              <w14:schemeClr w14:val="tx1"/>
            </w14:solidFill>
          </w14:textFill>
        </w:rPr>
        <w:t>7.1  一般规定</w:t>
      </w:r>
      <w:bookmarkEnd w:id="564"/>
    </w:p>
    <w:p>
      <w:pPr>
        <w:pStyle w:val="21"/>
        <w:snapToGrid w:val="0"/>
        <w:spacing w:line="360" w:lineRule="auto"/>
        <w:jc w:val="both"/>
        <w:rPr>
          <w:rFonts w:hAnsi="宋体"/>
          <w:color w:val="000000" w:themeColor="text1"/>
          <w:sz w:val="21"/>
          <w:szCs w:val="21"/>
          <w:lang w:bidi="ar"/>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7.1.7</w:t>
      </w:r>
      <w:r>
        <w:rPr>
          <w:rFonts w:hint="eastAsia" w:hAnsi="宋体"/>
          <w:color w:val="000000" w:themeColor="text1"/>
          <w:sz w:val="21"/>
          <w:szCs w:val="21"/>
          <w:lang w:bidi="ar"/>
          <w14:textFill>
            <w14:solidFill>
              <w14:schemeClr w14:val="tx1"/>
            </w14:solidFill>
          </w14:textFill>
        </w:rPr>
        <w:t>封闭工作面，是为了稳定土层，防止在施工中出现坍塌现象，对于自稳能力较差的土层尤为重要；同时掌子面的封闭对于保证注浆加固效果有着积极的作用。超前小导管施工前一般采用喷射混凝土封闭工作面，喷射混凝土厚度一般控制在50mm～100mm；管棚支护、管幕支护以及超前深孔注浆，由于施工时间长，注浆量大、注浆压力高，一般需要采用钢架+钢筋网+喷射混凝土支护结构封闭。</w:t>
      </w:r>
    </w:p>
    <w:p>
      <w:pPr>
        <w:pStyle w:val="22"/>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7.1.8 </w:t>
      </w:r>
      <w:r>
        <w:rPr>
          <w:rFonts w:hint="eastAsia" w:hAnsi="宋体" w:cs="宋体"/>
          <w:color w:val="000000" w:themeColor="text1"/>
          <w:kern w:val="0"/>
          <w:szCs w:val="21"/>
          <w:lang w:bidi="ar"/>
          <w14:textFill>
            <w14:solidFill>
              <w14:schemeClr w14:val="tx1"/>
            </w14:solidFill>
          </w14:textFill>
        </w:rPr>
        <w:t>加固效果检查包括取样试验、钻孔、渗水试验等方法。</w:t>
      </w:r>
      <w:r>
        <w:rPr>
          <w:rFonts w:hint="eastAsia" w:hAnsi="宋体"/>
          <w:color w:val="000000" w:themeColor="text1"/>
          <w:szCs w:val="21"/>
          <w14:textFill>
            <w14:solidFill>
              <w14:schemeClr w14:val="tx1"/>
            </w14:solidFill>
          </w14:textFill>
        </w:rPr>
        <w:t>注浆结束后应检查其效果，不合格者一般进行再次补浆处理，注浆体固化达到设计强度或者止水效果显著方可开挖。</w:t>
      </w:r>
    </w:p>
    <w:p>
      <w:pPr>
        <w:numPr>
          <w:ilvl w:val="255"/>
          <w:numId w:val="0"/>
        </w:numPr>
        <w:tabs>
          <w:tab w:val="left" w:pos="576"/>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65" w:name="_Toc4392"/>
      <w:r>
        <w:rPr>
          <w:rFonts w:hint="eastAsia" w:hAnsi="宋体"/>
          <w:b/>
          <w:color w:val="000000" w:themeColor="text1"/>
          <w:sz w:val="24"/>
          <w14:textFill>
            <w14:solidFill>
              <w14:schemeClr w14:val="tx1"/>
            </w14:solidFill>
          </w14:textFill>
        </w:rPr>
        <w:t>7.2  超前小导管支护</w:t>
      </w:r>
      <w:bookmarkEnd w:id="565"/>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7.2.1 </w:t>
      </w:r>
      <w:r>
        <w:rPr>
          <w:rFonts w:hint="eastAsia" w:ascii="宋体" w:hAnsi="宋体" w:cs="宋体"/>
          <w:color w:val="000000" w:themeColor="text1"/>
          <w14:textFill>
            <w14:solidFill>
              <w14:schemeClr w14:val="tx1"/>
            </w14:solidFill>
          </w14:textFill>
        </w:rPr>
        <w:t>超前小导管的技术参数由设计单位根据地层特性确定，当地质条件变化或出现不适应时，应根据地层条件进行调整。</w:t>
      </w:r>
    </w:p>
    <w:p>
      <w:pPr>
        <w:pStyle w:val="22"/>
        <w:numPr>
          <w:ilvl w:val="255"/>
          <w:numId w:val="0"/>
        </w:numPr>
        <w:tabs>
          <w:tab w:val="left" w:pos="851"/>
        </w:tabs>
        <w:snapToGrid w:val="0"/>
        <w:spacing w:line="360" w:lineRule="auto"/>
        <w:ind w:firstLine="420" w:firstLineChars="20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超前小导管要求直顺，若采用捶击打入法时，导管尾部一般采用加强环补强，前端加工成尖锥形。小导管采用钻孔施工时，钻孔深度应大于导管长度；采用锤击或钻机顶入时，其顶入长度不应小于设计总管长的90%。小导管规格、型号和布置按符合设计要求，其参数一般如下表</w:t>
      </w:r>
      <w:r>
        <w:rPr>
          <w:rFonts w:hint="eastAsia" w:hAnsi="宋体"/>
          <w:b/>
          <w:bCs/>
          <w:color w:val="000000" w:themeColor="text1"/>
          <w:szCs w:val="21"/>
          <w14:textFill>
            <w14:solidFill>
              <w14:schemeClr w14:val="tx1"/>
            </w14:solidFill>
          </w14:textFill>
        </w:rPr>
        <w:t>7.2.1-1</w:t>
      </w:r>
      <w:r>
        <w:rPr>
          <w:rFonts w:hint="eastAsia" w:hAnsi="宋体"/>
          <w:color w:val="000000" w:themeColor="text1"/>
          <w:szCs w:val="21"/>
          <w14:textFill>
            <w14:solidFill>
              <w14:schemeClr w14:val="tx1"/>
            </w14:solidFill>
          </w14:textFill>
        </w:rPr>
        <w:t>。</w:t>
      </w:r>
    </w:p>
    <w:p>
      <w:pPr>
        <w:spacing w:before="78" w:after="78"/>
        <w:ind w:firstLine="630" w:firstLineChars="300"/>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表</w:t>
      </w:r>
      <w:r>
        <w:rPr>
          <w:rFonts w:hint="eastAsia" w:hAnsi="宋体"/>
          <w:b/>
          <w:bCs/>
          <w:color w:val="000000" w:themeColor="text1"/>
          <w:szCs w:val="21"/>
          <w14:textFill>
            <w14:solidFill>
              <w14:schemeClr w14:val="tx1"/>
            </w14:solidFill>
          </w14:textFill>
        </w:rPr>
        <w:t>7.2.1-1</w:t>
      </w:r>
      <w:r>
        <w:rPr>
          <w:rFonts w:hint="eastAsia" w:hAnsi="宋体"/>
          <w:color w:val="000000" w:themeColor="text1"/>
          <w:szCs w:val="21"/>
          <w14:textFill>
            <w14:solidFill>
              <w14:schemeClr w14:val="tx1"/>
            </w14:solidFill>
          </w14:textFill>
        </w:rPr>
        <w:t xml:space="preserve">  超前小导管支护设计参数</w:t>
      </w:r>
    </w:p>
    <w:tbl>
      <w:tblPr>
        <w:tblStyle w:val="12"/>
        <w:tblW w:w="840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7"/>
        <w:gridCol w:w="900"/>
        <w:gridCol w:w="900"/>
        <w:gridCol w:w="986"/>
        <w:gridCol w:w="1276"/>
        <w:gridCol w:w="1275"/>
        <w:gridCol w:w="993"/>
        <w:gridCol w:w="13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62" w:hRule="exact"/>
        </w:trPr>
        <w:tc>
          <w:tcPr>
            <w:tcW w:w="747"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适用地层</w:t>
            </w:r>
          </w:p>
        </w:tc>
        <w:tc>
          <w:tcPr>
            <w:tcW w:w="900"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钢管</w:t>
            </w:r>
          </w:p>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直径</w:t>
            </w:r>
          </w:p>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(mm)</w:t>
            </w:r>
          </w:p>
        </w:tc>
        <w:tc>
          <w:tcPr>
            <w:tcW w:w="900"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单根长</w:t>
            </w:r>
          </w:p>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（m）</w:t>
            </w:r>
          </w:p>
        </w:tc>
        <w:tc>
          <w:tcPr>
            <w:tcW w:w="986"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布置</w:t>
            </w:r>
          </w:p>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范围</w:t>
            </w:r>
          </w:p>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w:t>
            </w:r>
          </w:p>
        </w:tc>
        <w:tc>
          <w:tcPr>
            <w:tcW w:w="1276"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钢管钻设注浆孔的间距(mm)</w:t>
            </w:r>
          </w:p>
        </w:tc>
        <w:tc>
          <w:tcPr>
            <w:tcW w:w="1275"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钢管沿拱环向布置间距（mm）</w:t>
            </w:r>
          </w:p>
        </w:tc>
        <w:tc>
          <w:tcPr>
            <w:tcW w:w="993"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钢管沿拱环向外插角（°）</w:t>
            </w:r>
          </w:p>
        </w:tc>
        <w:tc>
          <w:tcPr>
            <w:tcW w:w="1325"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沿隧道纵向前后两排钢管搭接长度（m）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747"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土层或不稳定岩体</w:t>
            </w:r>
          </w:p>
        </w:tc>
        <w:tc>
          <w:tcPr>
            <w:tcW w:w="900"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30～50</w:t>
            </w:r>
          </w:p>
        </w:tc>
        <w:tc>
          <w:tcPr>
            <w:tcW w:w="900"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1.75～6</w:t>
            </w:r>
          </w:p>
        </w:tc>
        <w:tc>
          <w:tcPr>
            <w:tcW w:w="986"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120～180</w:t>
            </w:r>
          </w:p>
        </w:tc>
        <w:tc>
          <w:tcPr>
            <w:tcW w:w="1276"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100～150</w:t>
            </w:r>
          </w:p>
        </w:tc>
        <w:tc>
          <w:tcPr>
            <w:tcW w:w="1275"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200～300</w:t>
            </w:r>
          </w:p>
        </w:tc>
        <w:tc>
          <w:tcPr>
            <w:tcW w:w="993"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15～25</w:t>
            </w:r>
          </w:p>
        </w:tc>
        <w:tc>
          <w:tcPr>
            <w:tcW w:w="1325"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1.0</w:t>
            </w:r>
          </w:p>
        </w:tc>
      </w:tr>
    </w:tbl>
    <w:p>
      <w:pPr>
        <w:pStyle w:val="22"/>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p>
    <w:p>
      <w:pPr>
        <w:pStyle w:val="22"/>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双层小导管注浆措施主要针对锚喷支护结构上拱顶部为无水的不稳定岩体，且施工区域紧邻既有结构对地层沉降变化敏感的情况，采用双层超前小导管对地层进行预加固，其施工参数如下表</w:t>
      </w:r>
      <w:r>
        <w:rPr>
          <w:rFonts w:hint="eastAsia" w:hAnsi="宋体"/>
          <w:b/>
          <w:bCs/>
          <w:color w:val="000000" w:themeColor="text1"/>
          <w:szCs w:val="21"/>
          <w14:textFill>
            <w14:solidFill>
              <w14:schemeClr w14:val="tx1"/>
            </w14:solidFill>
          </w14:textFill>
        </w:rPr>
        <w:t>7.2.1-2</w:t>
      </w:r>
      <w:r>
        <w:rPr>
          <w:rFonts w:hint="eastAsia" w:hAnsi="宋体"/>
          <w:color w:val="000000" w:themeColor="text1"/>
          <w:szCs w:val="21"/>
          <w14:textFill>
            <w14:solidFill>
              <w14:schemeClr w14:val="tx1"/>
            </w14:solidFill>
          </w14:textFill>
        </w:rPr>
        <w:t>。</w:t>
      </w:r>
    </w:p>
    <w:p>
      <w:pPr>
        <w:pStyle w:val="22"/>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p>
    <w:p>
      <w:pPr>
        <w:pStyle w:val="22"/>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p>
    <w:p>
      <w:pPr>
        <w:spacing w:before="78" w:after="78"/>
        <w:ind w:left="363" w:leftChars="173" w:firstLine="315" w:firstLineChars="150"/>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表</w:t>
      </w:r>
      <w:r>
        <w:rPr>
          <w:rFonts w:hint="eastAsia" w:hAnsi="宋体"/>
          <w:b/>
          <w:bCs/>
          <w:color w:val="000000" w:themeColor="text1"/>
          <w:szCs w:val="21"/>
          <w14:textFill>
            <w14:solidFill>
              <w14:schemeClr w14:val="tx1"/>
            </w14:solidFill>
          </w14:textFill>
        </w:rPr>
        <w:t>7.2.1-2</w:t>
      </w:r>
      <w:r>
        <w:rPr>
          <w:rFonts w:hint="eastAsia" w:hAnsi="宋体"/>
          <w:color w:val="000000" w:themeColor="text1"/>
          <w:szCs w:val="21"/>
          <w14:textFill>
            <w14:solidFill>
              <w14:schemeClr w14:val="tx1"/>
            </w14:solidFill>
          </w14:textFill>
        </w:rPr>
        <w:t xml:space="preserve">  双排小导管支护设计参数</w:t>
      </w:r>
    </w:p>
    <w:tbl>
      <w:tblPr>
        <w:tblStyle w:val="12"/>
        <w:tblW w:w="8364"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47"/>
        <w:gridCol w:w="1026"/>
        <w:gridCol w:w="1080"/>
        <w:gridCol w:w="1315"/>
        <w:gridCol w:w="1317"/>
        <w:gridCol w:w="1316"/>
        <w:gridCol w:w="15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68" w:hRule="atLeast"/>
        </w:trPr>
        <w:tc>
          <w:tcPr>
            <w:tcW w:w="747"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分层位置</w:t>
            </w:r>
          </w:p>
        </w:tc>
        <w:tc>
          <w:tcPr>
            <w:tcW w:w="1026"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钢管</w:t>
            </w:r>
          </w:p>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直径</w:t>
            </w:r>
          </w:p>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(mm)</w:t>
            </w:r>
          </w:p>
        </w:tc>
        <w:tc>
          <w:tcPr>
            <w:tcW w:w="1080"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单根长度(m)</w:t>
            </w:r>
          </w:p>
        </w:tc>
        <w:tc>
          <w:tcPr>
            <w:tcW w:w="1315"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钢管钻设注浆孔间距(mm)</w:t>
            </w:r>
          </w:p>
        </w:tc>
        <w:tc>
          <w:tcPr>
            <w:tcW w:w="1317"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钢管沿拱顶环向布置间距（mm）</w:t>
            </w:r>
          </w:p>
        </w:tc>
        <w:tc>
          <w:tcPr>
            <w:tcW w:w="1316"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钢管沿拱顶环向外插角（°）</w:t>
            </w:r>
          </w:p>
        </w:tc>
        <w:tc>
          <w:tcPr>
            <w:tcW w:w="1563"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沿隧道顶部纵向两排钢管搭接长度（m）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747"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上层</w:t>
            </w:r>
          </w:p>
        </w:tc>
        <w:tc>
          <w:tcPr>
            <w:tcW w:w="1026"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40～50</w:t>
            </w:r>
          </w:p>
        </w:tc>
        <w:tc>
          <w:tcPr>
            <w:tcW w:w="1080"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3～5</w:t>
            </w:r>
          </w:p>
        </w:tc>
        <w:tc>
          <w:tcPr>
            <w:tcW w:w="1315"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100～150</w:t>
            </w:r>
          </w:p>
        </w:tc>
        <w:tc>
          <w:tcPr>
            <w:tcW w:w="1317"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300～500</w:t>
            </w:r>
          </w:p>
        </w:tc>
        <w:tc>
          <w:tcPr>
            <w:tcW w:w="1316"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30～60</w:t>
            </w:r>
          </w:p>
        </w:tc>
        <w:tc>
          <w:tcPr>
            <w:tcW w:w="1563"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trPr>
        <w:tc>
          <w:tcPr>
            <w:tcW w:w="747"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下层</w:t>
            </w:r>
          </w:p>
        </w:tc>
        <w:tc>
          <w:tcPr>
            <w:tcW w:w="1026"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40～50</w:t>
            </w:r>
          </w:p>
        </w:tc>
        <w:tc>
          <w:tcPr>
            <w:tcW w:w="1080"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1.5～2.5</w:t>
            </w:r>
          </w:p>
        </w:tc>
        <w:tc>
          <w:tcPr>
            <w:tcW w:w="1315"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100～150</w:t>
            </w:r>
          </w:p>
        </w:tc>
        <w:tc>
          <w:tcPr>
            <w:tcW w:w="1317"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200～300</w:t>
            </w:r>
          </w:p>
        </w:tc>
        <w:tc>
          <w:tcPr>
            <w:tcW w:w="1316"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10～15</w:t>
            </w:r>
          </w:p>
        </w:tc>
        <w:tc>
          <w:tcPr>
            <w:tcW w:w="1563" w:type="dxa"/>
            <w:vAlign w:val="center"/>
          </w:tcPr>
          <w:p>
            <w:pPr>
              <w:spacing w:before="78" w:after="78"/>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1</w:t>
            </w:r>
          </w:p>
        </w:tc>
      </w:tr>
    </w:tbl>
    <w:p>
      <w:pPr>
        <w:pStyle w:val="22"/>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7.2.2 </w:t>
      </w:r>
      <w:r>
        <w:rPr>
          <w:rFonts w:hint="eastAsia" w:ascii="宋体" w:hAnsi="宋体" w:cs="宋体"/>
          <w:color w:val="000000" w:themeColor="text1"/>
          <w14:textFill>
            <w14:solidFill>
              <w14:schemeClr w14:val="tx1"/>
            </w14:solidFill>
          </w14:textFill>
        </w:rPr>
        <w:t>超前小导管的打设施工不扰动围岩稳定是加固的基本要求。根据地层选择成孔方法主要是尽可能减少对地层的扰动，防止塌孔。</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7.2.4 </w:t>
      </w:r>
      <w:r>
        <w:rPr>
          <w:rFonts w:hint="eastAsia" w:ascii="宋体" w:hAnsi="宋体" w:cs="宋体"/>
          <w:color w:val="000000" w:themeColor="text1"/>
          <w14:textFill>
            <w14:solidFill>
              <w14:schemeClr w14:val="tx1"/>
            </w14:solidFill>
          </w14:textFill>
        </w:rPr>
        <w:t>超前小导管应在格栅钢架安装完成、并固定好的情况下安装，超前小导管与格栅钢架焊接牢固，前端嵌固在地层中，能够形成牢固、稳定的支护结构，稳定工作面土层。</w:t>
      </w:r>
    </w:p>
    <w:p>
      <w:pPr>
        <w:snapToGrid w:val="0"/>
        <w:spacing w:line="360" w:lineRule="auto"/>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7.2.9</w:t>
      </w:r>
      <w:r>
        <w:rPr>
          <w:rFonts w:hint="eastAsia" w:hAnsi="宋体"/>
          <w:color w:val="000000" w:themeColor="text1"/>
          <w:szCs w:val="21"/>
          <w14:textFill>
            <w14:solidFill>
              <w14:schemeClr w14:val="tx1"/>
            </w14:solidFill>
          </w14:textFill>
        </w:rPr>
        <w:t xml:space="preserve"> 注浆终压应由地层条件和周边环境控制要求确定，一般宜不大于0.5MPa。</w:t>
      </w:r>
    </w:p>
    <w:p>
      <w:pPr>
        <w:numPr>
          <w:ilvl w:val="255"/>
          <w:numId w:val="0"/>
        </w:numPr>
        <w:tabs>
          <w:tab w:val="left" w:pos="576"/>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66" w:name="_Toc3655"/>
      <w:r>
        <w:rPr>
          <w:rFonts w:hint="eastAsia" w:hAnsi="宋体"/>
          <w:b/>
          <w:color w:val="000000" w:themeColor="text1"/>
          <w:sz w:val="24"/>
          <w14:textFill>
            <w14:solidFill>
              <w14:schemeClr w14:val="tx1"/>
            </w14:solidFill>
          </w14:textFill>
        </w:rPr>
        <w:t>7.3  管棚支护</w:t>
      </w:r>
      <w:bookmarkEnd w:id="566"/>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7.3.1 </w:t>
      </w:r>
      <w:r>
        <w:rPr>
          <w:rFonts w:hint="eastAsia" w:ascii="宋体" w:hAnsi="宋体" w:cs="宋体"/>
          <w:color w:val="000000" w:themeColor="text1"/>
          <w14:textFill>
            <w14:solidFill>
              <w14:schemeClr w14:val="tx1"/>
            </w14:solidFill>
          </w14:textFill>
        </w:rPr>
        <w:t>管棚一般用于隧道穿越特殊困难地段，以保证施工及周边环境安全。</w:t>
      </w:r>
    </w:p>
    <w:p>
      <w:pPr>
        <w:pStyle w:val="22"/>
        <w:numPr>
          <w:ilvl w:val="255"/>
          <w:numId w:val="0"/>
        </w:numPr>
        <w:tabs>
          <w:tab w:val="left" w:pos="851"/>
        </w:tabs>
        <w:snapToGrid w:val="0"/>
        <w:spacing w:line="360" w:lineRule="auto"/>
        <w:jc w:val="left"/>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7.3.2 </w:t>
      </w:r>
      <w:r>
        <w:rPr>
          <w:rFonts w:hint="eastAsia" w:ascii="宋体" w:hAnsi="宋体" w:cs="宋体"/>
          <w:color w:val="000000" w:themeColor="text1"/>
          <w14:textFill>
            <w14:solidFill>
              <w14:schemeClr w14:val="tx1"/>
            </w14:solidFill>
          </w14:textFill>
        </w:rPr>
        <w:t>管棚由钢管和钢架组成。为保证管棚整体受力，洞口处一般设置钢架将管棚连成整体，根据现场条件及设计计算，一般采用格栅钢架和型钢钢架。超前管棚一般根据工程特点、结合地质条件等综合因素进行设计，其参数一般条件下设置如表</w:t>
      </w:r>
      <w:r>
        <w:rPr>
          <w:rFonts w:hint="eastAsia" w:hAnsi="宋体"/>
          <w:b/>
          <w:bCs/>
          <w:color w:val="000000" w:themeColor="text1"/>
          <w:szCs w:val="21"/>
          <w14:textFill>
            <w14:solidFill>
              <w14:schemeClr w14:val="tx1"/>
            </w14:solidFill>
          </w14:textFill>
        </w:rPr>
        <w:t>7.3.2</w:t>
      </w:r>
      <w:r>
        <w:rPr>
          <w:rFonts w:hint="eastAsia" w:ascii="宋体" w:hAnsi="宋体" w:cs="宋体"/>
          <w:color w:val="000000" w:themeColor="text1"/>
          <w14:textFill>
            <w14:solidFill>
              <w14:schemeClr w14:val="tx1"/>
            </w14:solidFill>
          </w14:textFill>
        </w:rPr>
        <w:t>。</w:t>
      </w:r>
    </w:p>
    <w:p>
      <w:pPr>
        <w:spacing w:before="78" w:after="78"/>
        <w:ind w:firstLine="630" w:firstLineChars="300"/>
        <w:jc w:val="center"/>
        <w:rPr>
          <w:rFonts w:ascii="宋体" w:hAnsi="宋体" w:cs="宋体"/>
          <w:color w:val="000000" w:themeColor="text1"/>
          <w14:textFill>
            <w14:solidFill>
              <w14:schemeClr w14:val="tx1"/>
            </w14:solidFill>
          </w14:textFill>
        </w:rPr>
      </w:pPr>
      <w:r>
        <w:rPr>
          <w:rFonts w:hint="eastAsia" w:ascii="宋体" w:hAnsi="宋体" w:cs="宋体"/>
          <w:color w:val="000000" w:themeColor="text1"/>
          <w14:textFill>
            <w14:solidFill>
              <w14:schemeClr w14:val="tx1"/>
            </w14:solidFill>
          </w14:textFill>
        </w:rPr>
        <w:t>表</w:t>
      </w:r>
      <w:r>
        <w:rPr>
          <w:rFonts w:hint="eastAsia" w:hAnsi="宋体"/>
          <w:b/>
          <w:bCs/>
          <w:color w:val="000000" w:themeColor="text1"/>
          <w:szCs w:val="21"/>
          <w14:textFill>
            <w14:solidFill>
              <w14:schemeClr w14:val="tx1"/>
            </w14:solidFill>
          </w14:textFill>
        </w:rPr>
        <w:t xml:space="preserve">7.3.2 </w:t>
      </w:r>
      <w:r>
        <w:rPr>
          <w:rFonts w:hint="eastAsia" w:ascii="宋体" w:hAnsi="宋体" w:cs="宋体"/>
          <w:color w:val="000000" w:themeColor="text1"/>
          <w14:textFill>
            <w14:solidFill>
              <w14:schemeClr w14:val="tx1"/>
            </w14:solidFill>
          </w14:textFill>
        </w:rPr>
        <w:t xml:space="preserve"> 超前管棚支护设计参数值</w:t>
      </w:r>
    </w:p>
    <w:tbl>
      <w:tblPr>
        <w:tblStyle w:val="12"/>
        <w:tblW w:w="81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0"/>
        <w:gridCol w:w="942"/>
        <w:gridCol w:w="921"/>
        <w:gridCol w:w="958"/>
        <w:gridCol w:w="1134"/>
        <w:gridCol w:w="1120"/>
        <w:gridCol w:w="1073"/>
        <w:gridCol w:w="8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5" w:hRule="atLeast"/>
          <w:jc w:val="center"/>
        </w:trPr>
        <w:tc>
          <w:tcPr>
            <w:tcW w:w="1120" w:type="dxa"/>
            <w:vMerge w:val="restart"/>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适用地层</w:t>
            </w:r>
          </w:p>
        </w:tc>
        <w:tc>
          <w:tcPr>
            <w:tcW w:w="942" w:type="dxa"/>
            <w:vMerge w:val="restart"/>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钢管</w:t>
            </w:r>
          </w:p>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直径</w:t>
            </w:r>
          </w:p>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（mm）</w:t>
            </w:r>
          </w:p>
        </w:tc>
        <w:tc>
          <w:tcPr>
            <w:tcW w:w="1879" w:type="dxa"/>
            <w:gridSpan w:val="2"/>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钢管长度(m)</w:t>
            </w:r>
          </w:p>
        </w:tc>
        <w:tc>
          <w:tcPr>
            <w:tcW w:w="1134" w:type="dxa"/>
            <w:vMerge w:val="restart"/>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钢管钻设注浆孔的间距(mm)</w:t>
            </w:r>
          </w:p>
        </w:tc>
        <w:tc>
          <w:tcPr>
            <w:tcW w:w="1120" w:type="dxa"/>
            <w:vMerge w:val="restart"/>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钢管沿拱外侧环向布置间距（mm）</w:t>
            </w:r>
          </w:p>
        </w:tc>
        <w:tc>
          <w:tcPr>
            <w:tcW w:w="1073" w:type="dxa"/>
            <w:vMerge w:val="restart"/>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钢管沿拱的环向外插角（°）</w:t>
            </w:r>
          </w:p>
        </w:tc>
        <w:tc>
          <w:tcPr>
            <w:tcW w:w="889" w:type="dxa"/>
            <w:vMerge w:val="restart"/>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沿隧道纵向排钢管搭接长度（m）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5" w:hRule="atLeast"/>
          <w:jc w:val="center"/>
        </w:trPr>
        <w:tc>
          <w:tcPr>
            <w:tcW w:w="1120" w:type="dxa"/>
            <w:vMerge w:val="continue"/>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p>
        </w:tc>
        <w:tc>
          <w:tcPr>
            <w:tcW w:w="942" w:type="dxa"/>
            <w:vMerge w:val="continue"/>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p>
        </w:tc>
        <w:tc>
          <w:tcPr>
            <w:tcW w:w="921" w:type="dxa"/>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每根长</w:t>
            </w:r>
          </w:p>
        </w:tc>
        <w:tc>
          <w:tcPr>
            <w:tcW w:w="958" w:type="dxa"/>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总长度</w:t>
            </w:r>
          </w:p>
        </w:tc>
        <w:tc>
          <w:tcPr>
            <w:tcW w:w="1134" w:type="dxa"/>
            <w:vMerge w:val="continue"/>
            <w:vAlign w:val="center"/>
          </w:tcPr>
          <w:p>
            <w:pPr>
              <w:spacing w:before="78" w:after="78"/>
              <w:ind w:left="180"/>
              <w:jc w:val="center"/>
              <w:rPr>
                <w:rFonts w:ascii="宋体" w:hAnsi="宋体" w:cstheme="minorEastAsia"/>
                <w:color w:val="000000" w:themeColor="text1"/>
                <w:sz w:val="18"/>
                <w:szCs w:val="18"/>
                <w14:textFill>
                  <w14:solidFill>
                    <w14:schemeClr w14:val="tx1"/>
                  </w14:solidFill>
                </w14:textFill>
              </w:rPr>
            </w:pPr>
          </w:p>
        </w:tc>
        <w:tc>
          <w:tcPr>
            <w:tcW w:w="1120" w:type="dxa"/>
            <w:vMerge w:val="continue"/>
            <w:vAlign w:val="center"/>
          </w:tcPr>
          <w:p>
            <w:pPr>
              <w:spacing w:before="78" w:after="78"/>
              <w:ind w:left="180"/>
              <w:jc w:val="center"/>
              <w:rPr>
                <w:rFonts w:ascii="宋体" w:hAnsi="宋体" w:cstheme="minorEastAsia"/>
                <w:color w:val="000000" w:themeColor="text1"/>
                <w:sz w:val="18"/>
                <w:szCs w:val="18"/>
                <w14:textFill>
                  <w14:solidFill>
                    <w14:schemeClr w14:val="tx1"/>
                  </w14:solidFill>
                </w14:textFill>
              </w:rPr>
            </w:pPr>
          </w:p>
        </w:tc>
        <w:tc>
          <w:tcPr>
            <w:tcW w:w="1073" w:type="dxa"/>
            <w:vMerge w:val="continue"/>
            <w:vAlign w:val="center"/>
          </w:tcPr>
          <w:p>
            <w:pPr>
              <w:spacing w:before="78" w:after="78"/>
              <w:ind w:left="180"/>
              <w:jc w:val="center"/>
              <w:rPr>
                <w:rFonts w:ascii="宋体" w:hAnsi="宋体" w:cstheme="minorEastAsia"/>
                <w:color w:val="000000" w:themeColor="text1"/>
                <w:sz w:val="18"/>
                <w:szCs w:val="18"/>
                <w14:textFill>
                  <w14:solidFill>
                    <w14:schemeClr w14:val="tx1"/>
                  </w14:solidFill>
                </w14:textFill>
              </w:rPr>
            </w:pPr>
          </w:p>
        </w:tc>
        <w:tc>
          <w:tcPr>
            <w:tcW w:w="889" w:type="dxa"/>
            <w:vMerge w:val="continue"/>
            <w:vAlign w:val="center"/>
          </w:tcPr>
          <w:p>
            <w:pPr>
              <w:spacing w:before="78" w:after="78"/>
              <w:ind w:left="180"/>
              <w:jc w:val="center"/>
              <w:rPr>
                <w:rFonts w:ascii="宋体" w:hAnsi="宋体" w:cstheme="minorEastAsia"/>
                <w:color w:val="000000" w:themeColor="text1"/>
                <w:sz w:val="18"/>
                <w:szCs w:val="18"/>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7" w:hRule="exact"/>
          <w:jc w:val="center"/>
        </w:trPr>
        <w:tc>
          <w:tcPr>
            <w:tcW w:w="1120" w:type="dxa"/>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土层或不稳定岩体</w:t>
            </w:r>
          </w:p>
        </w:tc>
        <w:tc>
          <w:tcPr>
            <w:tcW w:w="942" w:type="dxa"/>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80～180</w:t>
            </w:r>
          </w:p>
        </w:tc>
        <w:tc>
          <w:tcPr>
            <w:tcW w:w="921" w:type="dxa"/>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4～6</w:t>
            </w:r>
          </w:p>
        </w:tc>
        <w:tc>
          <w:tcPr>
            <w:tcW w:w="958" w:type="dxa"/>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10～40</w:t>
            </w:r>
          </w:p>
        </w:tc>
        <w:tc>
          <w:tcPr>
            <w:tcW w:w="1134" w:type="dxa"/>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100～150</w:t>
            </w:r>
          </w:p>
        </w:tc>
        <w:tc>
          <w:tcPr>
            <w:tcW w:w="1120" w:type="dxa"/>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300～500</w:t>
            </w:r>
          </w:p>
        </w:tc>
        <w:tc>
          <w:tcPr>
            <w:tcW w:w="1073" w:type="dxa"/>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≯3</w:t>
            </w:r>
          </w:p>
        </w:tc>
        <w:tc>
          <w:tcPr>
            <w:tcW w:w="889" w:type="dxa"/>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1.5</w:t>
            </w:r>
          </w:p>
        </w:tc>
      </w:tr>
    </w:tbl>
    <w:p>
      <w:pPr>
        <w:pStyle w:val="22"/>
        <w:numPr>
          <w:ilvl w:val="255"/>
          <w:numId w:val="0"/>
        </w:numPr>
        <w:tabs>
          <w:tab w:val="left" w:pos="851"/>
        </w:tabs>
        <w:snapToGrid w:val="0"/>
        <w:spacing w:line="360" w:lineRule="auto"/>
        <w:jc w:val="left"/>
        <w:rPr>
          <w:rFonts w:hAnsi="宋体"/>
          <w:b/>
          <w:bCs/>
          <w:color w:val="000000" w:themeColor="text1"/>
          <w:szCs w:val="21"/>
          <w14:textFill>
            <w14:solidFill>
              <w14:schemeClr w14:val="tx1"/>
            </w14:solidFill>
          </w14:textFill>
        </w:rPr>
      </w:pPr>
    </w:p>
    <w:p>
      <w:pPr>
        <w:snapToGrid w:val="0"/>
        <w:spacing w:line="360" w:lineRule="auto"/>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7.3.4 </w:t>
      </w:r>
      <w:r>
        <w:rPr>
          <w:rFonts w:hint="eastAsia" w:ascii="宋体" w:hAnsi="宋体" w:cs="宋体"/>
          <w:color w:val="000000" w:themeColor="text1"/>
          <w14:textFill>
            <w14:solidFill>
              <w14:schemeClr w14:val="tx1"/>
            </w14:solidFill>
          </w14:textFill>
        </w:rPr>
        <w:t>钻孔过程中方向控制影响支护的成败，应特别注意钻杆角度的变化，并采取措施保证钻机不移位。</w:t>
      </w:r>
      <w:r>
        <w:rPr>
          <w:rFonts w:hint="eastAsia" w:hAnsi="宋体"/>
          <w:b/>
          <w:bCs/>
          <w:color w:val="000000" w:themeColor="text1"/>
          <w:szCs w:val="21"/>
          <w14:textFill>
            <w14:solidFill>
              <w14:schemeClr w14:val="tx1"/>
            </w14:solidFill>
          </w14:textFill>
        </w:rPr>
        <w:t xml:space="preserve"> </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7.3.7 </w:t>
      </w:r>
      <w:r>
        <w:rPr>
          <w:rFonts w:hint="eastAsia" w:hAnsi="宋体" w:cstheme="minorEastAsia"/>
          <w:color w:val="000000" w:themeColor="text1"/>
          <w:szCs w:val="21"/>
          <w14:textFill>
            <w14:solidFill>
              <w14:schemeClr w14:val="tx1"/>
            </w14:solidFill>
          </w14:textFill>
        </w:rPr>
        <w:t>接长时连接部位需要做到牢固，与原材强度基本相同。</w:t>
      </w:r>
    </w:p>
    <w:p>
      <w:pPr>
        <w:snapToGrid w:val="0"/>
        <w:spacing w:line="360" w:lineRule="auto"/>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7.3.8 </w:t>
      </w:r>
      <w:r>
        <w:rPr>
          <w:rFonts w:hint="eastAsia" w:hAnsi="宋体" w:cstheme="minorEastAsia"/>
          <w:color w:val="000000" w:themeColor="text1"/>
          <w:szCs w:val="21"/>
          <w14:textFill>
            <w14:solidFill>
              <w14:schemeClr w14:val="tx1"/>
            </w14:solidFill>
          </w14:textFill>
        </w:rPr>
        <w:t>管棚钢管间距一般</w:t>
      </w:r>
      <w:r>
        <w:rPr>
          <w:rFonts w:hint="eastAsia" w:ascii="宋体" w:hAnsi="宋体" w:cs="宋体"/>
          <w:color w:val="000000" w:themeColor="text1"/>
          <w14:textFill>
            <w14:solidFill>
              <w14:schemeClr w14:val="tx1"/>
            </w14:solidFill>
          </w14:textFill>
        </w:rPr>
        <w:t>根据支护要求如防坍塌、控制建（构）筑物变形等由设计单位确定。</w:t>
      </w: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7.3.9 </w:t>
      </w:r>
      <w:r>
        <w:rPr>
          <w:rFonts w:hint="eastAsia" w:hAnsi="宋体" w:cstheme="minorEastAsia"/>
          <w:color w:val="000000" w:themeColor="text1"/>
          <w:sz w:val="21"/>
          <w:szCs w:val="21"/>
          <w14:textFill>
            <w14:solidFill>
              <w14:schemeClr w14:val="tx1"/>
            </w14:solidFill>
          </w14:textFill>
        </w:rPr>
        <w:t>为增加管棚刚度，应根据需要在钢管内灌注水泥砂浆、混凝土或放置钢筋笼并灌注水泥砂浆。</w:t>
      </w:r>
    </w:p>
    <w:p>
      <w:pPr>
        <w:numPr>
          <w:ilvl w:val="255"/>
          <w:numId w:val="0"/>
        </w:numPr>
        <w:tabs>
          <w:tab w:val="left" w:pos="576"/>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67" w:name="_Toc13936"/>
      <w:r>
        <w:rPr>
          <w:rFonts w:hint="eastAsia" w:hAnsi="宋体"/>
          <w:b/>
          <w:color w:val="000000" w:themeColor="text1"/>
          <w:sz w:val="24"/>
          <w14:textFill>
            <w14:solidFill>
              <w14:schemeClr w14:val="tx1"/>
            </w14:solidFill>
          </w14:textFill>
        </w:rPr>
        <w:t>7.4  管幕支护</w:t>
      </w:r>
      <w:bookmarkEnd w:id="567"/>
    </w:p>
    <w:p>
      <w:pPr>
        <w:pStyle w:val="21"/>
        <w:snapToGrid w:val="0"/>
        <w:spacing w:line="360" w:lineRule="auto"/>
        <w:jc w:val="both"/>
        <w:rPr>
          <w:rFonts w:hAnsi="宋体"/>
          <w:color w:val="000000" w:themeColor="text1"/>
          <w:kern w:val="2"/>
          <w:sz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7.4.1 </w:t>
      </w:r>
      <w:r>
        <w:rPr>
          <w:rFonts w:hint="eastAsia" w:hAnsi="宋体"/>
          <w:color w:val="000000" w:themeColor="text1"/>
          <w:kern w:val="2"/>
          <w:sz w:val="21"/>
          <w14:textFill>
            <w14:solidFill>
              <w14:schemeClr w14:val="tx1"/>
            </w14:solidFill>
          </w14:textFill>
        </w:rPr>
        <w:t>管幕支护法是利用微型顶管技术在拟建的地下建筑物四周顶入钢管或其他材质的管子, 钢管之间采用锁口连接并注入防水材料, 形成水密性地下空间。2004年,北京地铁 5号线崇文门车站下穿既有环线的工程中,采用28根直径为600mm的钢管,单根顶进距离为36m, 钢管之间采用工字钢和槽钢单、双咬合。在管幕的保护下,对管幕内土体加固处理后,边开挖边支撑, 直至管幕段隧道开挖贯通,再浇注结构体。1)该工法施工时无噪音和振动，不必降低地下水位和大范围开挖，不影响城市道路正常运行；2)适用于回填土、砂土、粘土、软土和岩层等多种地层；3)可以有效控制地面沉降以及对周围环境的影响,从而有利于环境保护和可持续发展；4)由于对地表沉降要求较高,因此要求顶管机具有较高的顶进精度；5)作为管幕的钢管埋入土体后不能回收，造成资源浪费,成本较高。</w:t>
      </w:r>
    </w:p>
    <w:p>
      <w:pPr>
        <w:pStyle w:val="21"/>
        <w:snapToGrid w:val="0"/>
        <w:spacing w:line="360" w:lineRule="auto"/>
        <w:jc w:val="both"/>
        <w:rPr>
          <w:rFonts w:hAnsi="宋体"/>
          <w:color w:val="000000" w:themeColor="text1"/>
          <w:kern w:val="2"/>
          <w:sz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7.4.2 </w:t>
      </w:r>
      <w:r>
        <w:rPr>
          <w:rFonts w:hint="eastAsia" w:hAnsi="宋体"/>
          <w:color w:val="000000" w:themeColor="text1"/>
          <w:kern w:val="2"/>
          <w:sz w:val="21"/>
          <w14:textFill>
            <w14:solidFill>
              <w14:schemeClr w14:val="tx1"/>
            </w14:solidFill>
          </w14:textFill>
        </w:rPr>
        <w:t>管幕支护钢管一般采用微型顶管机顶进就位。</w:t>
      </w:r>
    </w:p>
    <w:p>
      <w:pPr>
        <w:pStyle w:val="21"/>
        <w:snapToGrid w:val="0"/>
        <w:spacing w:line="360" w:lineRule="auto"/>
        <w:jc w:val="both"/>
        <w:rPr>
          <w:rFonts w:hAnsi="宋体"/>
          <w:color w:val="000000" w:themeColor="text1"/>
          <w:kern w:val="2"/>
          <w:sz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7.4.3 </w:t>
      </w:r>
      <w:r>
        <w:rPr>
          <w:rFonts w:hint="eastAsia" w:hAnsi="宋体"/>
          <w:color w:val="000000" w:themeColor="text1"/>
          <w:kern w:val="2"/>
          <w:sz w:val="21"/>
          <w14:textFill>
            <w14:solidFill>
              <w14:schemeClr w14:val="tx1"/>
            </w14:solidFill>
          </w14:textFill>
        </w:rPr>
        <w:t xml:space="preserve">首根钢管具有定位和导向作用，需要严格控制精度。在管幕顶管施工中，第1根钢管的导向直接影响后续管幕施工轴线，最终影响，整体管幕的走向，因此，第一根钢管的定位和轴向是重点，需要严格控制。自动测量一般采用棱镜法和激光法两种技术。激光法由于激光标靶自身结构尺寸较大，在实际应用中会增加安装难度；棱镜法可以充分利用机械周围的间隙安装目标棱镜，空间的利用率更高。尤其是小直径顶管施工中采用棱镜法自动测量技术方法更为有利。 </w:t>
      </w:r>
    </w:p>
    <w:p>
      <w:pPr>
        <w:pStyle w:val="21"/>
        <w:snapToGrid w:val="0"/>
        <w:spacing w:line="360" w:lineRule="auto"/>
        <w:jc w:val="both"/>
        <w:rPr>
          <w:rFonts w:hAnsi="宋体"/>
          <w:color w:val="000000" w:themeColor="text1"/>
          <w:kern w:val="2"/>
          <w:sz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7.4.4 </w:t>
      </w:r>
      <w:r>
        <w:rPr>
          <w:rFonts w:hint="eastAsia" w:hAnsi="宋体"/>
          <w:color w:val="000000" w:themeColor="text1"/>
          <w:kern w:val="2"/>
          <w:sz w:val="21"/>
          <w14:textFill>
            <w14:solidFill>
              <w14:schemeClr w14:val="tx1"/>
            </w14:solidFill>
          </w14:textFill>
        </w:rPr>
        <w:t>如果锁扣外露管节，在施工中会增加顶进阻力。若遇到硬土或较硬异物会造成锁扣前端变形影响锁扣的搭接和管幕整体防渗。在顶进机头设置锁扣保护装置，既起到保护</w:t>
      </w:r>
    </w:p>
    <w:p>
      <w:pPr>
        <w:pStyle w:val="21"/>
        <w:snapToGrid w:val="0"/>
        <w:spacing w:line="360" w:lineRule="auto"/>
        <w:jc w:val="both"/>
        <w:rPr>
          <w:rFonts w:hAnsi="宋体"/>
          <w:color w:val="000000" w:themeColor="text1"/>
          <w:kern w:val="2"/>
          <w:sz w:val="21"/>
          <w14:textFill>
            <w14:solidFill>
              <w14:schemeClr w14:val="tx1"/>
            </w14:solidFill>
          </w14:textFill>
        </w:rPr>
      </w:pPr>
      <w:r>
        <w:rPr>
          <w:rFonts w:hint="eastAsia" w:hAnsi="宋体"/>
          <w:color w:val="000000" w:themeColor="text1"/>
          <w:kern w:val="2"/>
          <w:sz w:val="21"/>
          <w14:textFill>
            <w14:solidFill>
              <w14:schemeClr w14:val="tx1"/>
            </w14:solidFill>
          </w14:textFill>
        </w:rPr>
        <w:t>锁扣作用，又起到顶进导向和平衡作用。</w:t>
      </w:r>
    </w:p>
    <w:p>
      <w:pPr>
        <w:pStyle w:val="21"/>
        <w:snapToGrid w:val="0"/>
        <w:spacing w:line="360" w:lineRule="auto"/>
        <w:jc w:val="center"/>
        <w:rPr>
          <w:rFonts w:ascii="Times New Roman" w:hAnsi="宋体" w:cs="Times New Roman"/>
          <w:b/>
          <w:bCs/>
          <w:color w:val="000000" w:themeColor="text1"/>
          <w:kern w:val="2"/>
          <w:sz w:val="21"/>
          <w:szCs w:val="21"/>
          <w14:textFill>
            <w14:solidFill>
              <w14:schemeClr w14:val="tx1"/>
            </w14:solidFill>
          </w14:textFill>
        </w:rPr>
      </w:pPr>
      <w:r>
        <w:rPr>
          <w:color w:val="000000" w:themeColor="text1"/>
          <w14:textFill>
            <w14:solidFill>
              <w14:schemeClr w14:val="tx1"/>
            </w14:solidFill>
          </w14:textFill>
        </w:rPr>
        <w:drawing>
          <wp:inline distT="0" distB="0" distL="114300" distR="114300">
            <wp:extent cx="2406015" cy="3670935"/>
            <wp:effectExtent l="0" t="0" r="6985" b="12065"/>
            <wp:docPr id="3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3"/>
                    <pic:cNvPicPr>
                      <a:picLocks noChangeAspect="1"/>
                    </pic:cNvPicPr>
                  </pic:nvPicPr>
                  <pic:blipFill>
                    <a:blip r:embed="rId106"/>
                    <a:stretch>
                      <a:fillRect/>
                    </a:stretch>
                  </pic:blipFill>
                  <pic:spPr>
                    <a:xfrm flipV="1">
                      <a:off x="0" y="0"/>
                      <a:ext cx="2406015" cy="3670935"/>
                    </a:xfrm>
                    <a:prstGeom prst="rect">
                      <a:avLst/>
                    </a:prstGeom>
                    <a:noFill/>
                    <a:ln>
                      <a:noFill/>
                    </a:ln>
                  </pic:spPr>
                </pic:pic>
              </a:graphicData>
            </a:graphic>
          </wp:inline>
        </w:drawing>
      </w:r>
    </w:p>
    <w:p>
      <w:pPr>
        <w:pStyle w:val="21"/>
        <w:snapToGrid w:val="0"/>
        <w:spacing w:line="360" w:lineRule="auto"/>
        <w:jc w:val="both"/>
        <w:rPr>
          <w:rFonts w:hAnsi="宋体"/>
          <w:color w:val="000000" w:themeColor="text1"/>
          <w:kern w:val="2"/>
          <w:sz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7.4.5 </w:t>
      </w:r>
      <w:r>
        <w:rPr>
          <w:rFonts w:hint="eastAsia" w:hAnsi="宋体"/>
          <w:color w:val="000000" w:themeColor="text1"/>
          <w:kern w:val="2"/>
          <w:sz w:val="21"/>
          <w14:textFill>
            <w14:solidFill>
              <w14:schemeClr w14:val="tx1"/>
            </w14:solidFill>
          </w14:textFill>
        </w:rPr>
        <w:t>钢管锁口处涂刷止水润滑剂，钢管顶进时有润滑作用，后期成为有止水作用的凝胶。</w:t>
      </w:r>
    </w:p>
    <w:p>
      <w:pPr>
        <w:pStyle w:val="21"/>
        <w:snapToGrid w:val="0"/>
        <w:spacing w:line="360" w:lineRule="auto"/>
        <w:jc w:val="both"/>
        <w:rPr>
          <w:rFonts w:ascii="Times New Roman" w:hAnsi="宋体" w:cs="Times New Roman"/>
          <w:b/>
          <w:bCs/>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7.4.6 </w:t>
      </w:r>
      <w:r>
        <w:rPr>
          <w:rFonts w:hint="eastAsia" w:hAnsi="宋体"/>
          <w:color w:val="000000" w:themeColor="text1"/>
          <w:kern w:val="2"/>
          <w:sz w:val="21"/>
          <w14:textFill>
            <w14:solidFill>
              <w14:schemeClr w14:val="tx1"/>
            </w14:solidFill>
          </w14:textFill>
        </w:rPr>
        <w:t>通过预埋注浆管在钢管接头处注入止水剂，使浆液纵向流动填充间隙，且防止开挖时地下水渗入管幕内。</w:t>
      </w:r>
    </w:p>
    <w:p>
      <w:pPr>
        <w:pStyle w:val="21"/>
        <w:snapToGrid w:val="0"/>
        <w:spacing w:line="360" w:lineRule="auto"/>
        <w:jc w:val="both"/>
        <w:rPr>
          <w:rFonts w:hAnsi="宋体"/>
          <w:color w:val="000000" w:themeColor="text1"/>
          <w:kern w:val="2"/>
          <w:sz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7.4.8 </w:t>
      </w:r>
      <w:r>
        <w:rPr>
          <w:rFonts w:hint="eastAsia" w:hAnsi="宋体"/>
          <w:color w:val="000000" w:themeColor="text1"/>
          <w:kern w:val="2"/>
          <w:sz w:val="21"/>
          <w14:textFill>
            <w14:solidFill>
              <w14:schemeClr w14:val="tx1"/>
            </w14:solidFill>
          </w14:textFill>
        </w:rPr>
        <w:t>在钢管内进行注浆或安装型钢，以提高管幕的刚度，减小开挖时管幕的变形。为保证管内浆液填充质量，可采取二次注浆方法。</w:t>
      </w:r>
    </w:p>
    <w:p>
      <w:pPr>
        <w:numPr>
          <w:ilvl w:val="255"/>
          <w:numId w:val="0"/>
        </w:numPr>
        <w:tabs>
          <w:tab w:val="left" w:pos="576"/>
        </w:tabs>
        <w:adjustRightInd w:val="0"/>
        <w:snapToGrid w:val="0"/>
        <w:spacing w:before="312" w:beforeLines="100" w:after="312" w:afterLines="100"/>
        <w:jc w:val="center"/>
        <w:outlineLvl w:val="1"/>
        <w:rPr>
          <w:rFonts w:hAnsi="宋体" w:cstheme="minorEastAsia"/>
          <w:color w:val="000000" w:themeColor="text1"/>
          <w:szCs w:val="21"/>
          <w14:textFill>
            <w14:solidFill>
              <w14:schemeClr w14:val="tx1"/>
            </w14:solidFill>
          </w14:textFill>
        </w:rPr>
      </w:pPr>
      <w:bookmarkStart w:id="568" w:name="_Toc11157"/>
      <w:r>
        <w:rPr>
          <w:rFonts w:hint="eastAsia" w:hAnsi="宋体"/>
          <w:b/>
          <w:color w:val="000000" w:themeColor="text1"/>
          <w:sz w:val="24"/>
          <w14:textFill>
            <w14:solidFill>
              <w14:schemeClr w14:val="tx1"/>
            </w14:solidFill>
          </w14:textFill>
        </w:rPr>
        <w:t>7.5  深孔注浆加固</w:t>
      </w:r>
      <w:bookmarkEnd w:id="568"/>
    </w:p>
    <w:p>
      <w:pPr>
        <w:snapToGrid w:val="0"/>
        <w:spacing w:line="360" w:lineRule="auto"/>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7.5.1 </w:t>
      </w:r>
      <w:r>
        <w:rPr>
          <w:rFonts w:hint="eastAsia" w:hAnsi="宋体"/>
          <w:color w:val="000000" w:themeColor="text1"/>
          <w:szCs w:val="21"/>
          <w14:textFill>
            <w14:solidFill>
              <w14:schemeClr w14:val="tx1"/>
            </w14:solidFill>
          </w14:textFill>
        </w:rPr>
        <w:t>深孔注浆通常具有地层加固和止水的作用，施工中需要综合考虑，以取得较好的加固效果，节约工程成本。</w:t>
      </w:r>
    </w:p>
    <w:p>
      <w:pPr>
        <w:pStyle w:val="22"/>
        <w:tabs>
          <w:tab w:val="left" w:pos="851"/>
          <w:tab w:val="left" w:pos="5693"/>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7.5.3 </w:t>
      </w:r>
      <w:r>
        <w:rPr>
          <w:rFonts w:hint="eastAsia" w:hAnsi="宋体"/>
          <w:color w:val="000000" w:themeColor="text1"/>
          <w:szCs w:val="21"/>
          <w14:textFill>
            <w14:solidFill>
              <w14:schemeClr w14:val="tx1"/>
            </w14:solidFill>
          </w14:textFill>
        </w:rPr>
        <w:t>洞内深孔注浆宜结合超前小导管支护加固地层，周边环境要求严格的区域主要指有重大风险源、或者影响范围内构筑物对沉降要求严格的区域。注浆加固包括WSS双重管注浆、水平袖阀管注浆和分段前进式深孔注浆（TGRM）。</w:t>
      </w:r>
    </w:p>
    <w:p>
      <w:pPr>
        <w:snapToGrid w:val="0"/>
        <w:spacing w:line="360" w:lineRule="auto"/>
        <w:ind w:firstLine="420" w:firstLineChars="20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暗挖隧道结构下穿既有结构等对地层沉降变化敏感，拱部为含水、不稳定岩体时一般采用深孔注浆加固地层，各方法的特点如下表。</w:t>
      </w:r>
    </w:p>
    <w:p>
      <w:pPr>
        <w:spacing w:line="360" w:lineRule="auto"/>
        <w:ind w:firstLine="315" w:firstLineChars="150"/>
        <w:jc w:val="center"/>
        <w:rPr>
          <w:rFonts w:ascii="宋体" w:hAnsi="宋体" w:cstheme="minorEastAsia"/>
          <w:color w:val="000000" w:themeColor="text1"/>
          <w14:textFill>
            <w14:solidFill>
              <w14:schemeClr w14:val="tx1"/>
            </w14:solidFill>
          </w14:textFill>
        </w:rPr>
      </w:pPr>
      <w:r>
        <w:rPr>
          <w:rFonts w:hint="eastAsia" w:ascii="宋体" w:hAnsi="宋体" w:cstheme="minorEastAsia"/>
          <w:bCs/>
          <w:color w:val="000000" w:themeColor="text1"/>
          <w14:textFill>
            <w14:solidFill>
              <w14:schemeClr w14:val="tx1"/>
            </w14:solidFill>
          </w14:textFill>
        </w:rPr>
        <w:t>表</w:t>
      </w:r>
      <w:r>
        <w:rPr>
          <w:rFonts w:hint="eastAsia" w:hAnsi="宋体"/>
          <w:b/>
          <w:bCs/>
          <w:color w:val="000000" w:themeColor="text1"/>
          <w:szCs w:val="21"/>
          <w14:textFill>
            <w14:solidFill>
              <w14:schemeClr w14:val="tx1"/>
            </w14:solidFill>
          </w14:textFill>
        </w:rPr>
        <w:t>7.5.3</w:t>
      </w:r>
      <w:r>
        <w:rPr>
          <w:rFonts w:hint="eastAsia" w:ascii="宋体" w:hAnsi="宋体" w:cstheme="minorEastAsia"/>
          <w:bCs/>
          <w:color w:val="000000" w:themeColor="text1"/>
          <w:kern w:val="0"/>
          <w14:textFill>
            <w14:solidFill>
              <w14:schemeClr w14:val="tx1"/>
            </w14:solidFill>
          </w14:textFill>
        </w:rPr>
        <w:t xml:space="preserve">  </w:t>
      </w:r>
      <w:r>
        <w:rPr>
          <w:rFonts w:hint="eastAsia" w:ascii="宋体" w:hAnsi="宋体" w:cstheme="minorEastAsia"/>
          <w:bCs/>
          <w:color w:val="000000" w:themeColor="text1"/>
          <w14:textFill>
            <w14:solidFill>
              <w14:schemeClr w14:val="tx1"/>
            </w14:solidFill>
          </w14:textFill>
        </w:rPr>
        <w:t>深孔注浆方式及特点</w:t>
      </w:r>
    </w:p>
    <w:tbl>
      <w:tblPr>
        <w:tblStyle w:val="12"/>
        <w:tblW w:w="880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8"/>
        <w:gridCol w:w="2115"/>
        <w:gridCol w:w="1881"/>
        <w:gridCol w:w="1893"/>
        <w:gridCol w:w="22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648" w:type="dxa"/>
            <w:vAlign w:val="center"/>
          </w:tcPr>
          <w:p>
            <w:pPr>
              <w:spacing w:before="78" w:after="78"/>
              <w:jc w:val="center"/>
              <w:rPr>
                <w:rFonts w:ascii="宋体" w:hAnsi="宋体" w:cstheme="minorEastAsia"/>
                <w:iCs/>
                <w:color w:val="000000" w:themeColor="text1"/>
                <w:spacing w:val="5"/>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注浆方式</w:t>
            </w:r>
          </w:p>
        </w:tc>
        <w:tc>
          <w:tcPr>
            <w:tcW w:w="2115" w:type="dxa"/>
            <w:vAlign w:val="center"/>
          </w:tcPr>
          <w:p>
            <w:pPr>
              <w:spacing w:before="78" w:after="78" w:line="440" w:lineRule="exact"/>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WSS双重管注浆</w:t>
            </w:r>
          </w:p>
        </w:tc>
        <w:tc>
          <w:tcPr>
            <w:tcW w:w="1881" w:type="dxa"/>
            <w:vAlign w:val="center"/>
          </w:tcPr>
          <w:p>
            <w:pPr>
              <w:spacing w:before="78" w:after="78" w:line="440" w:lineRule="exact"/>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水平旋喷注浆</w:t>
            </w:r>
          </w:p>
        </w:tc>
        <w:tc>
          <w:tcPr>
            <w:tcW w:w="1893" w:type="dxa"/>
            <w:vAlign w:val="center"/>
          </w:tcPr>
          <w:p>
            <w:pPr>
              <w:spacing w:before="78" w:after="78" w:line="440" w:lineRule="exact"/>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水平袖阀管注浆</w:t>
            </w:r>
          </w:p>
        </w:tc>
        <w:tc>
          <w:tcPr>
            <w:tcW w:w="2268" w:type="dxa"/>
            <w:vAlign w:val="center"/>
          </w:tcPr>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TGRM段前进式</w:t>
            </w:r>
          </w:p>
          <w:p>
            <w:pPr>
              <w:spacing w:before="78" w:after="78"/>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超前深孔注浆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8" w:type="dxa"/>
          </w:tcPr>
          <w:p>
            <w:pPr>
              <w:spacing w:before="78" w:after="78" w:line="440" w:lineRule="exact"/>
              <w:jc w:val="center"/>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特点</w:t>
            </w:r>
          </w:p>
        </w:tc>
        <w:tc>
          <w:tcPr>
            <w:tcW w:w="2115" w:type="dxa"/>
          </w:tcPr>
          <w:p>
            <w:pPr>
              <w:spacing w:before="78" w:after="78"/>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1.实现了长距离的深孔注浆相对于传统小导管注浆工艺扩大了注浆加固范围；</w:t>
            </w:r>
          </w:p>
          <w:p>
            <w:pPr>
              <w:spacing w:before="78" w:after="78"/>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2.该工法采用钻杆注浆，钻杆与注浆孔之间必然会存在间隙注浆时极易造成浆液回流；</w:t>
            </w:r>
          </w:p>
          <w:p>
            <w:pPr>
              <w:spacing w:before="78" w:after="78"/>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3.采用速凝的水泥-水玻璃双液浆（凝结时间在1min内）以防止浆液回流，但双液浆固结体的有效强度只能维持一周左右时间；</w:t>
            </w:r>
          </w:p>
          <w:p>
            <w:pPr>
              <w:spacing w:before="78" w:after="78"/>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4.适用于对注浆加固效果要求时间不长的临时性注浆加固，不适用于对沉降要求较高的构筑物穿越注浆加固项目。</w:t>
            </w:r>
          </w:p>
        </w:tc>
        <w:tc>
          <w:tcPr>
            <w:tcW w:w="1881" w:type="dxa"/>
          </w:tcPr>
          <w:p>
            <w:pPr>
              <w:spacing w:before="78" w:after="78"/>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1.其原理是浆液在高压作用下（20Mpa以上）剪切置换地层，在隧道前方形成浆土加固混合体；</w:t>
            </w:r>
          </w:p>
          <w:p>
            <w:pPr>
              <w:spacing w:before="78" w:after="78"/>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2.加固效果直观、浆液固结体强度高；</w:t>
            </w:r>
          </w:p>
          <w:p>
            <w:pPr>
              <w:spacing w:before="78" w:after="78"/>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3.注浆工作压力高，对地层破坏剪切严重，浆液回流损失率高，施工成本高，施工环境差；</w:t>
            </w:r>
          </w:p>
          <w:p>
            <w:pPr>
              <w:spacing w:before="78" w:after="78"/>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4.适合在隧道周围没有重要构筑物情况下的软土地层加固，不适合在压缩性小的卵砾石地层和砂性地层中使用。</w:t>
            </w:r>
          </w:p>
        </w:tc>
        <w:tc>
          <w:tcPr>
            <w:tcW w:w="1893" w:type="dxa"/>
          </w:tcPr>
          <w:p>
            <w:pPr>
              <w:spacing w:before="78" w:after="78"/>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1.实现真正意义上的多点、定域、定压、定量、往复精细注浆，增大了被加固地层的整体性；</w:t>
            </w:r>
          </w:p>
          <w:p>
            <w:pPr>
              <w:spacing w:before="78" w:after="78"/>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2.对机械设备要求高，如果地层情况恶劣则需要使用水平套管钻机、恒压低流速大流量注浆泵等较高效率的机械设备；</w:t>
            </w:r>
          </w:p>
          <w:p>
            <w:pPr>
              <w:spacing w:before="78" w:after="78"/>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3.往复注浆需要注浆工期较长（是正常注浆施工工期的2倍）；</w:t>
            </w:r>
          </w:p>
          <w:p>
            <w:pPr>
              <w:spacing w:before="78" w:after="78"/>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4.一般仅在特别困难的地层或特别有重大风险源区域注浆加固中应用。</w:t>
            </w:r>
          </w:p>
          <w:p>
            <w:pPr>
              <w:spacing w:before="78" w:after="78"/>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5.采用跳孔注浆法施工。</w:t>
            </w:r>
          </w:p>
        </w:tc>
        <w:tc>
          <w:tcPr>
            <w:tcW w:w="2268" w:type="dxa"/>
          </w:tcPr>
          <w:p>
            <w:pPr>
              <w:spacing w:before="78" w:after="78"/>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1.前进式分段注浆采用静压力控制，且注浆压力要求较小（1.0Mpa以下），压力反映真实；</w:t>
            </w:r>
          </w:p>
          <w:p>
            <w:pPr>
              <w:spacing w:before="78" w:after="78"/>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2.浆液配置简单，所有材料配置都在出场之前完成，施工现场仅需要控制浆液的水灰比即可保证浆液的凝结时间、扩散半径、浆液黏度等；</w:t>
            </w:r>
          </w:p>
          <w:p>
            <w:pPr>
              <w:spacing w:before="78" w:after="78"/>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3.采用“高压风-潜孔锤”冲击成孔工艺，能将卵砾石敲击粉碎后成孔，解决了卵砾石堆积地层的注浆加固问题，与传统的“泥浆-合金钻头”成孔相比施工环境干燥卫生，适合城市文明施工的要求；</w:t>
            </w:r>
          </w:p>
          <w:p>
            <w:pPr>
              <w:spacing w:before="78" w:after="78"/>
              <w:rPr>
                <w:rFonts w:ascii="宋体" w:hAnsi="宋体" w:cstheme="minorEastAsia"/>
                <w:color w:val="000000" w:themeColor="text1"/>
                <w:sz w:val="18"/>
                <w:szCs w:val="18"/>
                <w14:textFill>
                  <w14:solidFill>
                    <w14:schemeClr w14:val="tx1"/>
                  </w14:solidFill>
                </w14:textFill>
              </w:rPr>
            </w:pPr>
            <w:r>
              <w:rPr>
                <w:rFonts w:hint="eastAsia" w:ascii="宋体" w:hAnsi="宋体" w:cstheme="minorEastAsia"/>
                <w:color w:val="000000" w:themeColor="text1"/>
                <w:sz w:val="18"/>
                <w:szCs w:val="18"/>
                <w14:textFill>
                  <w14:solidFill>
                    <w14:schemeClr w14:val="tx1"/>
                  </w14:solidFill>
                </w14:textFill>
              </w:rPr>
              <w:t>4.适合北京绝大部分地层的注浆施工，工艺的适应性强。</w:t>
            </w:r>
          </w:p>
        </w:tc>
      </w:tr>
    </w:tbl>
    <w:p>
      <w:pPr>
        <w:pStyle w:val="22"/>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p>
    <w:p>
      <w:pPr>
        <w:pStyle w:val="22"/>
        <w:numPr>
          <w:ilvl w:val="255"/>
          <w:numId w:val="0"/>
        </w:numPr>
        <w:tabs>
          <w:tab w:val="left" w:pos="851"/>
        </w:tabs>
        <w:snapToGrid w:val="0"/>
        <w:spacing w:line="360" w:lineRule="auto"/>
        <w:jc w:val="left"/>
        <w:rPr>
          <w:rFonts w:ascii="宋体" w:hAnsi="宋体" w:cs="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7.5.4 </w:t>
      </w:r>
      <w:r>
        <w:rPr>
          <w:rFonts w:hint="eastAsia" w:ascii="宋体" w:hAnsi="宋体" w:cs="宋体"/>
          <w:color w:val="000000" w:themeColor="text1"/>
          <w14:textFill>
            <w14:solidFill>
              <w14:schemeClr w14:val="tx1"/>
            </w14:solidFill>
          </w14:textFill>
        </w:rPr>
        <w:t>加固范围根据需要主要有全断面、半断面等多种方式，加固一般超出隧道开挖轮廓线一定距离。</w:t>
      </w:r>
    </w:p>
    <w:p>
      <w:pPr>
        <w:numPr>
          <w:ilvl w:val="255"/>
          <w:numId w:val="0"/>
        </w:numPr>
        <w:tabs>
          <w:tab w:val="left" w:pos="576"/>
        </w:tabs>
        <w:adjustRightInd w:val="0"/>
        <w:snapToGrid w:val="0"/>
        <w:spacing w:before="312" w:beforeLines="100" w:after="312" w:afterLines="100"/>
        <w:jc w:val="center"/>
        <w:outlineLvl w:val="1"/>
        <w:rPr>
          <w:rFonts w:hAnsi="宋体" w:cstheme="minorEastAsia"/>
          <w:color w:val="000000" w:themeColor="text1"/>
          <w:szCs w:val="21"/>
          <w14:textFill>
            <w14:solidFill>
              <w14:schemeClr w14:val="tx1"/>
            </w14:solidFill>
          </w14:textFill>
        </w:rPr>
      </w:pPr>
      <w:bookmarkStart w:id="569" w:name="_Toc24248"/>
      <w:r>
        <w:rPr>
          <w:rFonts w:hint="eastAsia" w:hAnsi="宋体"/>
          <w:b/>
          <w:color w:val="000000" w:themeColor="text1"/>
          <w:sz w:val="24"/>
          <w14:textFill>
            <w14:solidFill>
              <w14:schemeClr w14:val="tx1"/>
            </w14:solidFill>
          </w14:textFill>
        </w:rPr>
        <w:t>7.6  水平旋喷注浆加固</w:t>
      </w:r>
      <w:bookmarkEnd w:id="569"/>
    </w:p>
    <w:p>
      <w:pPr>
        <w:numPr>
          <w:ilvl w:val="255"/>
          <w:numId w:val="0"/>
        </w:numPr>
        <w:tabs>
          <w:tab w:val="left" w:pos="851"/>
          <w:tab w:val="left" w:pos="5835"/>
        </w:tabs>
        <w:snapToGrid w:val="0"/>
        <w:spacing w:line="360" w:lineRule="auto"/>
        <w:jc w:val="left"/>
        <w:rPr>
          <w:rFonts w:ascii="宋体" w:hAnsi="宋体" w:cs="宋体"/>
          <w:color w:val="000000" w:themeColor="text1"/>
          <w14:textFill>
            <w14:solidFill>
              <w14:schemeClr w14:val="tx1"/>
            </w14:solidFill>
          </w14:textFill>
        </w:rPr>
      </w:pPr>
      <w:r>
        <w:rPr>
          <w:rFonts w:hint="eastAsia" w:hAnsi="宋体"/>
          <w:b/>
          <w:color w:val="000000" w:themeColor="text1"/>
          <w:szCs w:val="21"/>
          <w14:textFill>
            <w14:solidFill>
              <w14:schemeClr w14:val="tx1"/>
            </w14:solidFill>
          </w14:textFill>
        </w:rPr>
        <w:t xml:space="preserve">7.6.1 </w:t>
      </w:r>
      <w:r>
        <w:rPr>
          <w:rFonts w:hint="eastAsia" w:hAnsi="宋体"/>
          <w:color w:val="000000" w:themeColor="text1"/>
          <w:szCs w:val="21"/>
          <w14:textFill>
            <w14:solidFill>
              <w14:schemeClr w14:val="tx1"/>
            </w14:solidFill>
          </w14:textFill>
        </w:rPr>
        <w:t>水平旋喷桩超前预支护主要包括长悬臂水平旋喷桩（CXB）、多管组合水平旋喷桩（MJS）等方法。</w:t>
      </w:r>
      <w:r>
        <w:rPr>
          <w:rFonts w:hint="eastAsia" w:ascii="宋体" w:hAnsi="宋体" w:cs="宋体"/>
          <w:color w:val="000000" w:themeColor="text1"/>
          <w14:textFill>
            <w14:solidFill>
              <w14:schemeClr w14:val="tx1"/>
            </w14:solidFill>
          </w14:textFill>
        </w:rPr>
        <w:br w:type="page"/>
      </w:r>
    </w:p>
    <w:p>
      <w:pPr>
        <w:numPr>
          <w:ilvl w:val="255"/>
          <w:numId w:val="0"/>
        </w:numPr>
        <w:snapToGrid w:val="0"/>
        <w:spacing w:line="360" w:lineRule="auto"/>
        <w:jc w:val="left"/>
        <w:rPr>
          <w:rFonts w:ascii="宋体" w:hAnsi="宋体" w:cs="宋体"/>
          <w:color w:val="000000" w:themeColor="text1"/>
          <w14:textFill>
            <w14:solidFill>
              <w14:schemeClr w14:val="tx1"/>
            </w14:solidFill>
          </w14:textFill>
        </w:rPr>
      </w:pPr>
    </w:p>
    <w:p>
      <w:pPr>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570" w:name="_Toc15183"/>
      <w:r>
        <w:rPr>
          <w:rFonts w:hint="eastAsia"/>
          <w:b/>
          <w:color w:val="000000" w:themeColor="text1"/>
          <w:sz w:val="28"/>
          <w:szCs w:val="28"/>
          <w14:textFill>
            <w14:solidFill>
              <w14:schemeClr w14:val="tx1"/>
            </w14:solidFill>
          </w14:textFill>
        </w:rPr>
        <w:t>8  原材料和构配件</w:t>
      </w:r>
      <w:bookmarkEnd w:id="570"/>
    </w:p>
    <w:p>
      <w:pPr>
        <w:pStyle w:val="22"/>
        <w:numPr>
          <w:ilvl w:val="255"/>
          <w:numId w:val="0"/>
        </w:num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71" w:name="_Toc31350"/>
      <w:r>
        <w:rPr>
          <w:rFonts w:hint="eastAsia" w:hAnsi="宋体"/>
          <w:b/>
          <w:color w:val="000000" w:themeColor="text1"/>
          <w:sz w:val="24"/>
          <w14:textFill>
            <w14:solidFill>
              <w14:schemeClr w14:val="tx1"/>
            </w14:solidFill>
          </w14:textFill>
        </w:rPr>
        <w:t>8.1  一般规定</w:t>
      </w:r>
      <w:bookmarkEnd w:id="571"/>
    </w:p>
    <w:p>
      <w:pPr>
        <w:pStyle w:val="22"/>
        <w:tabs>
          <w:tab w:val="left" w:pos="851"/>
          <w:tab w:val="left" w:pos="5835"/>
        </w:tabs>
        <w:adjustRightInd w:val="0"/>
        <w:snapToGrid w:val="0"/>
        <w:spacing w:before="312" w:beforeLines="100" w:after="312" w:afterLines="100" w:line="360" w:lineRule="auto"/>
        <w:ind w:firstLine="0" w:firstLineChars="0"/>
        <w:jc w:val="left"/>
        <w:outlineLvl w:val="1"/>
        <w:rPr>
          <w:rFonts w:hAnsi="宋体"/>
          <w:b/>
          <w:bCs/>
          <w:color w:val="000000" w:themeColor="text1"/>
          <w:szCs w:val="21"/>
          <w14:textFill>
            <w14:solidFill>
              <w14:schemeClr w14:val="tx1"/>
            </w14:solidFill>
          </w14:textFill>
        </w:rPr>
      </w:pPr>
      <w:bookmarkStart w:id="572" w:name="_Toc22890"/>
      <w:r>
        <w:rPr>
          <w:rFonts w:hint="eastAsia" w:hAnsi="宋体"/>
          <w:b/>
          <w:bCs/>
          <w:color w:val="000000" w:themeColor="text1"/>
          <w:szCs w:val="21"/>
          <w14:textFill>
            <w14:solidFill>
              <w14:schemeClr w14:val="tx1"/>
            </w14:solidFill>
          </w14:textFill>
        </w:rPr>
        <w:t xml:space="preserve">8.1.3 </w:t>
      </w:r>
      <w:r>
        <w:rPr>
          <w:rFonts w:hint="eastAsia" w:hAnsi="宋体"/>
          <w:color w:val="000000" w:themeColor="text1"/>
          <w:szCs w:val="21"/>
          <w14:textFill>
            <w14:solidFill>
              <w14:schemeClr w14:val="tx1"/>
            </w14:solidFill>
          </w14:textFill>
        </w:rPr>
        <w:t>专项检验除化学成分检验外，还有金相检验、冲击韧性试验等项目，应根据设计和产品要求确定。</w:t>
      </w:r>
      <w:bookmarkEnd w:id="572"/>
    </w:p>
    <w:p>
      <w:pPr>
        <w:tabs>
          <w:tab w:val="left" w:pos="576"/>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73" w:name="_Toc21955"/>
      <w:r>
        <w:rPr>
          <w:rFonts w:hint="eastAsia" w:hAnsi="宋体"/>
          <w:b/>
          <w:color w:val="000000" w:themeColor="text1"/>
          <w:sz w:val="24"/>
          <w14:textFill>
            <w14:solidFill>
              <w14:schemeClr w14:val="tx1"/>
            </w14:solidFill>
          </w14:textFill>
        </w:rPr>
        <w:t>8.2  格栅钢架、钢筋网制作</w:t>
      </w:r>
      <w:bookmarkEnd w:id="573"/>
    </w:p>
    <w:p>
      <w:pPr>
        <w:pStyle w:val="22"/>
        <w:tabs>
          <w:tab w:val="left" w:pos="851"/>
          <w:tab w:val="left" w:pos="5835"/>
        </w:tabs>
        <w:snapToGrid w:val="0"/>
        <w:spacing w:line="360" w:lineRule="auto"/>
        <w:ind w:firstLine="0" w:firstLineChars="0"/>
        <w:jc w:val="left"/>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8.2.1 </w:t>
      </w:r>
      <w:r>
        <w:rPr>
          <w:rFonts w:hint="eastAsia"/>
          <w:color w:val="000000" w:themeColor="text1"/>
          <w:szCs w:val="21"/>
          <w14:textFill>
            <w14:solidFill>
              <w14:schemeClr w14:val="tx1"/>
            </w14:solidFill>
          </w14:textFill>
        </w:rPr>
        <w:t>钢筋格栅和钢筋网宜在工厂加工。模具对于格栅钢架加工质量具有重要意义，因此本条特别提出要求。</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8.2.2</w:t>
      </w:r>
      <w:r>
        <w:rPr>
          <w:rFonts w:hint="eastAsia" w:hAnsi="宋体"/>
          <w:color w:val="000000" w:themeColor="text1"/>
          <w:szCs w:val="21"/>
          <w14:textFill>
            <w14:solidFill>
              <w14:schemeClr w14:val="tx1"/>
            </w14:solidFill>
          </w14:textFill>
        </w:rPr>
        <w:t xml:space="preserve"> 钢筋焊接可采用手工电弧焊、二氧化碳气体保护焊等方法，近年来采用二氧化碳气体保护焊较为常见，其外观质量有所提高。</w:t>
      </w:r>
    </w:p>
    <w:p>
      <w:pPr>
        <w:pStyle w:val="22"/>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第1款加强筋是指位于内外主筋之间、用于连接两层主筋的钢筋，其作用是提高钢架整体受力性能，主要传递剪应力，按照形式分为“8”字筋、“之”字筋等形式，与主筋双面满焊连接。“8”字筋间的净距一般不大于 50mm，“之”字筋间的净距一般不大于10mm。</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8.2.4</w:t>
      </w:r>
      <w:r>
        <w:rPr>
          <w:rFonts w:hint="eastAsia" w:hAnsi="宋体"/>
          <w:color w:val="000000" w:themeColor="text1"/>
          <w:szCs w:val="21"/>
          <w14:textFill>
            <w14:solidFill>
              <w14:schemeClr w14:val="tx1"/>
            </w14:solidFill>
          </w14:textFill>
        </w:rPr>
        <w:t xml:space="preserve"> </w:t>
      </w:r>
      <w:r>
        <w:rPr>
          <w:rFonts w:hint="eastAsia"/>
          <w:color w:val="000000" w:themeColor="text1"/>
          <w:szCs w:val="21"/>
          <w14:textFill>
            <w14:solidFill>
              <w14:schemeClr w14:val="tx1"/>
            </w14:solidFill>
          </w14:textFill>
        </w:rPr>
        <w:t>首榀格栅钢架试拼装验收一般由建设单位、监理单位、设计单位和施工单位共同验收，由监理单位或施工单位组织。</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74" w:name="_Toc2504"/>
      <w:r>
        <w:rPr>
          <w:rFonts w:hint="eastAsia" w:hAnsi="宋体"/>
          <w:b/>
          <w:color w:val="000000" w:themeColor="text1"/>
          <w:sz w:val="24"/>
          <w14:textFill>
            <w14:solidFill>
              <w14:schemeClr w14:val="tx1"/>
            </w14:solidFill>
          </w14:textFill>
        </w:rPr>
        <w:t>8.3  钢筋加工</w:t>
      </w:r>
      <w:bookmarkEnd w:id="574"/>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8.3.1 </w:t>
      </w:r>
      <w:r>
        <w:rPr>
          <w:rFonts w:hint="eastAsia" w:hAnsi="宋体" w:cstheme="minorEastAsia"/>
          <w:color w:val="000000" w:themeColor="text1"/>
          <w:szCs w:val="21"/>
          <w14:textFill>
            <w14:solidFill>
              <w14:schemeClr w14:val="tx1"/>
            </w14:solidFill>
          </w14:textFill>
        </w:rPr>
        <w:t>复试是按照国家标准抽取试件进行物理力学试验和检验。当发现钢筋脆断、焊接性能不良或力学性能显著不正常等现象时，应对该批钢筋进行化学成分检验或其他专项检验。</w:t>
      </w:r>
    </w:p>
    <w:p>
      <w:pPr>
        <w:tabs>
          <w:tab w:val="left" w:pos="576"/>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75" w:name="_Toc21628"/>
      <w:r>
        <w:rPr>
          <w:b/>
          <w:color w:val="000000" w:themeColor="text1"/>
          <w:sz w:val="24"/>
          <w14:textFill>
            <w14:solidFill>
              <w14:schemeClr w14:val="tx1"/>
            </w14:solidFill>
          </w14:textFill>
        </w:rPr>
        <w:t>8.4</w:t>
      </w:r>
      <w:r>
        <w:rPr>
          <w:rFonts w:hint="eastAsia" w:hAnsi="宋体"/>
          <w:b/>
          <w:color w:val="000000" w:themeColor="text1"/>
          <w:sz w:val="24"/>
          <w14:textFill>
            <w14:solidFill>
              <w14:schemeClr w14:val="tx1"/>
            </w14:solidFill>
          </w14:textFill>
        </w:rPr>
        <w:t xml:space="preserve">  喷射混凝土</w:t>
      </w:r>
      <w:bookmarkEnd w:id="575"/>
    </w:p>
    <w:p>
      <w:pPr>
        <w:snapToGrid w:val="0"/>
        <w:spacing w:line="360" w:lineRule="auto"/>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8.4.1  </w:t>
      </w:r>
      <w:r>
        <w:rPr>
          <w:rFonts w:hint="eastAsia" w:hAnsi="宋体"/>
          <w:color w:val="000000" w:themeColor="text1"/>
          <w:szCs w:val="21"/>
          <w14:textFill>
            <w14:solidFill>
              <w14:schemeClr w14:val="tx1"/>
            </w14:solidFill>
          </w14:textFill>
        </w:rPr>
        <w:t>喷射混凝土包括干喷、潮喷和湿喷共3种方式。干喷（dry shotcrete）：</w:t>
      </w:r>
      <w:r>
        <w:rPr>
          <w:rFonts w:hint="eastAsia"/>
          <w:color w:val="000000" w:themeColor="text1"/>
          <w:szCs w:val="21"/>
          <w14:textFill>
            <w14:solidFill>
              <w14:schemeClr w14:val="tx1"/>
            </w14:solidFill>
          </w14:textFill>
        </w:rPr>
        <w:t>将水泥、集料拌和后，压送到喷嘴加水喷出的喷射混凝土施工方法，目前在北京市被列入需淘汰、非环保的工艺。</w:t>
      </w:r>
      <w:r>
        <w:rPr>
          <w:rFonts w:hint="eastAsia" w:hAnsi="宋体"/>
          <w:color w:val="000000" w:themeColor="text1"/>
          <w:szCs w:val="21"/>
          <w14:textFill>
            <w14:solidFill>
              <w14:schemeClr w14:val="tx1"/>
            </w14:solidFill>
          </w14:textFill>
        </w:rPr>
        <w:t>湿喷（wet shotcrete）：</w:t>
      </w:r>
      <w:r>
        <w:rPr>
          <w:rFonts w:hint="eastAsia"/>
          <w:color w:val="000000" w:themeColor="text1"/>
          <w:szCs w:val="21"/>
          <w14:textFill>
            <w14:solidFill>
              <w14:schemeClr w14:val="tx1"/>
            </w14:solidFill>
          </w14:textFill>
        </w:rPr>
        <w:t>将水泥、集料和水在拌和机内拌和后，压送到喷嘴喷出的喷射混凝土施工方法。</w:t>
      </w:r>
    </w:p>
    <w:p>
      <w:pPr>
        <w:snapToGrid w:val="0"/>
        <w:spacing w:line="360" w:lineRule="auto"/>
        <w:ind w:firstLine="420" w:firstLineChars="20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第1款为保证喷射混凝土凝结时间、与速凝剂有较好的相容性，水泥应具有强度高、抗渗性和耐久性好的特点，因此优选强度等级不低于42.5的硅酸盐水泥。</w:t>
      </w:r>
    </w:p>
    <w:p>
      <w:pPr>
        <w:snapToGrid w:val="0"/>
        <w:spacing w:line="360" w:lineRule="auto"/>
        <w:ind w:firstLine="420" w:firstLineChars="20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第2款控制中粗砂细度模数和含水量，主要是在保证喷射混凝土强度的前提下，减少作业粉尘，控制混凝土收缩裂缝，含水量超过7%，混凝土喷射容易堵管，细砂容易增加混凝土收缩开裂，影响混凝土强度。</w:t>
      </w:r>
    </w:p>
    <w:p>
      <w:pPr>
        <w:snapToGrid w:val="0"/>
        <w:spacing w:line="360" w:lineRule="auto"/>
        <w:ind w:firstLine="420" w:firstLineChars="20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第3款选择粒径小于15mm的卵石或碎石，主要为了防止堵管、减少回弹量。</w:t>
      </w:r>
    </w:p>
    <w:p>
      <w:pPr>
        <w:snapToGrid w:val="0"/>
        <w:spacing w:line="360" w:lineRule="auto"/>
        <w:ind w:firstLine="420" w:firstLineChars="20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第4款本表根据现行国家标准《岩土锚固与喷射混凝土支护工程技术规范》GB50086的规定编制，保证混凝土喷射输送顺畅，喷射混凝土密实度高。</w:t>
      </w:r>
    </w:p>
    <w:p>
      <w:pPr>
        <w:adjustRightInd w:val="0"/>
        <w:snapToGrid w:val="0"/>
        <w:spacing w:line="360" w:lineRule="auto"/>
        <w:ind w:firstLine="420" w:firstLineChars="20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第5款一般采用自来水可满足要求，水对于混凝土正常凝结和硬化，保证混凝土强度和稳定性有着重要意义。</w:t>
      </w:r>
    </w:p>
    <w:p>
      <w:pPr>
        <w:adjustRightInd w:val="0"/>
        <w:snapToGrid w:val="0"/>
        <w:spacing w:line="360" w:lineRule="auto"/>
        <w:ind w:firstLine="420" w:firstLineChars="20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第6款外加剂主要是速凝剂，根据条件还可能掺加防水剂等，各种外加剂均应采用质量符合要求，对人体危害小的外加剂。</w:t>
      </w:r>
    </w:p>
    <w:p>
      <w:pPr>
        <w:snapToGrid w:val="0"/>
        <w:spacing w:line="360" w:lineRule="auto"/>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8.4.2 </w:t>
      </w:r>
      <w:r>
        <w:rPr>
          <w:rFonts w:hint="eastAsia"/>
          <w:color w:val="000000" w:themeColor="text1"/>
          <w:szCs w:val="21"/>
          <w14:textFill>
            <w14:solidFill>
              <w14:schemeClr w14:val="tx1"/>
            </w14:solidFill>
          </w14:textFill>
        </w:rPr>
        <w:t>喷射混凝土需要满足施工工艺的要求，需要做到易喷射、不易堵管、回弹量少和粉尘少，同时要满足混凝土质量好、强度高、密实度高和抗渗性能好等设计要求。</w:t>
      </w:r>
    </w:p>
    <w:p>
      <w:pPr>
        <w:snapToGrid w:val="0"/>
        <w:spacing w:line="360" w:lineRule="auto"/>
        <w:ind w:firstLine="420" w:firstLineChars="20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第1款潮喷法水泥与砂石重量比能够满足混凝土强度要求，回弹量较少；含砂率低于45%或高于55%，均容易造成堵管、回弹量大、强度低和收缩加大等问题；水灰比太小，将导致粉尘大、回弹量多、粘性低，喷层会产生干斑、砂窝等现象，从而影响混凝土密实度；水灰比太大，将导致混凝土强度低、速凝效果差，出现喷层流淌、滑移、坍塌等现象；</w:t>
      </w:r>
    </w:p>
    <w:p>
      <w:pPr>
        <w:snapToGrid w:val="0"/>
        <w:spacing w:line="360" w:lineRule="auto"/>
        <w:ind w:firstLine="420" w:firstLineChars="20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第2款湿喷混凝土质量容易控制，喷射过程中回弹量和粉尘均较少，因此本条根据经验提出坍落度控制指标，喷射时需要做到不离析、砂浆不粘管，对喷射机械要求较高。</w:t>
      </w:r>
    </w:p>
    <w:p>
      <w:pPr>
        <w:snapToGrid w:val="0"/>
        <w:spacing w:line="360" w:lineRule="auto"/>
        <w:ind w:firstLine="420" w:firstLineChars="200"/>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第3款添加速凝剂，主要是促使混凝土速凝，减少回弹量。根据现行规范规定，除凝结时间外，速凝剂使用前需要做水泥相容性试验及水泥净浆凝结效果试验。一般速凝剂最佳掺量约为水泥质量的2%</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4%，掺量过多会对混凝土产生不利影响。</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76" w:name="_Toc23117"/>
      <w:r>
        <w:rPr>
          <w:rFonts w:hint="eastAsia" w:hAnsi="宋体"/>
          <w:b/>
          <w:color w:val="000000" w:themeColor="text1"/>
          <w:sz w:val="24"/>
          <w14:textFill>
            <w14:solidFill>
              <w14:schemeClr w14:val="tx1"/>
            </w14:solidFill>
          </w14:textFill>
        </w:rPr>
        <w:t>8.5  防水混凝土</w:t>
      </w:r>
      <w:bookmarkEnd w:id="576"/>
    </w:p>
    <w:p>
      <w:pPr>
        <w:spacing w:line="360" w:lineRule="auto"/>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8.5.5</w:t>
      </w:r>
      <w:r>
        <w:rPr>
          <w:rFonts w:hint="eastAsia" w:ascii="宋体" w:hAnsi="宋体" w:cstheme="minorEastAsia"/>
          <w:color w:val="000000" w:themeColor="text1"/>
          <w:kern w:val="0"/>
          <w:szCs w:val="21"/>
          <w14:textFill>
            <w14:solidFill>
              <w14:schemeClr w14:val="tx1"/>
            </w14:solidFill>
          </w14:textFill>
        </w:rPr>
        <w:t>防水混凝土可通过调整配合比，或掺加外加剂、掺合料等措施配制而成。</w:t>
      </w:r>
      <w:r>
        <w:rPr>
          <w:rFonts w:hint="eastAsia" w:hAnsi="宋体"/>
          <w:b/>
          <w:bCs/>
          <w:color w:val="000000" w:themeColor="text1"/>
          <w:szCs w:val="21"/>
          <w14:textFill>
            <w14:solidFill>
              <w14:schemeClr w14:val="tx1"/>
            </w14:solidFill>
          </w14:textFill>
        </w:rPr>
        <w:t xml:space="preserve"> </w:t>
      </w:r>
    </w:p>
    <w:p>
      <w:pPr>
        <w:pStyle w:val="22"/>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p>
    <w:p>
      <w:pPr>
        <w:numPr>
          <w:ilvl w:val="255"/>
          <w:numId w:val="0"/>
        </w:numPr>
        <w:jc w:val="left"/>
        <w:rPr>
          <w:b/>
          <w:color w:val="000000" w:themeColor="text1"/>
          <w:sz w:val="28"/>
          <w:szCs w:val="28"/>
          <w14:textFill>
            <w14:solidFill>
              <w14:schemeClr w14:val="tx1"/>
            </w14:solidFill>
          </w14:textFill>
        </w:rPr>
      </w:pPr>
      <w:r>
        <w:rPr>
          <w:b/>
          <w:color w:val="000000" w:themeColor="text1"/>
          <w:sz w:val="28"/>
          <w:szCs w:val="28"/>
          <w14:textFill>
            <w14:solidFill>
              <w14:schemeClr w14:val="tx1"/>
            </w14:solidFill>
          </w14:textFill>
        </w:rPr>
        <w:br w:type="page"/>
      </w:r>
    </w:p>
    <w:p>
      <w:pPr>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p>
    <w:p>
      <w:pPr>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577" w:name="_Toc2176"/>
      <w:r>
        <w:rPr>
          <w:rFonts w:hint="eastAsia"/>
          <w:b/>
          <w:color w:val="000000" w:themeColor="text1"/>
          <w:sz w:val="28"/>
          <w:szCs w:val="28"/>
          <w14:textFill>
            <w14:solidFill>
              <w14:schemeClr w14:val="tx1"/>
            </w14:solidFill>
          </w14:textFill>
        </w:rPr>
        <w:t>9  施工竖井</w:t>
      </w:r>
      <w:bookmarkEnd w:id="577"/>
    </w:p>
    <w:p>
      <w:pPr>
        <w:pStyle w:val="22"/>
        <w:numPr>
          <w:ilvl w:val="255"/>
          <w:numId w:val="0"/>
        </w:num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78" w:name="_Toc10914"/>
      <w:r>
        <w:rPr>
          <w:rFonts w:hint="eastAsia" w:hAnsi="宋体"/>
          <w:b/>
          <w:color w:val="000000" w:themeColor="text1"/>
          <w:sz w:val="24"/>
          <w14:textFill>
            <w14:solidFill>
              <w14:schemeClr w14:val="tx1"/>
            </w14:solidFill>
          </w14:textFill>
        </w:rPr>
        <w:t>9.1  一般规定</w:t>
      </w:r>
      <w:bookmarkEnd w:id="578"/>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9</w:t>
      </w:r>
      <w:r>
        <w:rPr>
          <w:rFonts w:hAnsi="宋体"/>
          <w:b/>
          <w:color w:val="000000" w:themeColor="text1"/>
          <w:szCs w:val="21"/>
          <w14:textFill>
            <w14:solidFill>
              <w14:schemeClr w14:val="tx1"/>
            </w14:solidFill>
          </w14:textFill>
        </w:rPr>
        <w:t>.1.</w:t>
      </w:r>
      <w:r>
        <w:rPr>
          <w:rFonts w:hint="eastAsia" w:hAnsi="宋体"/>
          <w:b/>
          <w:color w:val="000000" w:themeColor="text1"/>
          <w:szCs w:val="21"/>
          <w14:textFill>
            <w14:solidFill>
              <w14:schemeClr w14:val="tx1"/>
            </w14:solidFill>
          </w14:textFill>
        </w:rPr>
        <w:t xml:space="preserve">2 </w:t>
      </w:r>
      <w:r>
        <w:rPr>
          <w:rFonts w:hint="eastAsia" w:hAnsi="宋体"/>
          <w:color w:val="000000" w:themeColor="text1"/>
          <w:szCs w:val="21"/>
          <w14:textFill>
            <w14:solidFill>
              <w14:schemeClr w14:val="tx1"/>
            </w14:solidFill>
          </w14:textFill>
        </w:rPr>
        <w:t>土质条件差、或者周边环境要求严格，工序或结构受力复杂的部位，施工一般通过加固提高土体稳定性能。地下水丰富区域，当地表无降水场地或禁止降水时，竖井封底前，可采取深孔注浆加固止水和井内明排降水措施。</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9</w:t>
      </w:r>
      <w:r>
        <w:rPr>
          <w:rFonts w:hAnsi="宋体"/>
          <w:b/>
          <w:color w:val="000000" w:themeColor="text1"/>
          <w:szCs w:val="21"/>
          <w14:textFill>
            <w14:solidFill>
              <w14:schemeClr w14:val="tx1"/>
            </w14:solidFill>
          </w14:textFill>
        </w:rPr>
        <w:t>.1.3</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竖井初期支护包括格栅钢架安装、喷射混凝土、内支撑安装等内容。</w:t>
      </w:r>
    </w:p>
    <w:p>
      <w:pPr>
        <w:widowControl/>
        <w:snapToGrid w:val="0"/>
        <w:spacing w:line="360" w:lineRule="auto"/>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9</w:t>
      </w:r>
      <w:r>
        <w:rPr>
          <w:rFonts w:hAnsi="宋体"/>
          <w:b/>
          <w:color w:val="000000" w:themeColor="text1"/>
          <w:szCs w:val="21"/>
          <w14:textFill>
            <w14:solidFill>
              <w14:schemeClr w14:val="tx1"/>
            </w14:solidFill>
          </w14:textFill>
        </w:rPr>
        <w:t>.1.</w:t>
      </w:r>
      <w:r>
        <w:rPr>
          <w:rFonts w:hint="eastAsia" w:hAnsi="宋体"/>
          <w:b/>
          <w:color w:val="000000" w:themeColor="text1"/>
          <w:szCs w:val="21"/>
          <w14:textFill>
            <w14:solidFill>
              <w14:schemeClr w14:val="tx1"/>
            </w14:solidFill>
          </w14:textFill>
        </w:rPr>
        <w:t xml:space="preserve">5 </w:t>
      </w:r>
      <w:r>
        <w:rPr>
          <w:rFonts w:hint="eastAsia" w:hAnsi="宋体"/>
          <w:bCs/>
          <w:color w:val="000000" w:themeColor="text1"/>
          <w:szCs w:val="21"/>
          <w14:textFill>
            <w14:solidFill>
              <w14:schemeClr w14:val="tx1"/>
            </w14:solidFill>
          </w14:textFill>
        </w:rPr>
        <w:t>防汛挡墙高度以现况地面为准起算，防汛挡墙考虑汛期最高水位，一般以高出可能达到的最高水位为宜。</w:t>
      </w:r>
    </w:p>
    <w:p>
      <w:pPr>
        <w:widowControl/>
        <w:spacing w:line="360" w:lineRule="auto"/>
        <w:jc w:val="left"/>
        <w:rPr>
          <w:rFonts w:ascii="宋体" w:hAnsi="宋体" w:cs="宋体"/>
          <w:color w:val="000000" w:themeColor="text1"/>
          <w:kern w:val="0"/>
          <w:szCs w:val="21"/>
          <w:lang w:bidi="ar"/>
          <w14:textFill>
            <w14:solidFill>
              <w14:schemeClr w14:val="tx1"/>
            </w14:solidFill>
          </w14:textFill>
        </w:rPr>
      </w:pPr>
      <w:r>
        <w:rPr>
          <w:rFonts w:hint="eastAsia" w:hAnsi="宋体"/>
          <w:b/>
          <w:color w:val="000000" w:themeColor="text1"/>
          <w:szCs w:val="21"/>
          <w14:textFill>
            <w14:solidFill>
              <w14:schemeClr w14:val="tx1"/>
            </w14:solidFill>
          </w14:textFill>
        </w:rPr>
        <w:t xml:space="preserve">9.1.10 </w:t>
      </w:r>
      <w:r>
        <w:rPr>
          <w:rFonts w:hint="eastAsia" w:ascii="宋体" w:hAnsi="宋体" w:cs="宋体"/>
          <w:color w:val="000000" w:themeColor="text1"/>
          <w:kern w:val="0"/>
          <w:szCs w:val="21"/>
          <w:lang w:bidi="ar"/>
          <w14:textFill>
            <w14:solidFill>
              <w14:schemeClr w14:val="tx1"/>
            </w14:solidFill>
          </w14:textFill>
        </w:rPr>
        <w:t>轨道交通线路穿越城区，噪声、扬尘对周边环境影响较大，因此一般采用封闭式钢结构罩棚，控制施工对环境影响，也与周边建筑协调。</w:t>
      </w:r>
    </w:p>
    <w:p>
      <w:pPr>
        <w:tabs>
          <w:tab w:val="left" w:pos="576"/>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79" w:name="_Toc15099"/>
      <w:r>
        <w:rPr>
          <w:rFonts w:hint="eastAsia" w:hAnsi="宋体"/>
          <w:b/>
          <w:color w:val="000000" w:themeColor="text1"/>
          <w:sz w:val="24"/>
          <w14:textFill>
            <w14:solidFill>
              <w14:schemeClr w14:val="tx1"/>
            </w14:solidFill>
          </w14:textFill>
        </w:rPr>
        <w:t>9.2  土方开挖</w:t>
      </w:r>
      <w:bookmarkEnd w:id="579"/>
    </w:p>
    <w:p>
      <w:pPr>
        <w:pStyle w:val="22"/>
        <w:widowControl/>
        <w:numPr>
          <w:ilvl w:val="255"/>
          <w:numId w:val="0"/>
        </w:numPr>
        <w:tabs>
          <w:tab w:val="left" w:pos="851"/>
          <w:tab w:val="left" w:pos="5835"/>
        </w:tabs>
        <w:snapToGrid w:val="0"/>
        <w:spacing w:line="360" w:lineRule="auto"/>
        <w:jc w:val="left"/>
        <w:rPr>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9</w:t>
      </w:r>
      <w:r>
        <w:rPr>
          <w:rFonts w:hAnsi="宋体"/>
          <w:b/>
          <w:color w:val="000000" w:themeColor="text1"/>
          <w:szCs w:val="21"/>
          <w14:textFill>
            <w14:solidFill>
              <w14:schemeClr w14:val="tx1"/>
            </w14:solidFill>
          </w14:textFill>
        </w:rPr>
        <w:t>.2.</w:t>
      </w:r>
      <w:r>
        <w:rPr>
          <w:rFonts w:hint="eastAsia" w:hAnsi="宋体"/>
          <w:b/>
          <w:color w:val="000000" w:themeColor="text1"/>
          <w:szCs w:val="21"/>
          <w14:textFill>
            <w14:solidFill>
              <w14:schemeClr w14:val="tx1"/>
            </w14:solidFill>
          </w14:textFill>
        </w:rPr>
        <w:t xml:space="preserve">2 </w:t>
      </w:r>
      <w:r>
        <w:rPr>
          <w:rFonts w:hint="eastAsia"/>
          <w:color w:val="000000" w:themeColor="text1"/>
          <w:szCs w:val="21"/>
          <w14:textFill>
            <w14:solidFill>
              <w14:schemeClr w14:val="tx1"/>
            </w14:solidFill>
          </w14:textFill>
        </w:rPr>
        <w:t>竖井和隧道的开挖与初期支护施工遵守“管超前、严注浆、短开挖、强支护、快封闭、勤量测”十八字方针。为保证施工安全，竖井的开挖不应采用大开挖、大爆破。竖井开挖一般分部进行，开挖面做到进行支护是基本要求。1）分部开挖根据钢筋格栅分段情况确定，一般采取先对角开挖工作坑四角土方并及时作该层初衬结构，后开挖中心土方的方法。</w:t>
      </w:r>
    </w:p>
    <w:p>
      <w:pPr>
        <w:spacing w:line="360" w:lineRule="auto"/>
        <w:jc w:val="left"/>
        <w:rPr>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9</w:t>
      </w:r>
      <w:r>
        <w:rPr>
          <w:rFonts w:hAnsi="宋体"/>
          <w:b/>
          <w:color w:val="000000" w:themeColor="text1"/>
          <w:szCs w:val="21"/>
          <w14:textFill>
            <w14:solidFill>
              <w14:schemeClr w14:val="tx1"/>
            </w14:solidFill>
          </w14:textFill>
        </w:rPr>
        <w:t>.</w:t>
      </w:r>
      <w:r>
        <w:rPr>
          <w:rFonts w:hint="eastAsia" w:hAnsi="宋体"/>
          <w:b/>
          <w:color w:val="000000" w:themeColor="text1"/>
          <w:szCs w:val="21"/>
          <w14:textFill>
            <w14:solidFill>
              <w14:schemeClr w14:val="tx1"/>
            </w14:solidFill>
          </w14:textFill>
        </w:rPr>
        <w:t>2</w:t>
      </w:r>
      <w:r>
        <w:rPr>
          <w:rFonts w:hAnsi="宋体"/>
          <w:b/>
          <w:color w:val="000000" w:themeColor="text1"/>
          <w:szCs w:val="21"/>
          <w14:textFill>
            <w14:solidFill>
              <w14:schemeClr w14:val="tx1"/>
            </w14:solidFill>
          </w14:textFill>
        </w:rPr>
        <w:t>.</w:t>
      </w:r>
      <w:r>
        <w:rPr>
          <w:rFonts w:hint="eastAsia" w:hAnsi="宋体"/>
          <w:b/>
          <w:color w:val="000000" w:themeColor="text1"/>
          <w:szCs w:val="21"/>
          <w14:textFill>
            <w14:solidFill>
              <w14:schemeClr w14:val="tx1"/>
            </w14:solidFill>
          </w14:textFill>
        </w:rPr>
        <w:t>3</w:t>
      </w:r>
      <w:r>
        <w:rPr>
          <w:rFonts w:hAnsi="宋体"/>
          <w:b/>
          <w:color w:val="000000" w:themeColor="text1"/>
          <w:szCs w:val="21"/>
          <w14:textFill>
            <w14:solidFill>
              <w14:schemeClr w14:val="tx1"/>
            </w14:solidFill>
          </w14:textFill>
        </w:rPr>
        <w:t xml:space="preserve"> </w:t>
      </w:r>
      <w:r>
        <w:rPr>
          <w:rFonts w:hint="eastAsia"/>
          <w:color w:val="000000" w:themeColor="text1"/>
          <w:szCs w:val="21"/>
          <w14:textFill>
            <w14:solidFill>
              <w14:schemeClr w14:val="tx1"/>
            </w14:solidFill>
          </w14:textFill>
        </w:rPr>
        <w:t>竖井开挖过程中应加强观察和监测。当发现地层渗水，井壁土体松散等现象时，应立即停止施工，经加固处理后方可继续施工。竖井进行注浆止水加固，注浆加固深度一般为2m～3m。</w:t>
      </w:r>
    </w:p>
    <w:p>
      <w:pPr>
        <w:pStyle w:val="22"/>
        <w:tabs>
          <w:tab w:val="left" w:pos="851"/>
        </w:tabs>
        <w:snapToGrid w:val="0"/>
        <w:spacing w:line="360" w:lineRule="auto"/>
        <w:ind w:firstLine="0" w:firstLineChars="0"/>
        <w:jc w:val="left"/>
        <w:rPr>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9</w:t>
      </w:r>
      <w:r>
        <w:rPr>
          <w:rFonts w:hAnsi="宋体"/>
          <w:b/>
          <w:color w:val="000000" w:themeColor="text1"/>
          <w:szCs w:val="21"/>
          <w14:textFill>
            <w14:solidFill>
              <w14:schemeClr w14:val="tx1"/>
            </w14:solidFill>
          </w14:textFill>
        </w:rPr>
        <w:t>.</w:t>
      </w:r>
      <w:r>
        <w:rPr>
          <w:rFonts w:hint="eastAsia" w:hAnsi="宋体"/>
          <w:b/>
          <w:color w:val="000000" w:themeColor="text1"/>
          <w:szCs w:val="21"/>
          <w14:textFill>
            <w14:solidFill>
              <w14:schemeClr w14:val="tx1"/>
            </w14:solidFill>
          </w14:textFill>
        </w:rPr>
        <w:t>2</w:t>
      </w:r>
      <w:r>
        <w:rPr>
          <w:rFonts w:hAnsi="宋体"/>
          <w:b/>
          <w:color w:val="000000" w:themeColor="text1"/>
          <w:szCs w:val="21"/>
          <w14:textFill>
            <w14:solidFill>
              <w14:schemeClr w14:val="tx1"/>
            </w14:solidFill>
          </w14:textFill>
        </w:rPr>
        <w:t>.</w:t>
      </w:r>
      <w:r>
        <w:rPr>
          <w:rFonts w:hint="eastAsia" w:hAnsi="宋体"/>
          <w:b/>
          <w:color w:val="000000" w:themeColor="text1"/>
          <w:szCs w:val="21"/>
          <w14:textFill>
            <w14:solidFill>
              <w14:schemeClr w14:val="tx1"/>
            </w14:solidFill>
          </w14:textFill>
        </w:rPr>
        <w:t>4</w:t>
      </w:r>
      <w:r>
        <w:rPr>
          <w:rFonts w:hAnsi="宋体"/>
          <w:b/>
          <w:color w:val="000000" w:themeColor="text1"/>
          <w:szCs w:val="21"/>
          <w14:textFill>
            <w14:solidFill>
              <w14:schemeClr w14:val="tx1"/>
            </w14:solidFill>
          </w14:textFill>
        </w:rPr>
        <w:t xml:space="preserve"> </w:t>
      </w:r>
      <w:r>
        <w:rPr>
          <w:rFonts w:hint="eastAsia"/>
          <w:color w:val="000000" w:themeColor="text1"/>
          <w:szCs w:val="21"/>
          <w14:textFill>
            <w14:solidFill>
              <w14:schemeClr w14:val="tx1"/>
            </w14:solidFill>
          </w14:textFill>
        </w:rPr>
        <w:t xml:space="preserve">对洞门（包括横通道）拱部实施注浆加固，主要是为洞门、横通道施工做准备，由于施工方便，可以先行实施，加快施工进度，取得良好的加固效果。加固方法一般有超前深孔注浆及超前注浆小导管等方法。 </w:t>
      </w:r>
    </w:p>
    <w:p>
      <w:pPr>
        <w:pStyle w:val="22"/>
        <w:tabs>
          <w:tab w:val="left" w:pos="851"/>
          <w:tab w:val="left" w:pos="5835"/>
        </w:tabs>
        <w:snapToGrid w:val="0"/>
        <w:spacing w:line="360" w:lineRule="auto"/>
        <w:ind w:firstLine="0" w:firstLineChars="0"/>
        <w:rPr>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9</w:t>
      </w:r>
      <w:r>
        <w:rPr>
          <w:rFonts w:hAnsi="宋体"/>
          <w:b/>
          <w:color w:val="000000" w:themeColor="text1"/>
          <w:szCs w:val="21"/>
          <w14:textFill>
            <w14:solidFill>
              <w14:schemeClr w14:val="tx1"/>
            </w14:solidFill>
          </w14:textFill>
        </w:rPr>
        <w:t>.</w:t>
      </w:r>
      <w:r>
        <w:rPr>
          <w:rFonts w:hint="eastAsia" w:hAnsi="宋体"/>
          <w:b/>
          <w:color w:val="000000" w:themeColor="text1"/>
          <w:szCs w:val="21"/>
          <w14:textFill>
            <w14:solidFill>
              <w14:schemeClr w14:val="tx1"/>
            </w14:solidFill>
          </w14:textFill>
        </w:rPr>
        <w:t>2</w:t>
      </w:r>
      <w:r>
        <w:rPr>
          <w:rFonts w:hAnsi="宋体"/>
          <w:b/>
          <w:color w:val="000000" w:themeColor="text1"/>
          <w:szCs w:val="21"/>
          <w14:textFill>
            <w14:solidFill>
              <w14:schemeClr w14:val="tx1"/>
            </w14:solidFill>
          </w14:textFill>
        </w:rPr>
        <w:t>.</w:t>
      </w:r>
      <w:r>
        <w:rPr>
          <w:rFonts w:hint="eastAsia" w:hAnsi="宋体"/>
          <w:b/>
          <w:color w:val="000000" w:themeColor="text1"/>
          <w:szCs w:val="21"/>
          <w14:textFill>
            <w14:solidFill>
              <w14:schemeClr w14:val="tx1"/>
            </w14:solidFill>
          </w14:textFill>
        </w:rPr>
        <w:t xml:space="preserve">5 </w:t>
      </w:r>
      <w:r>
        <w:rPr>
          <w:rFonts w:hint="eastAsia"/>
          <w:color w:val="000000" w:themeColor="text1"/>
          <w:szCs w:val="21"/>
          <w14:textFill>
            <w14:solidFill>
              <w14:schemeClr w14:val="tx1"/>
            </w14:solidFill>
          </w14:textFill>
        </w:rPr>
        <w:t>背后注浆的压力和注浆量根据设计文件要求确定，临近地下建构筑的区域应控制注浆压力，避免对周边环境及竖井初衬结构造成破坏。</w:t>
      </w:r>
    </w:p>
    <w:p>
      <w:pPr>
        <w:spacing w:line="360" w:lineRule="auto"/>
        <w:rPr>
          <w:rFonts w:ascii="宋体" w:hAnsi="宋体" w:cs="宋体"/>
          <w:color w:val="000000" w:themeColor="text1"/>
          <w:kern w:val="0"/>
          <w:szCs w:val="21"/>
          <w:lang w:bidi="ar"/>
          <w14:textFill>
            <w14:solidFill>
              <w14:schemeClr w14:val="tx1"/>
            </w14:solidFill>
          </w14:textFill>
        </w:rPr>
      </w:pPr>
      <w:r>
        <w:rPr>
          <w:rFonts w:hint="eastAsia" w:hAnsi="宋体"/>
          <w:b/>
          <w:color w:val="000000" w:themeColor="text1"/>
          <w:szCs w:val="21"/>
          <w14:textFill>
            <w14:solidFill>
              <w14:schemeClr w14:val="tx1"/>
            </w14:solidFill>
          </w14:textFill>
        </w:rPr>
        <w:t>9</w:t>
      </w:r>
      <w:r>
        <w:rPr>
          <w:rFonts w:hAnsi="宋体"/>
          <w:b/>
          <w:color w:val="000000" w:themeColor="text1"/>
          <w:szCs w:val="21"/>
          <w14:textFill>
            <w14:solidFill>
              <w14:schemeClr w14:val="tx1"/>
            </w14:solidFill>
          </w14:textFill>
        </w:rPr>
        <w:t>.2.</w:t>
      </w:r>
      <w:r>
        <w:rPr>
          <w:rFonts w:hint="eastAsia" w:hAnsi="宋体"/>
          <w:b/>
          <w:color w:val="000000" w:themeColor="text1"/>
          <w:szCs w:val="21"/>
          <w14:textFill>
            <w14:solidFill>
              <w14:schemeClr w14:val="tx1"/>
            </w14:solidFill>
          </w14:textFill>
        </w:rPr>
        <w:t>6</w:t>
      </w:r>
      <w:r>
        <w:rPr>
          <w:rFonts w:hAnsi="宋体"/>
          <w:b/>
          <w:color w:val="000000" w:themeColor="text1"/>
          <w:szCs w:val="21"/>
          <w14:textFill>
            <w14:solidFill>
              <w14:schemeClr w14:val="tx1"/>
            </w14:solidFill>
          </w14:textFill>
        </w:rPr>
        <w:t xml:space="preserve"> </w:t>
      </w:r>
      <w:r>
        <w:rPr>
          <w:rFonts w:hint="eastAsia"/>
          <w:color w:val="000000" w:themeColor="text1"/>
          <w:szCs w:val="21"/>
          <w14:textFill>
            <w14:solidFill>
              <w14:schemeClr w14:val="tx1"/>
            </w14:solidFill>
          </w14:textFill>
        </w:rPr>
        <w:t>施工过程中，加强对的监测，当井壁出现过量变形、裂缝或支撑出现较大变形等现象时，应立即采取措施加固处理。</w:t>
      </w:r>
    </w:p>
    <w:p>
      <w:pPr>
        <w:tabs>
          <w:tab w:val="left" w:pos="576"/>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80" w:name="_Toc28384"/>
      <w:r>
        <w:rPr>
          <w:rFonts w:hint="eastAsia" w:hAnsi="宋体"/>
          <w:b/>
          <w:color w:val="000000" w:themeColor="text1"/>
          <w:sz w:val="24"/>
          <w14:textFill>
            <w14:solidFill>
              <w14:schemeClr w14:val="tx1"/>
            </w14:solidFill>
          </w14:textFill>
        </w:rPr>
        <w:t>9.3  初期支护</w:t>
      </w:r>
      <w:bookmarkEnd w:id="580"/>
    </w:p>
    <w:p>
      <w:pPr>
        <w:spacing w:line="360" w:lineRule="auto"/>
        <w:rPr>
          <w:rFonts w:hAnsi="宋体"/>
          <w:color w:val="000000" w:themeColor="text1"/>
          <w:szCs w:val="21"/>
          <w:lang w:bidi="ar"/>
          <w14:textFill>
            <w14:solidFill>
              <w14:schemeClr w14:val="tx1"/>
            </w14:solidFill>
          </w14:textFill>
        </w:rPr>
      </w:pPr>
      <w:r>
        <w:rPr>
          <w:rFonts w:hint="eastAsia" w:hAnsi="宋体"/>
          <w:b/>
          <w:color w:val="000000" w:themeColor="text1"/>
          <w:szCs w:val="21"/>
          <w14:textFill>
            <w14:solidFill>
              <w14:schemeClr w14:val="tx1"/>
            </w14:solidFill>
          </w14:textFill>
        </w:rPr>
        <w:t>9</w:t>
      </w:r>
      <w:r>
        <w:rPr>
          <w:rFonts w:hAnsi="宋体"/>
          <w:b/>
          <w:color w:val="000000" w:themeColor="text1"/>
          <w:szCs w:val="21"/>
          <w14:textFill>
            <w14:solidFill>
              <w14:schemeClr w14:val="tx1"/>
            </w14:solidFill>
          </w14:textFill>
        </w:rPr>
        <w:t>.</w:t>
      </w:r>
      <w:r>
        <w:rPr>
          <w:rFonts w:hint="eastAsia" w:hAnsi="宋体"/>
          <w:b/>
          <w:color w:val="000000" w:themeColor="text1"/>
          <w:szCs w:val="21"/>
          <w14:textFill>
            <w14:solidFill>
              <w14:schemeClr w14:val="tx1"/>
            </w14:solidFill>
          </w14:textFill>
        </w:rPr>
        <w:t>3</w:t>
      </w:r>
      <w:r>
        <w:rPr>
          <w:rFonts w:hAnsi="宋体"/>
          <w:b/>
          <w:color w:val="000000" w:themeColor="text1"/>
          <w:szCs w:val="21"/>
          <w14:textFill>
            <w14:solidFill>
              <w14:schemeClr w14:val="tx1"/>
            </w14:solidFill>
          </w14:textFill>
        </w:rPr>
        <w:t>.</w:t>
      </w:r>
      <w:r>
        <w:rPr>
          <w:rFonts w:hint="eastAsia" w:hAnsi="宋体"/>
          <w:b/>
          <w:color w:val="000000" w:themeColor="text1"/>
          <w:szCs w:val="21"/>
          <w14:textFill>
            <w14:solidFill>
              <w14:schemeClr w14:val="tx1"/>
            </w14:solidFill>
          </w14:textFill>
        </w:rPr>
        <w:t xml:space="preserve">1 </w:t>
      </w:r>
      <w:r>
        <w:rPr>
          <w:rFonts w:hint="eastAsia" w:hAnsi="宋体"/>
          <w:bCs/>
          <w:color w:val="000000" w:themeColor="text1"/>
          <w:szCs w:val="21"/>
          <w14:textFill>
            <w14:solidFill>
              <w14:schemeClr w14:val="tx1"/>
            </w14:solidFill>
          </w14:textFill>
        </w:rPr>
        <w:t>本条第</w:t>
      </w:r>
      <w:r>
        <w:rPr>
          <w:rFonts w:hint="eastAsia" w:hAnsi="宋体"/>
          <w:b/>
          <w:color w:val="000000" w:themeColor="text1"/>
          <w:szCs w:val="21"/>
          <w14:textFill>
            <w14:solidFill>
              <w14:schemeClr w14:val="tx1"/>
            </w14:solidFill>
          </w14:textFill>
        </w:rPr>
        <w:t>1</w:t>
      </w:r>
      <w:r>
        <w:rPr>
          <w:rFonts w:hint="eastAsia" w:hAnsi="宋体"/>
          <w:bCs/>
          <w:color w:val="000000" w:themeColor="text1"/>
          <w:szCs w:val="21"/>
          <w14:textFill>
            <w14:solidFill>
              <w14:schemeClr w14:val="tx1"/>
            </w14:solidFill>
          </w14:textFill>
        </w:rPr>
        <w:t>款</w:t>
      </w:r>
      <w:r>
        <w:rPr>
          <w:rFonts w:hint="eastAsia" w:hAnsi="宋体"/>
          <w:color w:val="000000" w:themeColor="text1"/>
          <w:szCs w:val="21"/>
          <w:lang w:bidi="ar"/>
          <w14:textFill>
            <w14:solidFill>
              <w14:schemeClr w14:val="tx1"/>
            </w14:solidFill>
          </w14:textFill>
        </w:rPr>
        <w:t>竖井应按设计施作锁口圈梁，圈梁埋深较大时，上部应设置砖砌挡土墙、土钉墙或“格栅钢架+喷射混凝土”等临时围护结构。</w:t>
      </w:r>
    </w:p>
    <w:p>
      <w:pPr>
        <w:spacing w:line="360" w:lineRule="auto"/>
        <w:ind w:firstLine="420" w:firstLineChars="200"/>
        <w:rPr>
          <w:rFonts w:hAnsi="宋体"/>
          <w:color w:val="000000" w:themeColor="text1"/>
          <w:szCs w:val="21"/>
          <w:lang w:bidi="ar"/>
          <w14:textFill>
            <w14:solidFill>
              <w14:schemeClr w14:val="tx1"/>
            </w14:solidFill>
          </w14:textFill>
        </w:rPr>
      </w:pPr>
      <w:r>
        <w:rPr>
          <w:rFonts w:hint="eastAsia" w:hAnsi="宋体"/>
          <w:color w:val="000000" w:themeColor="text1"/>
          <w:szCs w:val="21"/>
          <w:lang w:bidi="ar"/>
          <w14:textFill>
            <w14:solidFill>
              <w14:schemeClr w14:val="tx1"/>
            </w14:solidFill>
          </w14:textFill>
        </w:rPr>
        <w:t xml:space="preserve"> 第</w:t>
      </w:r>
      <w:r>
        <w:rPr>
          <w:rFonts w:hint="eastAsia" w:hAnsi="宋体"/>
          <w:b/>
          <w:color w:val="000000" w:themeColor="text1"/>
          <w:szCs w:val="21"/>
          <w:lang w:bidi="ar"/>
          <w14:textFill>
            <w14:solidFill>
              <w14:schemeClr w14:val="tx1"/>
            </w14:solidFill>
          </w14:textFill>
        </w:rPr>
        <w:t>2</w:t>
      </w:r>
      <w:r>
        <w:rPr>
          <w:rFonts w:hint="eastAsia" w:hAnsi="宋体"/>
          <w:color w:val="000000" w:themeColor="text1"/>
          <w:szCs w:val="21"/>
          <w:lang w:bidi="ar"/>
          <w14:textFill>
            <w14:solidFill>
              <w14:schemeClr w14:val="tx1"/>
            </w14:solidFill>
          </w14:textFill>
        </w:rPr>
        <w:t>款井壁格栅钢架的竖向连接筋应锚入锁口圈梁内，是竖井初期支护连接筋搭接长度的基本要求，竖井连接钢筋底部进入土层的长度一般不小于20d。</w:t>
      </w:r>
    </w:p>
    <w:p>
      <w:pPr>
        <w:spacing w:line="360" w:lineRule="auto"/>
        <w:rPr>
          <w:rFonts w:ascii="宋体" w:hAnsi="宋体" w:cs="宋体"/>
          <w:color w:val="000000" w:themeColor="text1"/>
          <w:kern w:val="0"/>
          <w:szCs w:val="21"/>
          <w:lang w:bidi="ar"/>
          <w14:textFill>
            <w14:solidFill>
              <w14:schemeClr w14:val="tx1"/>
            </w14:solidFill>
          </w14:textFill>
        </w:rPr>
      </w:pPr>
      <w:r>
        <w:rPr>
          <w:rFonts w:hint="eastAsia" w:hAnsi="宋体"/>
          <w:b/>
          <w:color w:val="000000" w:themeColor="text1"/>
          <w:szCs w:val="21"/>
          <w14:textFill>
            <w14:solidFill>
              <w14:schemeClr w14:val="tx1"/>
            </w14:solidFill>
          </w14:textFill>
        </w:rPr>
        <w:t xml:space="preserve">9.3.3 </w:t>
      </w:r>
      <w:r>
        <w:rPr>
          <w:rFonts w:hint="eastAsia"/>
          <w:color w:val="000000" w:themeColor="text1"/>
          <w:szCs w:val="21"/>
          <w14:textFill>
            <w14:solidFill>
              <w14:schemeClr w14:val="tx1"/>
            </w14:solidFill>
          </w14:textFill>
        </w:rPr>
        <w:t xml:space="preserve">施工平面尺寸和深度较大的竖井时，临时支撑是保证竖井稳定的必要措施。 </w:t>
      </w:r>
    </w:p>
    <w:p>
      <w:pPr>
        <w:adjustRightInd w:val="0"/>
        <w:snapToGrid w:val="0"/>
        <w:spacing w:line="360" w:lineRule="auto"/>
        <w:rPr>
          <w:rFonts w:hAnsi="宋体"/>
          <w:color w:val="000000" w:themeColor="text1"/>
          <w:szCs w:val="21"/>
          <w14:textFill>
            <w14:solidFill>
              <w14:schemeClr w14:val="tx1"/>
            </w14:solidFill>
          </w14:textFill>
        </w:rPr>
        <w:sectPr>
          <w:pgSz w:w="11906" w:h="16838"/>
          <w:pgMar w:top="1440" w:right="1800" w:bottom="1440" w:left="1800" w:header="851" w:footer="992" w:gutter="0"/>
          <w:cols w:space="425" w:num="1"/>
          <w:docGrid w:type="lines" w:linePitch="312" w:charSpace="0"/>
        </w:sectPr>
      </w:pPr>
    </w:p>
    <w:p>
      <w:pPr>
        <w:numPr>
          <w:ilvl w:val="255"/>
          <w:numId w:val="0"/>
        </w:numPr>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581" w:name="_Toc2261"/>
      <w:r>
        <w:rPr>
          <w:rFonts w:hint="eastAsia"/>
          <w:b/>
          <w:color w:val="000000" w:themeColor="text1"/>
          <w:sz w:val="28"/>
          <w:szCs w:val="28"/>
          <w14:textFill>
            <w14:solidFill>
              <w14:schemeClr w14:val="tx1"/>
            </w14:solidFill>
          </w14:textFill>
        </w:rPr>
        <w:t>10  马头门</w:t>
      </w:r>
      <w:bookmarkEnd w:id="581"/>
    </w:p>
    <w:p>
      <w:pPr>
        <w:numPr>
          <w:ilvl w:val="255"/>
          <w:numId w:val="0"/>
        </w:numPr>
        <w:tabs>
          <w:tab w:val="left" w:pos="576"/>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82" w:name="_Toc11448"/>
      <w:r>
        <w:rPr>
          <w:rFonts w:hint="eastAsia" w:hAnsi="宋体"/>
          <w:b/>
          <w:color w:val="000000" w:themeColor="text1"/>
          <w:sz w:val="24"/>
          <w14:textFill>
            <w14:solidFill>
              <w14:schemeClr w14:val="tx1"/>
            </w14:solidFill>
          </w14:textFill>
        </w:rPr>
        <w:t>10.1  一般规定</w:t>
      </w:r>
      <w:bookmarkEnd w:id="582"/>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10.1.1 </w:t>
      </w:r>
      <w:r>
        <w:rPr>
          <w:rFonts w:hint="eastAsia" w:hAnsi="宋体"/>
          <w:color w:val="000000" w:themeColor="text1"/>
          <w:szCs w:val="21"/>
          <w14:textFill>
            <w14:solidFill>
              <w14:schemeClr w14:val="tx1"/>
            </w14:solidFill>
          </w14:textFill>
        </w:rPr>
        <w:t>轨道交通暗挖法施工马头门主要设置在竖井与横通道连接处、横通道与正洞（隧道）连接处、变断面处以及交叉点处，一般需要设置钢架支撑或对土体进行注浆加固。马头门按部位可分为：竖井马头门、横通道马头门和区间联络通道马头门等类型。马头门施工应在无水的条件下进行，当马头门施工部位管线复杂、土质较差时，一般应根据情况对地层进行注浆加固，当地下水较为丰富时，可采取深孔帷幕注浆止水或冻结法止水，防止洞门开挖出现坍塌、冒顶等危险情况。注浆加固主要控制注浆压力、注浆量等参数。</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10.1.5</w:t>
      </w:r>
      <w:r>
        <w:rPr>
          <w:rFonts w:hint="eastAsia" w:hAnsi="宋体"/>
          <w:color w:val="000000" w:themeColor="text1"/>
          <w:szCs w:val="21"/>
          <w14:textFill>
            <w14:solidFill>
              <w14:schemeClr w14:val="tx1"/>
            </w14:solidFill>
          </w14:textFill>
        </w:rPr>
        <w:t>马头门开挖需要严格按照设计要求，由于马头门处应力集中，受力复杂，一般需要对马头门一定范围的结构采取加强、加固措施，以保证施工和结构安全。</w:t>
      </w:r>
    </w:p>
    <w:p>
      <w:pPr>
        <w:pStyle w:val="22"/>
        <w:tabs>
          <w:tab w:val="left" w:pos="851"/>
        </w:tabs>
        <w:snapToGrid w:val="0"/>
        <w:spacing w:line="360" w:lineRule="auto"/>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第</w:t>
      </w:r>
      <w:r>
        <w:rPr>
          <w:rFonts w:hint="eastAsia" w:hAnsi="宋体"/>
          <w:b/>
          <w:bCs/>
          <w:color w:val="000000" w:themeColor="text1"/>
          <w:szCs w:val="21"/>
          <w14:textFill>
            <w14:solidFill>
              <w14:schemeClr w14:val="tx1"/>
            </w14:solidFill>
          </w14:textFill>
        </w:rPr>
        <w:t>1</w:t>
      </w:r>
      <w:r>
        <w:rPr>
          <w:rFonts w:hint="eastAsia" w:hAnsi="宋体"/>
          <w:color w:val="000000" w:themeColor="text1"/>
          <w:szCs w:val="21"/>
          <w14:textFill>
            <w14:solidFill>
              <w14:schemeClr w14:val="tx1"/>
            </w14:solidFill>
          </w14:textFill>
        </w:rPr>
        <w:t>款马头门处支撑设置一般在设计文件中明确，并应在施工方案中细化实施工艺。</w:t>
      </w:r>
    </w:p>
    <w:p>
      <w:pPr>
        <w:pStyle w:val="22"/>
        <w:tabs>
          <w:tab w:val="left" w:pos="851"/>
        </w:tabs>
        <w:snapToGrid w:val="0"/>
        <w:spacing w:line="360" w:lineRule="auto"/>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第</w:t>
      </w:r>
      <w:r>
        <w:rPr>
          <w:rFonts w:hint="eastAsia" w:hAnsi="宋体"/>
          <w:b/>
          <w:bCs/>
          <w:color w:val="000000" w:themeColor="text1"/>
          <w:szCs w:val="21"/>
          <w14:textFill>
            <w14:solidFill>
              <w14:schemeClr w14:val="tx1"/>
            </w14:solidFill>
          </w14:textFill>
        </w:rPr>
        <w:t>2</w:t>
      </w:r>
      <w:r>
        <w:rPr>
          <w:rFonts w:hint="eastAsia" w:hAnsi="宋体"/>
          <w:color w:val="000000" w:themeColor="text1"/>
          <w:szCs w:val="21"/>
          <w14:textFill>
            <w14:solidFill>
              <w14:schemeClr w14:val="tx1"/>
            </w14:solidFill>
          </w14:textFill>
        </w:rPr>
        <w:t>款主要对马头门处初期支护局部加强提出要求。</w:t>
      </w:r>
    </w:p>
    <w:p>
      <w:pPr>
        <w:pStyle w:val="22"/>
        <w:tabs>
          <w:tab w:val="left" w:pos="851"/>
        </w:tabs>
        <w:snapToGrid w:val="0"/>
        <w:spacing w:line="360" w:lineRule="auto"/>
        <w:jc w:val="left"/>
        <w:rPr>
          <w:rFonts w:hAnsi="宋体"/>
          <w:b/>
          <w:bCs/>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第</w:t>
      </w:r>
      <w:r>
        <w:rPr>
          <w:rFonts w:hint="eastAsia" w:hAnsi="宋体"/>
          <w:b/>
          <w:bCs/>
          <w:color w:val="000000" w:themeColor="text1"/>
          <w:szCs w:val="21"/>
          <w14:textFill>
            <w14:solidFill>
              <w14:schemeClr w14:val="tx1"/>
            </w14:solidFill>
          </w14:textFill>
        </w:rPr>
        <w:t>5</w:t>
      </w:r>
      <w:r>
        <w:rPr>
          <w:rFonts w:hint="eastAsia" w:hAnsi="宋体"/>
          <w:color w:val="000000" w:themeColor="text1"/>
          <w:szCs w:val="21"/>
          <w14:textFill>
            <w14:solidFill>
              <w14:schemeClr w14:val="tx1"/>
            </w14:solidFill>
          </w14:textFill>
        </w:rPr>
        <w:t>款随马头门逐步破除，需要及时将格栅钢筋与暗柱钢筋焊接牢固。</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10.1.6 </w:t>
      </w:r>
      <w:r>
        <w:rPr>
          <w:rFonts w:hint="eastAsia" w:hAnsi="宋体"/>
          <w:color w:val="000000" w:themeColor="text1"/>
          <w:szCs w:val="21"/>
          <w14:textFill>
            <w14:solidFill>
              <w14:schemeClr w14:val="tx1"/>
            </w14:solidFill>
          </w14:textFill>
        </w:rPr>
        <w:t>一般马头门处进洞的格栅钢架是两榀联置或三榀格栅钢架联置，增加马头门的强度和刚度。</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10.1.7 </w:t>
      </w:r>
      <w:r>
        <w:rPr>
          <w:rFonts w:hint="eastAsia" w:hAnsi="宋体"/>
          <w:color w:val="000000" w:themeColor="text1"/>
          <w:szCs w:val="21"/>
          <w14:textFill>
            <w14:solidFill>
              <w14:schemeClr w14:val="tx1"/>
            </w14:solidFill>
          </w14:textFill>
        </w:rPr>
        <w:t>开马头门时，增加监控量测频率，特别是竖井周边收敛，确保施工安全。</w:t>
      </w:r>
    </w:p>
    <w:p>
      <w:pPr>
        <w:numPr>
          <w:ilvl w:val="1"/>
          <w:numId w:val="0"/>
        </w:numPr>
        <w:tabs>
          <w:tab w:val="left" w:pos="576"/>
        </w:tabs>
        <w:adjustRightInd w:val="0"/>
        <w:snapToGrid w:val="0"/>
        <w:spacing w:before="312" w:beforeLines="100" w:after="312" w:afterLines="100"/>
        <w:ind w:left="578" w:hanging="578"/>
        <w:jc w:val="center"/>
        <w:outlineLvl w:val="1"/>
        <w:rPr>
          <w:rFonts w:hAnsi="宋体"/>
          <w:b/>
          <w:color w:val="000000" w:themeColor="text1"/>
          <w:sz w:val="24"/>
          <w14:textFill>
            <w14:solidFill>
              <w14:schemeClr w14:val="tx1"/>
            </w14:solidFill>
          </w14:textFill>
        </w:rPr>
      </w:pPr>
      <w:bookmarkStart w:id="583" w:name="_Toc29627"/>
      <w:r>
        <w:rPr>
          <w:rFonts w:hint="eastAsia" w:hAnsi="宋体"/>
          <w:b/>
          <w:color w:val="000000" w:themeColor="text1"/>
          <w:sz w:val="24"/>
          <w14:textFill>
            <w14:solidFill>
              <w14:schemeClr w14:val="tx1"/>
            </w14:solidFill>
          </w14:textFill>
        </w:rPr>
        <w:t>10.2  竖井马头门</w:t>
      </w:r>
      <w:bookmarkEnd w:id="583"/>
    </w:p>
    <w:p>
      <w:pPr>
        <w:pStyle w:val="22"/>
        <w:tabs>
          <w:tab w:val="left" w:pos="851"/>
          <w:tab w:val="left" w:pos="5835"/>
        </w:tabs>
        <w:snapToGrid w:val="0"/>
        <w:spacing w:line="360" w:lineRule="auto"/>
        <w:ind w:firstLine="0" w:firstLineChars="0"/>
        <w:jc w:val="left"/>
        <w:rPr>
          <w:rFonts w:hAnsi="宋体" w:cstheme="minorEastAsia"/>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10.2.1 </w:t>
      </w:r>
      <w:r>
        <w:rPr>
          <w:rFonts w:hint="eastAsia" w:hAnsi="宋体" w:cstheme="minorEastAsia"/>
          <w:color w:val="000000" w:themeColor="text1"/>
          <w:szCs w:val="21"/>
          <w14:textFill>
            <w14:solidFill>
              <w14:schemeClr w14:val="tx1"/>
            </w14:solidFill>
          </w14:textFill>
        </w:rPr>
        <w:t>竖井开挖至第一道加强格栅处后进行第一次临时封底，可施作管幕、第一排超前小导管及拱部加强环梁；破除封底后竖井继续下挖，同时分段施作相应部位的加强环梁；在竖井开挖至设计标高后封底，搭建操作平台，逐步破除马头门，按暗挖法和工序施工暗挖区间。</w:t>
      </w:r>
    </w:p>
    <w:p>
      <w:pPr>
        <w:pStyle w:val="22"/>
        <w:tabs>
          <w:tab w:val="left" w:pos="851"/>
          <w:tab w:val="left" w:pos="5835"/>
        </w:tabs>
        <w:snapToGrid w:val="0"/>
        <w:spacing w:line="360" w:lineRule="auto"/>
        <w:ind w:firstLine="0" w:firstLineChars="0"/>
        <w:jc w:val="left"/>
        <w:rPr>
          <w:rFonts w:hAnsi="宋体" w:cstheme="minorEastAsia"/>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10.2.2 </w:t>
      </w:r>
      <w:r>
        <w:rPr>
          <w:rFonts w:hint="eastAsia" w:hAnsi="宋体" w:cstheme="minorEastAsia"/>
          <w:color w:val="000000" w:themeColor="text1"/>
          <w:szCs w:val="21"/>
          <w14:textFill>
            <w14:solidFill>
              <w14:schemeClr w14:val="tx1"/>
            </w14:solidFill>
          </w14:textFill>
        </w:rPr>
        <w:t>施工竖井设置位置。施工竖井设置如果是在区间左右线隧道之间或者是在区间一条线路隧道正上方，那么就需要建设两个或者三个马头门，然后又加上竖井结构以及区间正线隧道结构之间的距离比较近，因此比较容易产生群洞效应，因而其风险要高于把竖井设置在区间隧道外侧。</w:t>
      </w:r>
    </w:p>
    <w:p>
      <w:pPr>
        <w:pStyle w:val="22"/>
        <w:tabs>
          <w:tab w:val="left" w:pos="851"/>
          <w:tab w:val="left" w:pos="5835"/>
        </w:tabs>
        <w:snapToGrid w:val="0"/>
        <w:spacing w:line="360" w:lineRule="auto"/>
        <w:jc w:val="left"/>
        <w:rPr>
          <w:rFonts w:hAnsi="宋体" w:cstheme="minorEastAsia"/>
          <w:color w:val="000000" w:themeColor="text1"/>
          <w:szCs w:val="21"/>
          <w14:textFill>
            <w14:solidFill>
              <w14:schemeClr w14:val="tx1"/>
            </w14:solidFill>
          </w14:textFill>
        </w:rPr>
      </w:pPr>
      <w:r>
        <w:rPr>
          <w:rFonts w:hint="eastAsia" w:hAnsi="宋体" w:cstheme="minorEastAsia"/>
          <w:color w:val="000000" w:themeColor="text1"/>
          <w:szCs w:val="21"/>
          <w14:textFill>
            <w14:solidFill>
              <w14:schemeClr w14:val="tx1"/>
            </w14:solidFill>
          </w14:textFill>
        </w:rPr>
        <w:t>施工横通道开设大断面区间隧道。一般大断面隧道所采用的都是CRD工法，又或者是双侧壁导坑法，因此其施工工序转换以及结构受力转换比较复杂，再加上相邻隧道之间的距离比较近，所产生的群洞效应也就比较显著，所以其风险较高。</w:t>
      </w:r>
    </w:p>
    <w:p>
      <w:pPr>
        <w:pStyle w:val="22"/>
        <w:tabs>
          <w:tab w:val="left" w:pos="851"/>
          <w:tab w:val="left" w:pos="5835"/>
        </w:tabs>
        <w:snapToGrid w:val="0"/>
        <w:spacing w:line="360" w:lineRule="auto"/>
        <w:jc w:val="left"/>
        <w:rPr>
          <w:rFonts w:hAnsi="宋体" w:cstheme="minorEastAsia"/>
          <w:color w:val="000000" w:themeColor="text1"/>
          <w:szCs w:val="21"/>
          <w14:textFill>
            <w14:solidFill>
              <w14:schemeClr w14:val="tx1"/>
            </w14:solidFill>
          </w14:textFill>
        </w:rPr>
      </w:pPr>
      <w:r>
        <w:rPr>
          <w:rFonts w:hint="eastAsia" w:hAnsi="宋体" w:cstheme="minorEastAsia"/>
          <w:color w:val="000000" w:themeColor="text1"/>
          <w:szCs w:val="21"/>
          <w14:textFill>
            <w14:solidFill>
              <w14:schemeClr w14:val="tx1"/>
            </w14:solidFill>
          </w14:textFill>
        </w:rPr>
        <w:t>因此，竖井内存在多个马头门时，马头门开挖顺序直接影响到竖井和隧道结构的安全和稳定，如需调整顺序，应与设计沟通，在保证安全前体下进行设计变更，不允许私自调整破除顺序。</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10.2.3 </w:t>
      </w:r>
      <w:r>
        <w:rPr>
          <w:rFonts w:hint="eastAsia" w:hAnsi="宋体" w:cstheme="minorEastAsia"/>
          <w:color w:val="000000" w:themeColor="text1"/>
          <w:szCs w:val="21"/>
          <w14:textFill>
            <w14:solidFill>
              <w14:schemeClr w14:val="tx1"/>
            </w14:solidFill>
          </w14:textFill>
        </w:rPr>
        <w:t>台阶法施工</w:t>
      </w:r>
      <w:r>
        <w:rPr>
          <w:rFonts w:hint="eastAsia" w:hAnsi="宋体"/>
          <w:color w:val="000000" w:themeColor="text1"/>
          <w:szCs w:val="21"/>
          <w14:textFill>
            <w14:solidFill>
              <w14:schemeClr w14:val="tx1"/>
            </w14:solidFill>
          </w14:textFill>
        </w:rPr>
        <w:t>适用于Ⅲ~Ⅳ级围岩的中小跨度隧道，施工应先开挖上台阶，后开挖下</w:t>
      </w:r>
      <w:r>
        <w:rPr>
          <w:rFonts w:hint="eastAsia" w:hAnsi="宋体" w:cstheme="minorEastAsia"/>
          <w:color w:val="000000" w:themeColor="text1"/>
          <w:szCs w:val="21"/>
          <w14:textFill>
            <w14:solidFill>
              <w14:schemeClr w14:val="tx1"/>
            </w14:solidFill>
          </w14:textFill>
        </w:rPr>
        <w:t>台阶。上台阶正常开挖1.5m以后，再进行下台阶开挖。下部台阶应在拱部初期支护结构变形基本稳定且喷射混凝土达到设计文件规定强度的70%后，方可进行开挖。</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10.2.5 </w:t>
      </w:r>
      <w:r>
        <w:rPr>
          <w:rFonts w:hint="eastAsia" w:hAnsi="宋体"/>
          <w:color w:val="000000" w:themeColor="text1"/>
          <w:szCs w:val="21"/>
          <w14:textFill>
            <w14:solidFill>
              <w14:schemeClr w14:val="tx1"/>
            </w14:solidFill>
          </w14:textFill>
        </w:rPr>
        <w:t>本条主要针对钻孔灌注桩、地下连续墙和SMW桩支护基坑马头门做法提出规定。</w:t>
      </w:r>
    </w:p>
    <w:p>
      <w:pPr>
        <w:pStyle w:val="22"/>
        <w:tabs>
          <w:tab w:val="left" w:pos="851"/>
        </w:tabs>
        <w:snapToGrid w:val="0"/>
        <w:spacing w:line="360" w:lineRule="auto"/>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第</w:t>
      </w:r>
      <w:r>
        <w:rPr>
          <w:rFonts w:hint="eastAsia" w:hAnsi="宋体"/>
          <w:b/>
          <w:bCs/>
          <w:color w:val="000000" w:themeColor="text1"/>
          <w:szCs w:val="21"/>
          <w14:textFill>
            <w14:solidFill>
              <w14:schemeClr w14:val="tx1"/>
            </w14:solidFill>
          </w14:textFill>
        </w:rPr>
        <w:t>1</w:t>
      </w:r>
      <w:r>
        <w:rPr>
          <w:rFonts w:hint="eastAsia" w:hAnsi="宋体"/>
          <w:color w:val="000000" w:themeColor="text1"/>
          <w:szCs w:val="21"/>
          <w14:textFill>
            <w14:solidFill>
              <w14:schemeClr w14:val="tx1"/>
            </w14:solidFill>
          </w14:textFill>
        </w:rPr>
        <w:t>款一般通过通过围护桩间缝隙对隧道马头门开挖影响范围地层进行预支护和注浆加固。</w:t>
      </w:r>
    </w:p>
    <w:p>
      <w:pPr>
        <w:pStyle w:val="22"/>
        <w:tabs>
          <w:tab w:val="left" w:pos="851"/>
        </w:tabs>
        <w:snapToGrid w:val="0"/>
        <w:spacing w:line="360" w:lineRule="auto"/>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第</w:t>
      </w:r>
      <w:r>
        <w:rPr>
          <w:rFonts w:hint="eastAsia" w:hAnsi="宋体"/>
          <w:b/>
          <w:bCs/>
          <w:color w:val="000000" w:themeColor="text1"/>
          <w:szCs w:val="21"/>
          <w14:textFill>
            <w14:solidFill>
              <w14:schemeClr w14:val="tx1"/>
            </w14:solidFill>
          </w14:textFill>
        </w:rPr>
        <w:t>2</w:t>
      </w:r>
      <w:r>
        <w:rPr>
          <w:rFonts w:hint="eastAsia" w:hAnsi="宋体"/>
          <w:color w:val="000000" w:themeColor="text1"/>
          <w:szCs w:val="21"/>
          <w14:textFill>
            <w14:solidFill>
              <w14:schemeClr w14:val="tx1"/>
            </w14:solidFill>
          </w14:textFill>
        </w:rPr>
        <w:t>款对主体结构后面的土体加固，一般通过打斜孔方法进行注浆固化土体。</w:t>
      </w:r>
      <w:r>
        <w:rPr>
          <w:rFonts w:hint="eastAsia" w:hAnsi="宋体" w:cstheme="minorEastAsia"/>
          <w:color w:val="000000" w:themeColor="text1"/>
          <w:szCs w:val="21"/>
          <w14:textFill>
            <w14:solidFill>
              <w14:schemeClr w14:val="tx1"/>
            </w14:solidFill>
          </w14:textFill>
        </w:rPr>
        <w:t>由工作竖井直接进行区间隧道开挖时，有可能在竖井主体结构施工完成后进行隧道马头门的开设；由于主体结构已施工完成，以及需对围护桩进行破除，桩后土体的加固可采用3 m的长导管，在围护桩间以向上15°～20°的角度沿车站结构预留洞口轮廓向桩后打设，注浆对马头门上部土体进行预加固，然后从洞门结构处采用水钻破桩，再斜向上对马头门处隧道采取变断面施工的方法实现进洞，最后反向修复斜向格栅并再次破桩、安装格栅和喷射混凝土，实现马头门处的隧道进洞施工。</w:t>
      </w:r>
    </w:p>
    <w:p>
      <w:pPr>
        <w:pStyle w:val="22"/>
        <w:tabs>
          <w:tab w:val="left" w:pos="851"/>
        </w:tabs>
        <w:snapToGrid w:val="0"/>
        <w:spacing w:line="360" w:lineRule="auto"/>
        <w:jc w:val="left"/>
        <w:rPr>
          <w:rFonts w:hAnsi="宋体" w:cstheme="minorEastAsia"/>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第</w:t>
      </w:r>
      <w:r>
        <w:rPr>
          <w:rFonts w:hint="eastAsia" w:hAnsi="宋体"/>
          <w:b/>
          <w:bCs/>
          <w:color w:val="000000" w:themeColor="text1"/>
          <w:szCs w:val="21"/>
          <w14:textFill>
            <w14:solidFill>
              <w14:schemeClr w14:val="tx1"/>
            </w14:solidFill>
          </w14:textFill>
        </w:rPr>
        <w:t>4</w:t>
      </w:r>
      <w:r>
        <w:rPr>
          <w:rFonts w:hint="eastAsia" w:hAnsi="宋体"/>
          <w:color w:val="000000" w:themeColor="text1"/>
          <w:szCs w:val="21"/>
          <w14:textFill>
            <w14:solidFill>
              <w14:schemeClr w14:val="tx1"/>
            </w14:solidFill>
          </w14:textFill>
        </w:rPr>
        <w:t>款破除钢筋混凝土时，支护结构主筋应在顶部、侧面和顶部预留一定的长度，以便于马头门与支护结构连接，形成整体。</w:t>
      </w:r>
    </w:p>
    <w:p>
      <w:pPr>
        <w:numPr>
          <w:ilvl w:val="1"/>
          <w:numId w:val="0"/>
        </w:numPr>
        <w:tabs>
          <w:tab w:val="left" w:pos="576"/>
        </w:tabs>
        <w:adjustRightInd w:val="0"/>
        <w:snapToGrid w:val="0"/>
        <w:spacing w:before="312" w:beforeLines="100" w:after="312" w:afterLines="100"/>
        <w:ind w:left="578" w:hanging="578"/>
        <w:jc w:val="center"/>
        <w:outlineLvl w:val="1"/>
        <w:rPr>
          <w:rFonts w:hAnsi="宋体"/>
          <w:b/>
          <w:color w:val="000000" w:themeColor="text1"/>
          <w:sz w:val="24"/>
          <w14:textFill>
            <w14:solidFill>
              <w14:schemeClr w14:val="tx1"/>
            </w14:solidFill>
          </w14:textFill>
        </w:rPr>
      </w:pPr>
      <w:bookmarkStart w:id="584" w:name="_Toc5218"/>
      <w:r>
        <w:rPr>
          <w:rFonts w:hint="eastAsia" w:hAnsi="宋体"/>
          <w:b/>
          <w:color w:val="000000" w:themeColor="text1"/>
          <w:sz w:val="24"/>
          <w14:textFill>
            <w14:solidFill>
              <w14:schemeClr w14:val="tx1"/>
            </w14:solidFill>
          </w14:textFill>
        </w:rPr>
        <w:t>10.4  盾构联络通道马头门</w:t>
      </w:r>
      <w:bookmarkEnd w:id="584"/>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10.4.1 </w:t>
      </w:r>
      <w:r>
        <w:rPr>
          <w:rFonts w:hint="eastAsia" w:hAnsi="宋体"/>
          <w:color w:val="000000" w:themeColor="text1"/>
          <w:szCs w:val="21"/>
          <w14:textFill>
            <w14:solidFill>
              <w14:schemeClr w14:val="tx1"/>
            </w14:solidFill>
          </w14:textFill>
        </w:rPr>
        <w:t>联络通道一般设置在两条隧道中间的通道，主要起到联通、排水和防火作用。按照现行国家标准《城市轨道交通技术规范》GB 50490的规定，两条单线区间隧道之间应设置联络通道，相邻两个联络通道之间的距离不应大于600m。通常采用暗挖法、顶管法施工。联络通道马头门破除前，需要按照设计要求对隧道拱顶及侧壁土体进行注浆加固。洞内加固主要通过沿通道纵向钻孔埋设注浆管或冷冻管的方式加固、冻结地层，其中大管棚加固一般用于富水砂卵石等稳定性较差的地层。地面加固主要适用于埋深较浅、且土质为淤泥质土、杂填土、粉土、砂土等富水、松散地层；冻结法主要适用于流砂、淤泥层等易坍塌且富水的地层加固。</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10.4.2 </w:t>
      </w:r>
      <w:r>
        <w:rPr>
          <w:rFonts w:hint="eastAsia" w:hAnsi="宋体"/>
          <w:color w:val="000000" w:themeColor="text1"/>
          <w:szCs w:val="21"/>
          <w14:textFill>
            <w14:solidFill>
              <w14:schemeClr w14:val="tx1"/>
            </w14:solidFill>
          </w14:textFill>
        </w:rPr>
        <w:t>大管棚一般采用管棚机打入，选用φ108mm</w:t>
      </w:r>
      <w:r>
        <w:rPr>
          <w:rFonts w:hAnsi="宋体"/>
          <w:color w:val="000000" w:themeColor="text1"/>
          <w:szCs w:val="21"/>
          <w14:textFill>
            <w14:solidFill>
              <w14:schemeClr w14:val="tx1"/>
            </w14:solidFill>
          </w14:textFill>
        </w:rPr>
        <w:t>×</w:t>
      </w:r>
      <w:r>
        <w:rPr>
          <w:rFonts w:hint="eastAsia" w:hAnsi="宋体"/>
          <w:color w:val="000000" w:themeColor="text1"/>
          <w:szCs w:val="21"/>
          <w14:textFill>
            <w14:solidFill>
              <w14:schemeClr w14:val="tx1"/>
            </w14:solidFill>
          </w14:textFill>
        </w:rPr>
        <w:t>5mm的无缝钢管。</w:t>
      </w:r>
    </w:p>
    <w:p>
      <w:pPr>
        <w:pStyle w:val="22"/>
        <w:tabs>
          <w:tab w:val="left" w:pos="851"/>
        </w:tabs>
        <w:snapToGrid w:val="0"/>
        <w:spacing w:line="360" w:lineRule="auto"/>
        <w:ind w:firstLine="0" w:firstLineChars="0"/>
        <w:jc w:val="left"/>
        <w:rPr>
          <w:rFonts w:hAnsi="宋体" w:cstheme="minorEastAsia"/>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10.4.3 </w:t>
      </w:r>
      <w:r>
        <w:rPr>
          <w:rFonts w:hint="eastAsia" w:hAnsi="宋体" w:cstheme="minorEastAsia"/>
          <w:color w:val="000000" w:themeColor="text1"/>
          <w:szCs w:val="21"/>
          <w14:textFill>
            <w14:solidFill>
              <w14:schemeClr w14:val="tx1"/>
            </w14:solidFill>
          </w14:textFill>
        </w:rPr>
        <w:t>设置管片临时支撑，盾构区间联络通道开挖前对开挖区域管片一般采用型钢支架区可采用等方式完成受力体系转换。</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10.4.4 </w:t>
      </w:r>
      <w:r>
        <w:rPr>
          <w:rFonts w:hint="eastAsia" w:hAnsi="宋体" w:cstheme="minorEastAsia"/>
          <w:color w:val="000000" w:themeColor="text1"/>
          <w:szCs w:val="21"/>
          <w14:textFill>
            <w14:solidFill>
              <w14:schemeClr w14:val="tx1"/>
            </w14:solidFill>
          </w14:textFill>
        </w:rPr>
        <w:t>预应力型钢支架是在支点设置螺旋千斤顶，以提供预应力。在冻结过程中，隧道受冻土力作用，会发生横向变形，影响椭圆度，因此，管片临时支撑采用预应力支架。</w:t>
      </w:r>
    </w:p>
    <w:p>
      <w:pPr>
        <w:pStyle w:val="22"/>
        <w:tabs>
          <w:tab w:val="left" w:pos="851"/>
        </w:tabs>
        <w:snapToGrid w:val="0"/>
        <w:spacing w:line="360" w:lineRule="auto"/>
        <w:ind w:firstLine="0" w:firstLineChars="0"/>
        <w:jc w:val="left"/>
        <w:rPr>
          <w:rFonts w:hAnsi="宋体" w:cstheme="minorEastAsia"/>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10.4.5 </w:t>
      </w:r>
      <w:r>
        <w:rPr>
          <w:rFonts w:hint="eastAsia" w:hAnsi="宋体" w:cstheme="minorEastAsia"/>
          <w:color w:val="000000" w:themeColor="text1"/>
          <w:szCs w:val="21"/>
          <w14:textFill>
            <w14:solidFill>
              <w14:schemeClr w14:val="tx1"/>
            </w14:solidFill>
          </w14:textFill>
        </w:rPr>
        <w:t>工作平台一般与管片支撑钢架结合起来。施工现场的应急物资主要有：应急砂包、水泥、木板、木楔等材料。</w:t>
      </w:r>
      <w:r>
        <w:rPr>
          <w:rFonts w:hint="eastAsia" w:hAnsi="宋体"/>
          <w:color w:val="000000" w:themeColor="text1"/>
          <w:szCs w:val="21"/>
          <w14:textFill>
            <w14:solidFill>
              <w14:schemeClr w14:val="tx1"/>
            </w14:solidFill>
          </w14:textFill>
        </w:rPr>
        <w:t>盾构隧道内联络通道处搭设工作平台是为了便于施工。一般在靠近通道侧搭设工作平台和坡道，便于材料运输；另一侧宜搭设材料设备平台，存放应急物资。</w:t>
      </w:r>
    </w:p>
    <w:p>
      <w:pPr>
        <w:pStyle w:val="22"/>
        <w:tabs>
          <w:tab w:val="left" w:pos="851"/>
        </w:tabs>
        <w:snapToGrid w:val="0"/>
        <w:spacing w:line="360" w:lineRule="auto"/>
        <w:ind w:firstLine="0" w:firstLineChars="0"/>
        <w:jc w:val="left"/>
        <w:rPr>
          <w:rFonts w:hAnsi="宋体" w:cstheme="minorEastAsia"/>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10.4.6 </w:t>
      </w:r>
      <w:r>
        <w:rPr>
          <w:rFonts w:hint="eastAsia" w:hAnsi="宋体" w:cstheme="minorEastAsia"/>
          <w:color w:val="000000" w:themeColor="text1"/>
          <w:szCs w:val="21"/>
          <w14:textFill>
            <w14:solidFill>
              <w14:schemeClr w14:val="tx1"/>
            </w14:solidFill>
          </w14:textFill>
        </w:rPr>
        <w:t>二次注浆的范围是根据设计要求和地质条件确定，一般为加强环及前后2</w:t>
      </w:r>
      <w:r>
        <w:rPr>
          <w:rFonts w:hAnsi="宋体" w:cstheme="minorEastAsia"/>
          <w:color w:val="000000" w:themeColor="text1"/>
          <w:szCs w:val="21"/>
          <w14:textFill>
            <w14:solidFill>
              <w14:schemeClr w14:val="tx1"/>
            </w14:solidFill>
          </w14:textFill>
        </w:rPr>
        <w:t>~</w:t>
      </w:r>
      <w:r>
        <w:rPr>
          <w:rFonts w:hint="eastAsia" w:hAnsi="宋体" w:cstheme="minorEastAsia"/>
          <w:color w:val="000000" w:themeColor="text1"/>
          <w:szCs w:val="21"/>
          <w14:textFill>
            <w14:solidFill>
              <w14:schemeClr w14:val="tx1"/>
            </w14:solidFill>
          </w14:textFill>
        </w:rPr>
        <w:t>5环。通过二次注浆可以充分填充管片壁后空隙和止水，使联络通道与隧道连接区域土体形成整体，双液浆具有止水效果，压注双液浆，不仅加固地层，避免土方坍塌，还能有效防止涌水。</w:t>
      </w:r>
    </w:p>
    <w:p>
      <w:pPr>
        <w:pStyle w:val="22"/>
        <w:tabs>
          <w:tab w:val="left" w:pos="851"/>
        </w:tabs>
        <w:snapToGrid w:val="0"/>
        <w:spacing w:line="360" w:lineRule="auto"/>
        <w:ind w:firstLine="0" w:firstLineChars="0"/>
        <w:jc w:val="left"/>
        <w:rPr>
          <w:rFonts w:hAnsi="宋体" w:cstheme="minorEastAsia"/>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10.4.7 </w:t>
      </w:r>
      <w:r>
        <w:rPr>
          <w:rFonts w:hint="eastAsia" w:hAnsi="宋体" w:cstheme="minorEastAsia"/>
          <w:color w:val="000000" w:themeColor="text1"/>
          <w:szCs w:val="21"/>
          <w14:textFill>
            <w14:solidFill>
              <w14:schemeClr w14:val="tx1"/>
            </w14:solidFill>
          </w14:textFill>
        </w:rPr>
        <w:t>盾构区间联络通道部位的管片，为方便施工，设计通常会采用定制钢管片。</w:t>
      </w:r>
      <w:r>
        <w:rPr>
          <w:rFonts w:hint="eastAsia" w:hAnsi="宋体"/>
          <w:color w:val="000000" w:themeColor="text1"/>
          <w:szCs w:val="21"/>
          <w14:textFill>
            <w14:solidFill>
              <w14:schemeClr w14:val="tx1"/>
            </w14:solidFill>
          </w14:textFill>
        </w:rPr>
        <w:t>马头门处混凝土管片破除按洞门轮廓线切割，钢管片一般采用千斤顶、手拉葫芦，通过顶推横梁向外推拉钢管片的方式拆除。</w:t>
      </w:r>
    </w:p>
    <w:p>
      <w:pPr>
        <w:pStyle w:val="22"/>
        <w:tabs>
          <w:tab w:val="left" w:pos="851"/>
        </w:tabs>
        <w:snapToGrid w:val="0"/>
        <w:spacing w:line="360" w:lineRule="auto"/>
        <w:ind w:firstLine="0" w:firstLineChars="0"/>
        <w:jc w:val="left"/>
        <w:rPr>
          <w:rFonts w:hAnsi="宋体" w:cstheme="minorEastAsia"/>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10.4.10 </w:t>
      </w:r>
      <w:r>
        <w:rPr>
          <w:rFonts w:hint="eastAsia" w:hAnsi="宋体" w:cstheme="minorEastAsia"/>
          <w:color w:val="000000" w:themeColor="text1"/>
          <w:szCs w:val="21"/>
          <w14:textFill>
            <w14:solidFill>
              <w14:schemeClr w14:val="tx1"/>
            </w14:solidFill>
          </w14:textFill>
        </w:rPr>
        <w:t>在盾构隧道联络通道施工中，存在开口尺寸较小的情况，开口后，联络通道初期支护需要外扩、抬高施工，导致马头门施工时，小导管注浆加固土体存在盲区，需要采用反扩施工工艺，通过两次开挖，达到扩大洞口范围断面的效果。</w:t>
      </w:r>
    </w:p>
    <w:p>
      <w:pPr>
        <w:adjustRightInd w:val="0"/>
        <w:snapToGrid w:val="0"/>
        <w:spacing w:before="312" w:beforeLines="100" w:after="312" w:afterLines="100"/>
        <w:outlineLvl w:val="1"/>
        <w:rPr>
          <w:rFonts w:hAnsi="宋体"/>
          <w:color w:val="000000" w:themeColor="text1"/>
          <w:szCs w:val="21"/>
          <w14:textFill>
            <w14:solidFill>
              <w14:schemeClr w14:val="tx1"/>
            </w14:solidFill>
          </w14:textFill>
        </w:rPr>
        <w:sectPr>
          <w:pgSz w:w="11906" w:h="16838"/>
          <w:pgMar w:top="1440" w:right="1800" w:bottom="1440" w:left="1800" w:header="851" w:footer="992" w:gutter="0"/>
          <w:cols w:space="425" w:num="1"/>
          <w:docGrid w:type="lines" w:linePitch="312" w:charSpace="0"/>
        </w:sectPr>
      </w:pPr>
    </w:p>
    <w:p>
      <w:pPr>
        <w:tabs>
          <w:tab w:val="left" w:pos="360"/>
        </w:tabs>
        <w:adjustRightInd w:val="0"/>
        <w:snapToGrid w:val="0"/>
        <w:spacing w:before="312" w:beforeLines="100" w:after="312" w:afterLines="100" w:line="360" w:lineRule="auto"/>
        <w:ind w:left="4825" w:hanging="4825"/>
        <w:jc w:val="center"/>
        <w:outlineLvl w:val="0"/>
        <w:rPr>
          <w:b/>
          <w:color w:val="000000" w:themeColor="text1"/>
          <w:sz w:val="28"/>
          <w:szCs w:val="28"/>
          <w14:textFill>
            <w14:solidFill>
              <w14:schemeClr w14:val="tx1"/>
            </w14:solidFill>
          </w14:textFill>
        </w:rPr>
      </w:pPr>
    </w:p>
    <w:p>
      <w:pPr>
        <w:tabs>
          <w:tab w:val="left" w:pos="360"/>
        </w:tabs>
        <w:adjustRightInd w:val="0"/>
        <w:snapToGrid w:val="0"/>
        <w:spacing w:before="312" w:beforeLines="100" w:after="312" w:afterLines="100" w:line="360" w:lineRule="auto"/>
        <w:ind w:left="4825" w:hanging="4825"/>
        <w:jc w:val="center"/>
        <w:outlineLvl w:val="0"/>
        <w:rPr>
          <w:b/>
          <w:color w:val="000000" w:themeColor="text1"/>
          <w:sz w:val="28"/>
          <w:szCs w:val="28"/>
          <w14:textFill>
            <w14:solidFill>
              <w14:schemeClr w14:val="tx1"/>
            </w14:solidFill>
          </w14:textFill>
        </w:rPr>
      </w:pPr>
      <w:bookmarkStart w:id="585" w:name="_Toc2235"/>
      <w:r>
        <w:rPr>
          <w:rFonts w:hint="eastAsia"/>
          <w:b/>
          <w:color w:val="000000" w:themeColor="text1"/>
          <w:sz w:val="28"/>
          <w:szCs w:val="28"/>
          <w14:textFill>
            <w14:solidFill>
              <w14:schemeClr w14:val="tx1"/>
            </w14:solidFill>
          </w14:textFill>
        </w:rPr>
        <w:t>11  隧道土方开挖</w:t>
      </w:r>
      <w:bookmarkEnd w:id="585"/>
    </w:p>
    <w:p>
      <w:pPr>
        <w:numPr>
          <w:ilvl w:val="1"/>
          <w:numId w:val="0"/>
        </w:numPr>
        <w:tabs>
          <w:tab w:val="left" w:pos="576"/>
        </w:tabs>
        <w:adjustRightInd w:val="0"/>
        <w:snapToGrid w:val="0"/>
        <w:spacing w:before="312" w:beforeLines="100" w:after="312" w:afterLines="100"/>
        <w:ind w:left="578" w:hanging="578"/>
        <w:jc w:val="center"/>
        <w:outlineLvl w:val="1"/>
        <w:rPr>
          <w:rFonts w:hAnsi="宋体"/>
          <w:b/>
          <w:color w:val="000000" w:themeColor="text1"/>
          <w:sz w:val="24"/>
          <w14:textFill>
            <w14:solidFill>
              <w14:schemeClr w14:val="tx1"/>
            </w14:solidFill>
          </w14:textFill>
        </w:rPr>
      </w:pPr>
      <w:bookmarkStart w:id="586" w:name="_Toc16371"/>
      <w:r>
        <w:rPr>
          <w:rFonts w:hint="eastAsia" w:hAnsi="宋体"/>
          <w:b/>
          <w:color w:val="000000" w:themeColor="text1"/>
          <w:sz w:val="24"/>
          <w14:textFill>
            <w14:solidFill>
              <w14:schemeClr w14:val="tx1"/>
            </w14:solidFill>
          </w14:textFill>
        </w:rPr>
        <w:t>11.1  一般规定</w:t>
      </w:r>
      <w:bookmarkEnd w:id="586"/>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11.1.2</w:t>
      </w:r>
      <w:r>
        <w:rPr>
          <w:rFonts w:hint="eastAsia" w:hAnsi="宋体"/>
          <w:color w:val="000000" w:themeColor="text1"/>
          <w:szCs w:val="21"/>
          <w14:textFill>
            <w14:solidFill>
              <w14:schemeClr w14:val="tx1"/>
            </w14:solidFill>
          </w14:textFill>
        </w:rPr>
        <w:t>隧道开挖方法需要根据隧道长度、断面大小、结构形式、工期要求、机械设备、地质条件等因素，由设计单位确定开挖方法。</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11.1.3 </w:t>
      </w:r>
      <w:r>
        <w:rPr>
          <w:rFonts w:hint="eastAsia" w:hAnsi="宋体"/>
          <w:color w:val="000000" w:themeColor="text1"/>
          <w:szCs w:val="21"/>
          <w14:textFill>
            <w14:solidFill>
              <w14:schemeClr w14:val="tx1"/>
            </w14:solidFill>
          </w14:textFill>
        </w:rPr>
        <w:t>隧道土方开挖需要在无水的条件下进行，地下水将地层细颗粒带出，会造成地层疏松，导致土层变形增大，地面出现沉降、坍塌。</w:t>
      </w:r>
    </w:p>
    <w:p>
      <w:pPr>
        <w:spacing w:line="360" w:lineRule="auto"/>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11.1.4 </w:t>
      </w:r>
      <w:r>
        <w:rPr>
          <w:rFonts w:hint="eastAsia" w:hAnsi="宋体"/>
          <w:color w:val="000000" w:themeColor="text1"/>
          <w:szCs w:val="21"/>
          <w14:textFill>
            <w14:solidFill>
              <w14:schemeClr w14:val="tx1"/>
            </w14:solidFill>
          </w14:textFill>
        </w:rPr>
        <w:t>全断面开挖即沿隧道结构外轮廓线（应超挖20mm~50mm）全断面一次开挖；挖掘长度为一个拱架间距（0.5m~0.75m）。工作面土方取下后，及时用小推车运至洞口，使用竖井提升系统至地面堆放。</w:t>
      </w:r>
      <w:r>
        <w:rPr>
          <w:rFonts w:hint="eastAsia"/>
          <w:color w:val="000000" w:themeColor="text1"/>
          <w14:textFill>
            <w14:solidFill>
              <w14:schemeClr w14:val="tx1"/>
            </w14:solidFill>
          </w14:textFill>
        </w:rPr>
        <w:t>台阶法适用于土质条件较差。即根据拱架高度和土质情况，将开挖断面分成上下两部分，台阶的长度宜控制在1部洞径以内，高度一般控制在1.5m以内，以利于施工操作。掘进时先挖上台阶土方，并留核心土，安装拱架，喷射混凝土，待混凝土封闭后，方可开挖下台阶土方。下台阶开挖完成后，立即安装格栅钢架的立腿和底梁，喷射混凝土进行封闭，以保证施工安全。</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11.1.5 </w:t>
      </w:r>
      <w:r>
        <w:rPr>
          <w:rFonts w:hint="eastAsia"/>
          <w:color w:val="000000" w:themeColor="text1"/>
          <w:szCs w:val="21"/>
          <w14:textFill>
            <w14:solidFill>
              <w14:schemeClr w14:val="tx1"/>
            </w14:solidFill>
          </w14:textFill>
        </w:rPr>
        <w:t>采用</w:t>
      </w:r>
      <w:r>
        <w:rPr>
          <w:rFonts w:hint="eastAsia" w:hAnsi="宋体"/>
          <w:color w:val="000000" w:themeColor="text1"/>
          <w:szCs w:val="21"/>
          <w14:textFill>
            <w14:solidFill>
              <w14:schemeClr w14:val="tx1"/>
            </w14:solidFill>
          </w14:textFill>
        </w:rPr>
        <w:t>激光准直仪主要是为了准确控制开挖断面尺寸，方便施工，提高施工进度。</w:t>
      </w:r>
    </w:p>
    <w:p>
      <w:pPr>
        <w:pStyle w:val="22"/>
        <w:tabs>
          <w:tab w:val="left" w:pos="851"/>
        </w:tabs>
        <w:snapToGrid w:val="0"/>
        <w:spacing w:line="360" w:lineRule="auto"/>
        <w:ind w:firstLine="0" w:firstLineChars="0"/>
        <w:jc w:val="left"/>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11.1.7 </w:t>
      </w:r>
      <w:r>
        <w:rPr>
          <w:rFonts w:hint="eastAsia"/>
          <w:color w:val="000000" w:themeColor="text1"/>
          <w14:textFill>
            <w14:solidFill>
              <w14:schemeClr w14:val="tx1"/>
            </w14:solidFill>
          </w14:textFill>
        </w:rPr>
        <w:t>在稳定性较差的地层，工作面开挖后，应及时喷射混凝土封闭。</w:t>
      </w:r>
    </w:p>
    <w:p>
      <w:pPr>
        <w:spacing w:line="360" w:lineRule="auto"/>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11.1.8</w:t>
      </w:r>
      <w:r>
        <w:rPr>
          <w:rFonts w:hint="eastAsia"/>
          <w:color w:val="000000" w:themeColor="text1"/>
          <w14:textFill>
            <w14:solidFill>
              <w14:schemeClr w14:val="tx1"/>
            </w14:solidFill>
          </w14:textFill>
        </w:rPr>
        <w:t xml:space="preserve"> </w:t>
      </w:r>
      <w:r>
        <w:rPr>
          <w:rFonts w:hint="eastAsia" w:hAnsi="宋体"/>
          <w:color w:val="000000" w:themeColor="text1"/>
          <w:szCs w:val="21"/>
          <w14:textFill>
            <w14:solidFill>
              <w14:schemeClr w14:val="tx1"/>
            </w14:solidFill>
          </w14:textFill>
        </w:rPr>
        <w:t>同一隧道相对开挖，一般当两工作面相距5m</w:t>
      </w:r>
      <w:r>
        <w:rPr>
          <w:rFonts w:hint="eastAsia" w:ascii="宋体" w:hAnsi="宋体" w:cs="宋体"/>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10m</w:t>
      </w:r>
      <w:r>
        <w:rPr>
          <w:rFonts w:hint="eastAsia" w:hAnsi="宋体"/>
          <w:color w:val="000000" w:themeColor="text1"/>
          <w:szCs w:val="21"/>
          <w14:textFill>
            <w14:solidFill>
              <w14:schemeClr w14:val="tx1"/>
            </w14:solidFill>
          </w14:textFill>
        </w:rPr>
        <w:t>时应停挖一端，另一端继续开挖，并作好测量工作，及时纠偏。防止隧道轴线出现偏差。</w:t>
      </w:r>
    </w:p>
    <w:p>
      <w:pPr>
        <w:spacing w:line="360" w:lineRule="auto"/>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11.1.9 </w:t>
      </w:r>
      <w:r>
        <w:rPr>
          <w:rFonts w:hint="eastAsia" w:hAnsi="宋体"/>
          <w:color w:val="000000" w:themeColor="text1"/>
          <w:szCs w:val="21"/>
          <w14:textFill>
            <w14:solidFill>
              <w14:schemeClr w14:val="tx1"/>
            </w14:solidFill>
          </w14:textFill>
        </w:rPr>
        <w:t>两个单孔隧道并列齐头开挖，容易造成造成工作面扰动，造成地面出现大的沉降，控制开挖面间距，主要减少工作面开挖在空间上的相互影响，减少沉降和变形，保证施工安全。</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11.1.12 </w:t>
      </w:r>
      <w:r>
        <w:rPr>
          <w:rFonts w:hint="eastAsia" w:hAnsi="宋体"/>
          <w:color w:val="000000" w:themeColor="text1"/>
          <w:szCs w:val="21"/>
          <w14:textFill>
            <w14:solidFill>
              <w14:schemeClr w14:val="tx1"/>
            </w14:solidFill>
          </w14:textFill>
        </w:rPr>
        <w:t>当施工现场条件受限，需自较小断面向较大断面方向开挖时，应设置断面尺寸渐变过渡区，并一般根据地下水、土质、周边环境复杂程度等因素，确定合理的相邻格栅外扩尺寸。扩挖断面风险大，尤其在不良工程地质和水文地质条件下，容易出现坍塌，因此，开挖前必须对土体进行预加固。</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11.1.14 </w:t>
      </w:r>
      <w:r>
        <w:rPr>
          <w:rFonts w:hint="eastAsia" w:hAnsi="宋体"/>
          <w:color w:val="000000" w:themeColor="text1"/>
          <w:szCs w:val="21"/>
          <w14:textFill>
            <w14:solidFill>
              <w14:schemeClr w14:val="tx1"/>
            </w14:solidFill>
          </w14:textFill>
        </w:rPr>
        <w:t>考虑砂卵石集中、细颗粒含量少特点，所以在具体施工中，施工时必须遵守“开挖一段、支护一段、封闭一段”的原则。 并注意以下几个问题：（1）在砂卵石集中地层中超前小导管成孔难度大，施工速度慢，同时对地层扰动较大，施工中要避免发生塌方现象。（2）由于导管打入深度达不到设计要求，超前注浆浆液扩散呈脉状，窜浆严重，固结效果差，开挖造成塌方处较多，避免造成核心土流失。（3）核心土周围的土体卵石集中、垮塌严重，无法对掌子面形成反向推力，稳定开挖面。</w:t>
      </w:r>
    </w:p>
    <w:p>
      <w:pPr>
        <w:pStyle w:val="22"/>
        <w:tabs>
          <w:tab w:val="left" w:pos="851"/>
        </w:tabs>
        <w:snapToGrid w:val="0"/>
        <w:spacing w:line="360" w:lineRule="auto"/>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根据北京地铁 9 号线西南段、 6 号线一期西段、 10 号线二期西段砂卵石地层施工经验及总结，在类似的砂卵石地层中施工，应以不扰动地层、坚持“短挖短支”为施工原则，尽量缩短各工序施工时间，及时封闭成环。 特别是对于出现在开挖面拱部、腰部的粉细砂层，经过现场施工总结发现，利用风镐、风钻或风镐加高压风成孔过程对周边的砂层或卵石扰动非常大，增加了开挖面施工塌方风险；另外，超前注浆采用水泥浆浆液凝结时间较长，“短挖短支”施工过程中经常发现土体中浆液未初凝。</w:t>
      </w:r>
    </w:p>
    <w:p>
      <w:pPr>
        <w:pStyle w:val="22"/>
        <w:tabs>
          <w:tab w:val="left" w:pos="851"/>
        </w:tabs>
        <w:snapToGrid w:val="0"/>
        <w:spacing w:line="360" w:lineRule="auto"/>
        <w:jc w:val="left"/>
        <w:rPr>
          <w:color w:val="000000" w:themeColor="text1"/>
          <w14:textFill>
            <w14:solidFill>
              <w14:schemeClr w14:val="tx1"/>
            </w14:solidFill>
          </w14:textFill>
        </w:rPr>
      </w:pPr>
      <w:r>
        <w:rPr>
          <w:rFonts w:hint="eastAsia" w:hAnsi="宋体"/>
          <w:color w:val="000000" w:themeColor="text1"/>
          <w:szCs w:val="21"/>
          <w14:textFill>
            <w14:solidFill>
              <w14:schemeClr w14:val="tx1"/>
            </w14:solidFill>
          </w14:textFill>
        </w:rPr>
        <w:t xml:space="preserve">第1款 </w:t>
      </w:r>
      <w:r>
        <w:rPr>
          <w:rFonts w:hint="eastAsia"/>
          <w:color w:val="000000" w:themeColor="text1"/>
          <w14:textFill>
            <w14:solidFill>
              <w14:schemeClr w14:val="tx1"/>
            </w14:solidFill>
          </w14:textFill>
        </w:rPr>
        <w:t xml:space="preserve">在打设小导管前，宜先喷射5cm厚混凝土层，主要为了稳定工作面，避免小导管打设时振动坍塌。喷射混凝土封闭工作面，包括对宜坍塌核心土进行挂钢筋网、喷射混凝土进行封闭。 </w:t>
      </w:r>
    </w:p>
    <w:p>
      <w:pPr>
        <w:pStyle w:val="22"/>
        <w:tabs>
          <w:tab w:val="left" w:pos="851"/>
        </w:tabs>
        <w:snapToGrid w:val="0"/>
        <w:spacing w:line="360" w:lineRule="auto"/>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第2款改性水玻璃、水玻璃浆液和水泥—水玻璃双液浆等均为早凝固型浆液，可以快速凝固胶结地层。</w:t>
      </w:r>
      <w:r>
        <w:rPr>
          <w:rFonts w:hint="eastAsia" w:hAnsi="宋体"/>
          <w:color w:val="000000" w:themeColor="text1"/>
          <w:szCs w:val="21"/>
          <w14:textFill>
            <w14:solidFill>
              <w14:schemeClr w14:val="tx1"/>
            </w14:solidFill>
          </w14:textFill>
        </w:rPr>
        <w:t>因砂卵石地层浆液易于渗透， 且有遇水易塌方特点， 在小导管注浆浆液选择时尽量选择早凝固型浆液，以凝固胶结地层，促拱早形成。</w:t>
      </w:r>
    </w:p>
    <w:p>
      <w:pPr>
        <w:pStyle w:val="22"/>
        <w:tabs>
          <w:tab w:val="left" w:pos="851"/>
        </w:tabs>
        <w:snapToGrid w:val="0"/>
        <w:spacing w:line="360" w:lineRule="auto"/>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第3款</w:t>
      </w:r>
      <w:r>
        <w:rPr>
          <w:rFonts w:hint="eastAsia" w:hAnsi="宋体"/>
          <w:color w:val="000000" w:themeColor="text1"/>
          <w:szCs w:val="21"/>
          <w14:textFill>
            <w14:solidFill>
              <w14:schemeClr w14:val="tx1"/>
            </w14:solidFill>
          </w14:textFill>
        </w:rPr>
        <w:t>在打设小导管和开挖时尽量少扰动地层，防止卵石滑塌。</w:t>
      </w:r>
      <w:r>
        <w:rPr>
          <w:rFonts w:hint="eastAsia"/>
          <w:color w:val="000000" w:themeColor="text1"/>
          <w14:textFill>
            <w14:solidFill>
              <w14:schemeClr w14:val="tx1"/>
            </w14:solidFill>
          </w14:textFill>
        </w:rPr>
        <w:t>缩短小导管长度和直径，增加套管，均是为了减少对地层的扰动。</w:t>
      </w:r>
    </w:p>
    <w:p>
      <w:pPr>
        <w:pStyle w:val="22"/>
        <w:tabs>
          <w:tab w:val="left" w:pos="851"/>
        </w:tabs>
        <w:snapToGrid w:val="0"/>
        <w:spacing w:line="360" w:lineRule="auto"/>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第5款暗挖初期支护开挖过程中， 在拱脚部位打入两根锚管，可以有效地减少初期支护拱顶下沉，从而减小地表沉降量。锁脚锚管宜用锚管钻机钻孔。为提高锚固效果，压注的水泥浆水灰比宜为 0.5～1，注浆压力应为0.15 MPa。</w:t>
      </w:r>
    </w:p>
    <w:p>
      <w:pPr>
        <w:pStyle w:val="22"/>
        <w:tabs>
          <w:tab w:val="left" w:pos="851"/>
        </w:tabs>
        <w:snapToGrid w:val="0"/>
        <w:spacing w:line="360" w:lineRule="auto"/>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第6款下台阶宜采用边墙单侧交错方式开挖，先按倒圆台形式开挖中间核心土，随后开挖一侧边墙，开挖步距0.5 m，即一种格栅间距 ；挖至设计轮廓后，及时安装格栅钢架、喷混凝土；该侧边墙支护完毕后再进行另一侧边墙开挖及支护。两边墙均支护完毕后，开挖底板土方，安装仰拱格栅，喷射仰拱混凝土，封闭成环，之后再进行下一循环施工。</w:t>
      </w:r>
    </w:p>
    <w:p>
      <w:pPr>
        <w:pStyle w:val="22"/>
        <w:tabs>
          <w:tab w:val="left" w:pos="851"/>
          <w:tab w:val="left" w:pos="5835"/>
        </w:tabs>
        <w:snapToGrid w:val="0"/>
        <w:spacing w:line="360" w:lineRule="auto"/>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第7款开挖中，漂石暴露后及时支顶牢固。漂石未位于格栅安装位置，宜先进行初支施工，调整漂石部位钢筋网片及纵向连接筋位置，喷射混凝土进行封闭处理。漂石位于格栅安装位置时，应按设计要求临时调整格栅钢架和连接筋，漂石下方应设方木或钢管临时支撑，喷射混凝土进行封闭处理，通过后对漂石进行破碎处理，按设计恢复格栅钢架。</w:t>
      </w:r>
    </w:p>
    <w:p>
      <w:pPr>
        <w:spacing w:line="360" w:lineRule="auto"/>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11.1.15 </w:t>
      </w:r>
      <w:r>
        <w:rPr>
          <w:rFonts w:hint="eastAsia" w:hAnsi="宋体"/>
          <w:color w:val="000000" w:themeColor="text1"/>
          <w:szCs w:val="21"/>
          <w14:textFill>
            <w14:solidFill>
              <w14:schemeClr w14:val="tx1"/>
            </w14:solidFill>
          </w14:textFill>
        </w:rPr>
        <w:t>地质超前预报主要探知前方土质及土层含水情况，而且地层滞水也可通过探孔排出；管线探测主要进一步确定地下管线的位置，以便于提前采取防护措施。地质超前预报包括地质雷达探测、人工探测等方法。人工探测主要用洛阳铲在上台阶掌子面中部，向前掏挖5m深的探测洞，了解土层和地下水情况，根据探知的土层变化情况，提前做好相应的施工准备工作，避免出现坍塌、涌水等安全问题。</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11.1.16 </w:t>
      </w:r>
      <w:r>
        <w:rPr>
          <w:rFonts w:hint="eastAsia" w:hAnsi="宋体"/>
          <w:color w:val="000000" w:themeColor="text1"/>
          <w:szCs w:val="21"/>
          <w14:textFill>
            <w14:solidFill>
              <w14:schemeClr w14:val="tx1"/>
            </w14:solidFill>
          </w14:textFill>
        </w:rPr>
        <w:t>隧道开挖过程中，施工人员应观察隧道侧壁和支护结构的稳定状况，发现支护结构出现裂缝、位移或土体变形、坍塌征兆时，应停止作业，人员撤至安全地带，经处理确认安全后，方可继续作业。开挖过程中还需要随时注意地下管线、构筑物、文物等，以免破坏现况管线和文物。</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11.1.18 </w:t>
      </w:r>
      <w:r>
        <w:rPr>
          <w:rFonts w:hint="eastAsia" w:hAnsi="宋体"/>
          <w:color w:val="000000" w:themeColor="text1"/>
          <w:szCs w:val="21"/>
          <w14:textFill>
            <w14:solidFill>
              <w14:schemeClr w14:val="tx1"/>
            </w14:solidFill>
          </w14:textFill>
        </w:rPr>
        <w:t>根据施工经验，当隧道施工部位围岩多为中风化或未风化岩石，且强度高、完整条件下，需要采用机械方法破岩，但需要采取措施，尽可能减轻对围岩和周围构筑物的扰动，以维护围岩自身稳定性。</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11.1.20 </w:t>
      </w:r>
      <w:r>
        <w:rPr>
          <w:rFonts w:hint="eastAsia" w:hAnsi="宋体"/>
          <w:color w:val="000000" w:themeColor="text1"/>
          <w:szCs w:val="21"/>
          <w14:textFill>
            <w14:solidFill>
              <w14:schemeClr w14:val="tx1"/>
            </w14:solidFill>
          </w14:textFill>
        </w:rPr>
        <w:t>根据对桥桩及现场环境的调查及施工影响预测，对于“影响程度很大”和“影响程度大”的桥桩应采取先加固后施工方案，对于“影响程度一般”的桥桩采取边施工边加固方案，对于“影响程度较小”的桥桩根据监测结果确定是否采取加固措施。</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11.1.21 </w:t>
      </w:r>
      <w:r>
        <w:rPr>
          <w:rFonts w:hint="eastAsia" w:hAnsi="宋体"/>
          <w:color w:val="000000" w:themeColor="text1"/>
          <w:szCs w:val="21"/>
          <w14:textFill>
            <w14:solidFill>
              <w14:schemeClr w14:val="tx1"/>
            </w14:solidFill>
          </w14:textFill>
        </w:rPr>
        <w:t>在地铁5号线崇文门站下穿既有环线区间、地铁5号线下穿既有地铁环线雍和宫车站以及地铁4号线宣武门站主体和换乘通道下穿既有环线宣武门站等新线穿越既有线施工过程中，为了既有环线结构的安全及地铁正常运营，采用了远程监控系统对其结构及轨道变形等进行全天候的实时监控量测。监测情况表明，该监测系统在地铁运营环境下能正常工作，其在测试精度、性能稳定及自动化程度方面，能准确反映新线施工过程中对上方既有环线地铁造成的影响，及时反馈信息，指导建设单位的施工和运营部门采取相应的安全措施。</w:t>
      </w:r>
    </w:p>
    <w:p>
      <w:pPr>
        <w:spacing w:line="360" w:lineRule="auto"/>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11.1.23 </w:t>
      </w:r>
      <w:r>
        <w:rPr>
          <w:rFonts w:hint="eastAsia"/>
          <w:color w:val="000000" w:themeColor="text1"/>
          <w14:textFill>
            <w14:solidFill>
              <w14:schemeClr w14:val="tx1"/>
            </w14:solidFill>
          </w14:textFill>
        </w:rPr>
        <w:t>隔离桩主要用于现况临近建（构）筑物与新建隧道、车站之间，用于隔断暗挖施工对建（构）筑物的影响，一般采用钢管桩、水泥土搅拌桩、双排旋喷桩等加固方法。</w:t>
      </w:r>
    </w:p>
    <w:p>
      <w:pPr>
        <w:numPr>
          <w:ilvl w:val="1"/>
          <w:numId w:val="0"/>
        </w:numPr>
        <w:tabs>
          <w:tab w:val="left" w:pos="576"/>
        </w:tabs>
        <w:adjustRightInd w:val="0"/>
        <w:snapToGrid w:val="0"/>
        <w:spacing w:before="312" w:beforeLines="100" w:after="312" w:afterLines="100"/>
        <w:ind w:left="578" w:hanging="578"/>
        <w:jc w:val="center"/>
        <w:outlineLvl w:val="1"/>
        <w:rPr>
          <w:rFonts w:hAnsi="宋体"/>
          <w:b/>
          <w:color w:val="000000" w:themeColor="text1"/>
          <w:sz w:val="24"/>
          <w14:textFill>
            <w14:solidFill>
              <w14:schemeClr w14:val="tx1"/>
            </w14:solidFill>
          </w14:textFill>
        </w:rPr>
      </w:pPr>
      <w:bookmarkStart w:id="587" w:name="_Toc5295"/>
      <w:r>
        <w:rPr>
          <w:rFonts w:hint="eastAsia" w:hAnsi="宋体"/>
          <w:b/>
          <w:color w:val="000000" w:themeColor="text1"/>
          <w:sz w:val="24"/>
          <w14:textFill>
            <w14:solidFill>
              <w14:schemeClr w14:val="tx1"/>
            </w14:solidFill>
          </w14:textFill>
        </w:rPr>
        <w:t>11.2  区间隧道开挖</w:t>
      </w:r>
      <w:bookmarkEnd w:id="587"/>
    </w:p>
    <w:p>
      <w:pPr>
        <w:pStyle w:val="22"/>
        <w:tabs>
          <w:tab w:val="left" w:pos="851"/>
        </w:tabs>
        <w:snapToGrid w:val="0"/>
        <w:spacing w:line="360" w:lineRule="auto"/>
        <w:ind w:firstLine="0" w:firstLineChars="0"/>
        <w:jc w:val="left"/>
        <w:rPr>
          <w:rFonts w:hAnsi="宋体"/>
          <w:b/>
          <w:bCs/>
          <w:color w:val="000000" w:themeColor="text1"/>
          <w:szCs w:val="21"/>
          <w14:textFill>
            <w14:solidFill>
              <w14:schemeClr w14:val="tx1"/>
            </w14:solidFill>
          </w14:textFill>
        </w:rPr>
      </w:pPr>
      <w:r>
        <w:rPr>
          <w:rFonts w:hint="eastAsia" w:hAnsi="宋体" w:cstheme="minorEastAsia"/>
          <w:b/>
          <w:bCs/>
          <w:color w:val="000000" w:themeColor="text1"/>
          <w:szCs w:val="21"/>
          <w14:textFill>
            <w14:solidFill>
              <w14:schemeClr w14:val="tx1"/>
            </w14:solidFill>
          </w14:textFill>
        </w:rPr>
        <w:t xml:space="preserve">11.2.1 </w:t>
      </w:r>
      <w:r>
        <w:rPr>
          <w:rFonts w:hint="eastAsia" w:hAnsi="宋体" w:cstheme="minorEastAsia"/>
          <w:color w:val="000000" w:themeColor="text1"/>
          <w:szCs w:val="21"/>
          <w14:textFill>
            <w14:solidFill>
              <w14:schemeClr w14:val="tx1"/>
            </w14:solidFill>
          </w14:textFill>
        </w:rPr>
        <w:t>全断面法是在稳定土质中应自上而下一次开挖成型，做初期支护结构或直接进行二次衬砌施工，采用机械开挖，主要是充分发挥机械设备的综合效率，提高施工进度。</w:t>
      </w:r>
    </w:p>
    <w:p>
      <w:pPr>
        <w:pStyle w:val="21"/>
        <w:tabs>
          <w:tab w:val="left" w:pos="851"/>
        </w:tabs>
        <w:snapToGrid w:val="0"/>
        <w:spacing w:line="360" w:lineRule="auto"/>
        <w:jc w:val="both"/>
        <w:rPr>
          <w:rFonts w:hAnsi="宋体"/>
          <w:b/>
          <w:bCs/>
          <w:color w:val="000000" w:themeColor="text1"/>
          <w:szCs w:val="21"/>
          <w14:textFill>
            <w14:solidFill>
              <w14:schemeClr w14:val="tx1"/>
            </w14:solidFill>
          </w14:textFill>
        </w:rPr>
      </w:pPr>
      <w:r>
        <w:rPr>
          <w:rFonts w:hint="eastAsia" w:ascii="Times New Roman" w:hAnsi="宋体" w:cstheme="minorEastAsia"/>
          <w:b/>
          <w:bCs/>
          <w:color w:val="000000" w:themeColor="text1"/>
          <w:kern w:val="2"/>
          <w:sz w:val="21"/>
          <w:szCs w:val="21"/>
          <w14:textFill>
            <w14:solidFill>
              <w14:schemeClr w14:val="tx1"/>
            </w14:solidFill>
          </w14:textFill>
        </w:rPr>
        <w:t xml:space="preserve">11.2.2 </w:t>
      </w:r>
      <w:r>
        <w:rPr>
          <w:rFonts w:hint="eastAsia" w:ascii="Times New Roman" w:hAnsi="宋体" w:cstheme="minorEastAsia"/>
          <w:color w:val="000000" w:themeColor="text1"/>
          <w:kern w:val="2"/>
          <w:sz w:val="21"/>
          <w:szCs w:val="21"/>
          <w14:textFill>
            <w14:solidFill>
              <w14:schemeClr w14:val="tx1"/>
            </w14:solidFill>
          </w14:textFill>
        </w:rPr>
        <w:t>台阶法可适用于Ⅲ～Ⅳ级围岩，IV、V级围岩在采取必要的超前支护措施稳定开挖工作面后也可选用台阶法</w:t>
      </w:r>
      <w:r>
        <w:rPr>
          <w:rFonts w:hint="eastAsia" w:hAnsi="宋体" w:cstheme="minorEastAsia"/>
          <w:color w:val="000000" w:themeColor="text1"/>
          <w:szCs w:val="21"/>
          <w14:textFill>
            <w14:solidFill>
              <w14:schemeClr w14:val="tx1"/>
            </w14:solidFill>
          </w14:textFill>
        </w:rPr>
        <w:t>。</w:t>
      </w:r>
      <w:r>
        <w:rPr>
          <w:rFonts w:hint="eastAsia" w:ascii="Times New Roman" w:hAnsi="宋体" w:cstheme="minorEastAsia"/>
          <w:color w:val="000000" w:themeColor="text1"/>
          <w:kern w:val="2"/>
          <w:sz w:val="21"/>
          <w:szCs w:val="21"/>
          <w14:textFill>
            <w14:solidFill>
              <w14:schemeClr w14:val="tx1"/>
            </w14:solidFill>
          </w14:textFill>
        </w:rPr>
        <w:t>台阶长度不宜过长，宜控制在1倍洞径左右。</w:t>
      </w:r>
      <w:r>
        <w:rPr>
          <w:rFonts w:hint="eastAsia" w:hAnsi="宋体" w:cstheme="minorEastAsia"/>
          <w:color w:val="000000" w:themeColor="text1"/>
          <w:sz w:val="21"/>
          <w:szCs w:val="21"/>
          <w14:textFill>
            <w14:solidFill>
              <w14:schemeClr w14:val="tx1"/>
            </w14:solidFill>
          </w14:textFill>
        </w:rPr>
        <w:t>上下台阶环形预留核心土法适用于第四纪地层台阶法开挖，有利于工作面稳定，台阶超长将导致延缓封闭成环时间，不利于控制沉降及施工安全。控制超挖是为了保证台阶拱脚、工作面的稳定，是开挖施工的重要措施。</w:t>
      </w:r>
      <w:r>
        <w:rPr>
          <w:rFonts w:hAnsi="宋体" w:cstheme="minorEastAsia"/>
          <w:color w:val="000000" w:themeColor="text1"/>
          <w:sz w:val="21"/>
          <w:szCs w:val="21"/>
          <w14:textFill>
            <w14:solidFill>
              <w14:schemeClr w14:val="tx1"/>
            </w14:solidFill>
          </w14:textFill>
        </w:rPr>
        <w:t>当拱部围岩条件发生较大变化时，可适当延长或缩短台阶长度，确保开挖、支护质量及施工安全。</w:t>
      </w:r>
    </w:p>
    <w:p>
      <w:pPr>
        <w:pStyle w:val="21"/>
        <w:snapToGrid w:val="0"/>
        <w:spacing w:line="360" w:lineRule="auto"/>
        <w:jc w:val="both"/>
        <w:rPr>
          <w:rFonts w:hAnsi="宋体" w:cstheme="minorEastAsia"/>
          <w:color w:val="000000" w:themeColor="text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11.2.4</w:t>
      </w:r>
      <w:r>
        <w:rPr>
          <w:rFonts w:hint="eastAsia" w:hAnsi="宋体"/>
          <w:b/>
          <w:bCs/>
          <w:color w:val="000000" w:themeColor="text1"/>
          <w:szCs w:val="21"/>
          <w14:textFill>
            <w14:solidFill>
              <w14:schemeClr w14:val="tx1"/>
            </w14:solidFill>
          </w14:textFill>
        </w:rPr>
        <w:t xml:space="preserve"> </w:t>
      </w:r>
      <w:r>
        <w:rPr>
          <w:rFonts w:hint="eastAsia" w:hAnsi="宋体" w:cstheme="minorEastAsia"/>
          <w:color w:val="000000" w:themeColor="text1"/>
          <w:sz w:val="21"/>
          <w:szCs w:val="21"/>
          <w14:textFill>
            <w14:solidFill>
              <w14:schemeClr w14:val="tx1"/>
            </w14:solidFill>
          </w14:textFill>
        </w:rPr>
        <w:t>交叉中隔壁</w:t>
      </w:r>
      <w:r>
        <w:rPr>
          <w:rFonts w:hint="eastAsia" w:hAnsi="宋体" w:cstheme="minorEastAsia"/>
          <w:color w:val="000000" w:themeColor="text1"/>
          <w:szCs w:val="21"/>
          <w14:textFill>
            <w14:solidFill>
              <w14:schemeClr w14:val="tx1"/>
            </w14:solidFill>
          </w14:textFill>
        </w:rPr>
        <w:t>（</w:t>
      </w:r>
      <w:r>
        <w:rPr>
          <w:rFonts w:hAnsi="宋体" w:cstheme="minorEastAsia"/>
          <w:color w:val="000000" w:themeColor="text1"/>
          <w:szCs w:val="21"/>
          <w14:textFill>
            <w14:solidFill>
              <w14:schemeClr w14:val="tx1"/>
            </w14:solidFill>
          </w14:textFill>
        </w:rPr>
        <w:t>CRD</w:t>
      </w:r>
      <w:r>
        <w:rPr>
          <w:rFonts w:hint="eastAsia" w:hAnsi="宋体" w:cstheme="minorEastAsia"/>
          <w:color w:val="000000" w:themeColor="text1"/>
          <w:szCs w:val="21"/>
          <w14:textFill>
            <w14:solidFill>
              <w14:schemeClr w14:val="tx1"/>
            </w14:solidFill>
          </w14:textFill>
        </w:rPr>
        <w:t>）</w:t>
      </w:r>
      <w:r>
        <w:rPr>
          <w:rFonts w:hint="eastAsia" w:hAnsi="宋体" w:cstheme="minorEastAsia"/>
          <w:color w:val="000000" w:themeColor="text1"/>
          <w:sz w:val="21"/>
          <w:szCs w:val="21"/>
          <w14:textFill>
            <w14:solidFill>
              <w14:schemeClr w14:val="tx1"/>
            </w14:solidFill>
          </w14:textFill>
        </w:rPr>
        <w:t>法兼有台阶法和双侧壁导坑法的优点，有利于围岩稳定，保证施工安全。</w:t>
      </w: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11.2.5 </w:t>
      </w:r>
      <w:r>
        <w:rPr>
          <w:rFonts w:hint="eastAsia" w:hAnsi="宋体" w:cstheme="minorEastAsia"/>
          <w:color w:val="000000" w:themeColor="text1"/>
          <w:sz w:val="21"/>
          <w:szCs w:val="21"/>
          <w14:textFill>
            <w14:solidFill>
              <w14:schemeClr w14:val="tx1"/>
            </w14:solidFill>
          </w14:textFill>
        </w:rPr>
        <w:t>双侧壁导坑法与CRD工法要求基本相同，目前常间的做法有两种。工法是先开挖隧道两侧导坑，并及时施作导坑四周初期支护，再根据地质条件、断面大小，对剩余部分断面进行一次或二次开挖。双线或多线隧道通过软弱围岩地段时，由于跨度较大（一般开挖宽度达到11m以上），无法采用全断面或台阶法开挖，而采用双侧壁导坑法，相当于先开挖2个小跨度的隧道，开挖后，围岩的自稳时间能够满足初期支护的需要，有利于施工的安全。侧壁导坑完成后，剩余断面一般采用上、下两步开挖，上部开挖后，立即进行初期支护，安装钢架支撑，并将钢架与侧壁导坑的钢架连接成一个整体，从而克服了大跨度带来的施工安全问题。</w:t>
      </w:r>
    </w:p>
    <w:p>
      <w:pPr>
        <w:pStyle w:val="22"/>
        <w:tabs>
          <w:tab w:val="left" w:pos="851"/>
          <w:tab w:val="left" w:pos="5835"/>
        </w:tabs>
        <w:snapToGrid w:val="0"/>
        <w:spacing w:line="360" w:lineRule="auto"/>
        <w:ind w:firstLine="0" w:firstLineChars="0"/>
        <w:jc w:val="left"/>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11.2.6 </w:t>
      </w:r>
      <w:r>
        <w:rPr>
          <w:rFonts w:hint="eastAsia" w:ascii="宋体" w:hAnsi="宋体" w:cstheme="minorEastAsia"/>
          <w:color w:val="000000" w:themeColor="text1"/>
          <w:kern w:val="0"/>
          <w:szCs w:val="21"/>
          <w14:textFill>
            <w14:solidFill>
              <w14:schemeClr w14:val="tx1"/>
            </w14:solidFill>
          </w14:textFill>
        </w:rPr>
        <w:t>中洞法适用于双连拱的隧道及地铁车站的施工，采用先施作中墙混凝土，后开挖两侧的施工方法。</w:t>
      </w:r>
    </w:p>
    <w:p>
      <w:pPr>
        <w:numPr>
          <w:ilvl w:val="1"/>
          <w:numId w:val="0"/>
        </w:numPr>
        <w:tabs>
          <w:tab w:val="left" w:pos="576"/>
        </w:tabs>
        <w:adjustRightInd w:val="0"/>
        <w:snapToGrid w:val="0"/>
        <w:spacing w:before="312" w:beforeLines="100" w:after="312" w:afterLines="100"/>
        <w:ind w:left="578" w:hanging="578"/>
        <w:jc w:val="center"/>
        <w:outlineLvl w:val="1"/>
        <w:rPr>
          <w:rFonts w:hAnsi="宋体"/>
          <w:b/>
          <w:color w:val="000000" w:themeColor="text1"/>
          <w:sz w:val="24"/>
          <w14:textFill>
            <w14:solidFill>
              <w14:schemeClr w14:val="tx1"/>
            </w14:solidFill>
          </w14:textFill>
        </w:rPr>
      </w:pPr>
      <w:bookmarkStart w:id="588" w:name="_Toc16833"/>
      <w:r>
        <w:rPr>
          <w:rFonts w:hint="eastAsia" w:hAnsi="宋体"/>
          <w:b/>
          <w:color w:val="000000" w:themeColor="text1"/>
          <w:sz w:val="24"/>
          <w14:textFill>
            <w14:solidFill>
              <w14:schemeClr w14:val="tx1"/>
            </w14:solidFill>
          </w14:textFill>
        </w:rPr>
        <w:t>11.3  暗挖车站开挖</w:t>
      </w:r>
      <w:bookmarkEnd w:id="588"/>
    </w:p>
    <w:p>
      <w:pPr>
        <w:pStyle w:val="22"/>
        <w:tabs>
          <w:tab w:val="left" w:pos="851"/>
          <w:tab w:val="left" w:pos="5835"/>
        </w:tabs>
        <w:snapToGrid w:val="0"/>
        <w:spacing w:line="360" w:lineRule="auto"/>
        <w:ind w:firstLine="0" w:firstLineChars="0"/>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11.3.1 </w:t>
      </w:r>
      <w:r>
        <w:rPr>
          <w:rFonts w:hint="eastAsia"/>
          <w:color w:val="000000" w:themeColor="text1"/>
          <w14:textFill>
            <w14:solidFill>
              <w14:schemeClr w14:val="tx1"/>
            </w14:solidFill>
          </w14:textFill>
        </w:rPr>
        <w:t>在暗挖单拱双层式车站中，单拱单柱双层式车站均使用中洞法施工，单拱无柱双层式车站均使用双侧壁导坑法施工；单拱无柱单层式车站均使用CRD法施工；而分离式车站的单拱无柱单层式车站均使用CRD法施工。这三种类型车站的暗挖工法相对固定，与区间隧道施工工法要求基本相同，本节主要对多拱双层式、多拱（或单拱）单层式和分离式单拱双层式暗挖地铁车站暗挖工法提出要求。</w:t>
      </w:r>
    </w:p>
    <w:p>
      <w:pPr>
        <w:pStyle w:val="22"/>
        <w:tabs>
          <w:tab w:val="left" w:pos="851"/>
          <w:tab w:val="left" w:pos="5835"/>
        </w:tabs>
        <w:snapToGrid w:val="0"/>
        <w:spacing w:line="36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表</w:t>
      </w:r>
      <w:r>
        <w:rPr>
          <w:rFonts w:hint="eastAsia"/>
          <w:b/>
          <w:bCs/>
          <w:color w:val="000000" w:themeColor="text1"/>
          <w14:textFill>
            <w14:solidFill>
              <w14:schemeClr w14:val="tx1"/>
            </w14:solidFill>
          </w14:textFill>
        </w:rPr>
        <w:t>11.3.1</w:t>
      </w:r>
      <w:r>
        <w:rPr>
          <w:rFonts w:hint="eastAsia"/>
          <w:color w:val="000000" w:themeColor="text1"/>
          <w14:textFill>
            <w14:solidFill>
              <w14:schemeClr w14:val="tx1"/>
            </w14:solidFill>
          </w14:textFill>
        </w:rPr>
        <w:t xml:space="preserve">  暗挖地铁车站常用结构形式和暗挖工法一览表</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93"/>
        <w:gridCol w:w="3625"/>
        <w:gridCol w:w="28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5718" w:type="dxa"/>
            <w:gridSpan w:val="2"/>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结构形式</w:t>
            </w:r>
          </w:p>
        </w:tc>
        <w:tc>
          <w:tcPr>
            <w:tcW w:w="2804" w:type="dxa"/>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暗挖工法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2093" w:type="dxa"/>
            <w:vMerge w:val="restart"/>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多拱双层式车站</w:t>
            </w:r>
          </w:p>
        </w:tc>
        <w:tc>
          <w:tcPr>
            <w:tcW w:w="3625" w:type="dxa"/>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三拱双柱双层式车站</w:t>
            </w:r>
          </w:p>
        </w:tc>
        <w:tc>
          <w:tcPr>
            <w:tcW w:w="2804" w:type="dxa"/>
            <w:vMerge w:val="restart"/>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洞桩法（PBA法）、中洞法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trPr>
        <w:tc>
          <w:tcPr>
            <w:tcW w:w="2093" w:type="dxa"/>
            <w:vMerge w:val="continue"/>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p>
        </w:tc>
        <w:tc>
          <w:tcPr>
            <w:tcW w:w="3625" w:type="dxa"/>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双拱单柱双层式车站</w:t>
            </w:r>
          </w:p>
        </w:tc>
        <w:tc>
          <w:tcPr>
            <w:tcW w:w="2804" w:type="dxa"/>
            <w:vMerge w:val="continue"/>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2093" w:type="dxa"/>
            <w:vMerge w:val="restart"/>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多拱（或单拱多跨）单层式车站</w:t>
            </w:r>
          </w:p>
        </w:tc>
        <w:tc>
          <w:tcPr>
            <w:tcW w:w="3625" w:type="dxa"/>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三拱双柱单层式车站</w:t>
            </w:r>
          </w:p>
        </w:tc>
        <w:tc>
          <w:tcPr>
            <w:tcW w:w="2804" w:type="dxa"/>
            <w:vMerge w:val="restart"/>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柱洞法、中洞法、侧洞法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trPr>
        <w:tc>
          <w:tcPr>
            <w:tcW w:w="2093" w:type="dxa"/>
            <w:vMerge w:val="continue"/>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p>
        </w:tc>
        <w:tc>
          <w:tcPr>
            <w:tcW w:w="3625" w:type="dxa"/>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双拱单柱单层式车站</w:t>
            </w:r>
          </w:p>
        </w:tc>
        <w:tc>
          <w:tcPr>
            <w:tcW w:w="2804" w:type="dxa"/>
            <w:vMerge w:val="continue"/>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trPr>
        <w:tc>
          <w:tcPr>
            <w:tcW w:w="2093" w:type="dxa"/>
            <w:vMerge w:val="continue"/>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p>
        </w:tc>
        <w:tc>
          <w:tcPr>
            <w:tcW w:w="3625" w:type="dxa"/>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单拱双柱单层式车站</w:t>
            </w:r>
          </w:p>
        </w:tc>
        <w:tc>
          <w:tcPr>
            <w:tcW w:w="2804" w:type="dxa"/>
            <w:vMerge w:val="continue"/>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2093" w:type="dxa"/>
            <w:vMerge w:val="continue"/>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p>
        </w:tc>
        <w:tc>
          <w:tcPr>
            <w:tcW w:w="3625" w:type="dxa"/>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单拱单柱单层式车站</w:t>
            </w:r>
          </w:p>
        </w:tc>
        <w:tc>
          <w:tcPr>
            <w:tcW w:w="2804" w:type="dxa"/>
            <w:vMerge w:val="continue"/>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trPr>
        <w:tc>
          <w:tcPr>
            <w:tcW w:w="2093" w:type="dxa"/>
            <w:vMerge w:val="restart"/>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单拱双层式车站</w:t>
            </w:r>
          </w:p>
        </w:tc>
        <w:tc>
          <w:tcPr>
            <w:tcW w:w="3625" w:type="dxa"/>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单拱单柱双层式车站</w:t>
            </w:r>
          </w:p>
        </w:tc>
        <w:tc>
          <w:tcPr>
            <w:tcW w:w="2804" w:type="dxa"/>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中洞法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93" w:type="dxa"/>
            <w:vMerge w:val="continue"/>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p>
        </w:tc>
        <w:tc>
          <w:tcPr>
            <w:tcW w:w="3625" w:type="dxa"/>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单拱无柱双层式车站（岩石地层）</w:t>
            </w:r>
          </w:p>
        </w:tc>
        <w:tc>
          <w:tcPr>
            <w:tcW w:w="2804" w:type="dxa"/>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双侧壁导坑法、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5718" w:type="dxa"/>
            <w:gridSpan w:val="2"/>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单拱无柱单层式车站</w:t>
            </w:r>
          </w:p>
        </w:tc>
        <w:tc>
          <w:tcPr>
            <w:tcW w:w="2804" w:type="dxa"/>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CRD法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trPr>
        <w:tc>
          <w:tcPr>
            <w:tcW w:w="5718" w:type="dxa"/>
            <w:gridSpan w:val="2"/>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分离式车站的分离式单拱双层式车站</w:t>
            </w:r>
          </w:p>
        </w:tc>
        <w:tc>
          <w:tcPr>
            <w:tcW w:w="2804" w:type="dxa"/>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洞桩法、CRD法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718" w:type="dxa"/>
            <w:gridSpan w:val="2"/>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分离式车站的分离式单拱单层式车站</w:t>
            </w:r>
          </w:p>
        </w:tc>
        <w:tc>
          <w:tcPr>
            <w:tcW w:w="2804" w:type="dxa"/>
            <w:vAlign w:val="center"/>
          </w:tcPr>
          <w:p>
            <w:pPr>
              <w:pStyle w:val="22"/>
              <w:tabs>
                <w:tab w:val="left" w:pos="851"/>
                <w:tab w:val="left" w:pos="5835"/>
              </w:tabs>
              <w:snapToGrid w:val="0"/>
              <w:spacing w:line="240" w:lineRule="atLeast"/>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CRD法</w:t>
            </w:r>
          </w:p>
        </w:tc>
      </w:tr>
    </w:tbl>
    <w:p>
      <w:pPr>
        <w:pStyle w:val="22"/>
        <w:tabs>
          <w:tab w:val="left" w:pos="851"/>
          <w:tab w:val="left" w:pos="5835"/>
        </w:tabs>
        <w:snapToGrid w:val="0"/>
        <w:spacing w:line="360" w:lineRule="auto"/>
        <w:ind w:firstLine="0" w:firstLineChars="0"/>
        <w:jc w:val="left"/>
        <w:rPr>
          <w:color w:val="000000" w:themeColor="text1"/>
          <w14:textFill>
            <w14:solidFill>
              <w14:schemeClr w14:val="tx1"/>
            </w14:solidFill>
          </w14:textFill>
        </w:rPr>
      </w:pPr>
    </w:p>
    <w:p>
      <w:pPr>
        <w:pStyle w:val="22"/>
        <w:tabs>
          <w:tab w:val="left" w:pos="851"/>
          <w:tab w:val="left" w:pos="5835"/>
        </w:tabs>
        <w:snapToGrid w:val="0"/>
        <w:spacing w:line="360" w:lineRule="auto"/>
        <w:ind w:firstLine="0" w:firstLineChars="0"/>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11.3.2 </w:t>
      </w:r>
      <w:r>
        <w:rPr>
          <w:rFonts w:hint="eastAsia"/>
          <w:color w:val="000000" w:themeColor="text1"/>
          <w14:textFill>
            <w14:solidFill>
              <w14:schemeClr w14:val="tx1"/>
            </w14:solidFill>
          </w14:textFill>
        </w:rPr>
        <w:t>暗挖车站中洞法包括多种形式： 多拱（单拱）单层车站中洞法、多拱双层车站中洞法、双层单拱车站中洞法，如下图所示。</w:t>
      </w:r>
    </w:p>
    <w:p>
      <w:pPr>
        <w:pStyle w:val="22"/>
        <w:tabs>
          <w:tab w:val="left" w:pos="385"/>
          <w:tab w:val="left" w:pos="5835"/>
        </w:tabs>
        <w:snapToGrid w:val="0"/>
        <w:spacing w:line="360" w:lineRule="auto"/>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ab/>
      </w:r>
    </w:p>
    <w:p>
      <w:pPr>
        <w:pStyle w:val="22"/>
        <w:tabs>
          <w:tab w:val="left" w:pos="851"/>
          <w:tab w:val="left" w:pos="5835"/>
        </w:tabs>
        <w:snapToGrid w:val="0"/>
        <w:spacing w:line="360" w:lineRule="auto"/>
        <w:jc w:val="left"/>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4869180" cy="2813050"/>
            <wp:effectExtent l="0" t="0" r="7620" b="6350"/>
            <wp:docPr id="35"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8"/>
                    <pic:cNvPicPr>
                      <a:picLocks noChangeAspect="1"/>
                    </pic:cNvPicPr>
                  </pic:nvPicPr>
                  <pic:blipFill>
                    <a:blip r:embed="rId107"/>
                    <a:srcRect l="4880" r="4288" b="4071"/>
                    <a:stretch>
                      <a:fillRect/>
                    </a:stretch>
                  </pic:blipFill>
                  <pic:spPr>
                    <a:xfrm>
                      <a:off x="0" y="0"/>
                      <a:ext cx="4869180" cy="2813050"/>
                    </a:xfrm>
                    <a:prstGeom prst="rect">
                      <a:avLst/>
                    </a:prstGeom>
                    <a:noFill/>
                    <a:ln>
                      <a:noFill/>
                    </a:ln>
                  </pic:spPr>
                </pic:pic>
              </a:graphicData>
            </a:graphic>
          </wp:inline>
        </w:drawing>
      </w:r>
    </w:p>
    <w:p>
      <w:pPr>
        <w:pStyle w:val="22"/>
        <w:tabs>
          <w:tab w:val="left" w:pos="851"/>
          <w:tab w:val="left" w:pos="5835"/>
        </w:tabs>
        <w:snapToGrid w:val="0"/>
        <w:spacing w:line="360" w:lineRule="auto"/>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rFonts w:hint="eastAsia"/>
          <w:b/>
          <w:bCs/>
          <w:color w:val="000000" w:themeColor="text1"/>
          <w14:textFill>
            <w14:solidFill>
              <w14:schemeClr w14:val="tx1"/>
            </w14:solidFill>
          </w14:textFill>
        </w:rPr>
        <w:t>11.3.2-1</w:t>
      </w:r>
      <w:r>
        <w:rPr>
          <w:rFonts w:hint="eastAsia"/>
          <w:color w:val="000000" w:themeColor="text1"/>
          <w14:textFill>
            <w14:solidFill>
              <w14:schemeClr w14:val="tx1"/>
            </w14:solidFill>
          </w14:textFill>
        </w:rPr>
        <w:t xml:space="preserve">  多拱（单拱）单层车站中洞法施工步序图</w:t>
      </w:r>
    </w:p>
    <w:p>
      <w:pPr>
        <w:pStyle w:val="22"/>
        <w:tabs>
          <w:tab w:val="left" w:pos="851"/>
          <w:tab w:val="left" w:pos="5835"/>
        </w:tabs>
        <w:snapToGrid w:val="0"/>
        <w:spacing w:line="360" w:lineRule="auto"/>
        <w:jc w:val="center"/>
        <w:rPr>
          <w:color w:val="000000" w:themeColor="text1"/>
          <w14:textFill>
            <w14:solidFill>
              <w14:schemeClr w14:val="tx1"/>
            </w14:solidFill>
          </w14:textFill>
        </w:rPr>
      </w:pPr>
    </w:p>
    <w:p>
      <w:pPr>
        <w:pStyle w:val="22"/>
        <w:tabs>
          <w:tab w:val="left" w:pos="851"/>
          <w:tab w:val="left" w:pos="5835"/>
        </w:tabs>
        <w:snapToGrid w:val="0"/>
        <w:spacing w:line="360" w:lineRule="auto"/>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321935" cy="3811270"/>
            <wp:effectExtent l="0" t="0" r="12065" b="11430"/>
            <wp:docPr id="36"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9"/>
                    <pic:cNvPicPr>
                      <a:picLocks noChangeAspect="1"/>
                    </pic:cNvPicPr>
                  </pic:nvPicPr>
                  <pic:blipFill>
                    <a:blip r:embed="rId108"/>
                    <a:srcRect l="6404" t="1471" r="3110" b="1706"/>
                    <a:stretch>
                      <a:fillRect/>
                    </a:stretch>
                  </pic:blipFill>
                  <pic:spPr>
                    <a:xfrm>
                      <a:off x="0" y="0"/>
                      <a:ext cx="5321935" cy="3811270"/>
                    </a:xfrm>
                    <a:prstGeom prst="rect">
                      <a:avLst/>
                    </a:prstGeom>
                    <a:noFill/>
                    <a:ln>
                      <a:noFill/>
                    </a:ln>
                  </pic:spPr>
                </pic:pic>
              </a:graphicData>
            </a:graphic>
          </wp:inline>
        </w:drawing>
      </w:r>
    </w:p>
    <w:p>
      <w:pPr>
        <w:pStyle w:val="22"/>
        <w:tabs>
          <w:tab w:val="left" w:pos="851"/>
          <w:tab w:val="left" w:pos="5835"/>
        </w:tabs>
        <w:snapToGrid w:val="0"/>
        <w:spacing w:line="360" w:lineRule="auto"/>
        <w:jc w:val="center"/>
        <w:rPr>
          <w:color w:val="000000" w:themeColor="text1"/>
          <w14:textFill>
            <w14:solidFill>
              <w14:schemeClr w14:val="tx1"/>
            </w14:solidFill>
          </w14:textFill>
        </w:rPr>
      </w:pPr>
    </w:p>
    <w:p>
      <w:pPr>
        <w:pStyle w:val="22"/>
        <w:tabs>
          <w:tab w:val="left" w:pos="851"/>
          <w:tab w:val="left" w:pos="5835"/>
        </w:tabs>
        <w:snapToGrid w:val="0"/>
        <w:spacing w:line="360" w:lineRule="auto"/>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rFonts w:hint="eastAsia"/>
          <w:b/>
          <w:bCs/>
          <w:color w:val="000000" w:themeColor="text1"/>
          <w14:textFill>
            <w14:solidFill>
              <w14:schemeClr w14:val="tx1"/>
            </w14:solidFill>
          </w14:textFill>
        </w:rPr>
        <w:t xml:space="preserve">11.3.2-2  </w:t>
      </w:r>
      <w:r>
        <w:rPr>
          <w:rFonts w:hint="eastAsia"/>
          <w:color w:val="000000" w:themeColor="text1"/>
          <w14:textFill>
            <w14:solidFill>
              <w14:schemeClr w14:val="tx1"/>
            </w14:solidFill>
          </w14:textFill>
        </w:rPr>
        <w:t>多拱双层车站中洞法施工步序图</w:t>
      </w:r>
    </w:p>
    <w:p>
      <w:pPr>
        <w:pStyle w:val="22"/>
        <w:tabs>
          <w:tab w:val="left" w:pos="851"/>
          <w:tab w:val="left" w:pos="5835"/>
        </w:tabs>
        <w:snapToGrid w:val="0"/>
        <w:spacing w:line="360" w:lineRule="auto"/>
        <w:jc w:val="center"/>
        <w:rPr>
          <w:color w:val="000000" w:themeColor="text1"/>
          <w14:textFill>
            <w14:solidFill>
              <w14:schemeClr w14:val="tx1"/>
            </w14:solidFill>
          </w14:textFill>
        </w:rPr>
      </w:pPr>
    </w:p>
    <w:p>
      <w:pPr>
        <w:pStyle w:val="22"/>
        <w:tabs>
          <w:tab w:val="left" w:pos="851"/>
          <w:tab w:val="left" w:pos="5835"/>
        </w:tabs>
        <w:snapToGrid w:val="0"/>
        <w:spacing w:line="360" w:lineRule="auto"/>
        <w:jc w:val="center"/>
        <w:rPr>
          <w:color w:val="000000" w:themeColor="text1"/>
          <w14:textFill>
            <w14:solidFill>
              <w14:schemeClr w14:val="tx1"/>
            </w14:solidFill>
          </w14:textFill>
        </w:rPr>
      </w:pPr>
    </w:p>
    <w:p>
      <w:pPr>
        <w:pStyle w:val="22"/>
        <w:tabs>
          <w:tab w:val="left" w:pos="851"/>
          <w:tab w:val="left" w:pos="5835"/>
        </w:tabs>
        <w:snapToGrid w:val="0"/>
        <w:spacing w:line="360" w:lineRule="auto"/>
        <w:jc w:val="center"/>
        <w:rPr>
          <w:color w:val="000000" w:themeColor="text1"/>
          <w14:textFill>
            <w14:solidFill>
              <w14:schemeClr w14:val="tx1"/>
            </w14:solidFill>
          </w14:textFill>
        </w:rPr>
      </w:pPr>
      <w:r>
        <w:rPr>
          <w:color w:val="000000" w:themeColor="text1"/>
          <w14:textFill>
            <w14:solidFill>
              <w14:schemeClr w14:val="tx1"/>
            </w14:solidFill>
          </w14:textFill>
        </w:rPr>
        <w:object>
          <v:shape id="_x0000_i1071" o:spt="75" type="#_x0000_t75" style="height:398.15pt;width:406.8pt;" o:ole="t" filled="f" o:preferrelative="t" stroked="f" coordsize="21600,21600">
            <v:path/>
            <v:fill on="f" focussize="0,0"/>
            <v:stroke on="f" joinstyle="miter"/>
            <v:imagedata r:id="rId110" cropleft="27714f" croptop="4200f" cropright="22995f" cropbottom="6303f" o:title=""/>
            <o:lock v:ext="edit" aspectratio="f"/>
            <w10:wrap type="none"/>
            <w10:anchorlock/>
          </v:shape>
          <o:OLEObject Type="Embed" ProgID="AutoCAD.Drawing.21" ShapeID="_x0000_i1071" DrawAspect="Content" ObjectID="_1468075771" r:id="rId109">
            <o:LockedField>false</o:LockedField>
          </o:OLEObject>
        </w:object>
      </w:r>
    </w:p>
    <w:p>
      <w:pPr>
        <w:pStyle w:val="22"/>
        <w:tabs>
          <w:tab w:val="left" w:pos="851"/>
          <w:tab w:val="left" w:pos="5835"/>
        </w:tabs>
        <w:snapToGrid w:val="0"/>
        <w:spacing w:line="360" w:lineRule="auto"/>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rFonts w:hint="eastAsia"/>
          <w:b/>
          <w:bCs/>
          <w:color w:val="000000" w:themeColor="text1"/>
          <w14:textFill>
            <w14:solidFill>
              <w14:schemeClr w14:val="tx1"/>
            </w14:solidFill>
          </w14:textFill>
        </w:rPr>
        <w:t>11.3.2-3</w:t>
      </w:r>
      <w:r>
        <w:rPr>
          <w:rFonts w:hint="eastAsia"/>
          <w:color w:val="000000" w:themeColor="text1"/>
          <w14:textFill>
            <w14:solidFill>
              <w14:schemeClr w14:val="tx1"/>
            </w14:solidFill>
          </w14:textFill>
        </w:rPr>
        <w:t>双层单拱车站中洞法施工步序图</w:t>
      </w:r>
    </w:p>
    <w:p>
      <w:pPr>
        <w:pStyle w:val="22"/>
        <w:tabs>
          <w:tab w:val="left" w:pos="851"/>
          <w:tab w:val="left" w:pos="5835"/>
        </w:tabs>
        <w:snapToGrid w:val="0"/>
        <w:spacing w:line="360" w:lineRule="auto"/>
        <w:jc w:val="center"/>
        <w:rPr>
          <w:color w:val="000000" w:themeColor="text1"/>
          <w14:textFill>
            <w14:solidFill>
              <w14:schemeClr w14:val="tx1"/>
            </w14:solidFill>
          </w14:textFill>
        </w:rPr>
      </w:pPr>
    </w:p>
    <w:p>
      <w:pPr>
        <w:pStyle w:val="22"/>
        <w:tabs>
          <w:tab w:val="left" w:pos="851"/>
          <w:tab w:val="left" w:pos="5835"/>
        </w:tabs>
        <w:snapToGrid w:val="0"/>
        <w:spacing w:line="360" w:lineRule="auto"/>
        <w:jc w:val="center"/>
        <w:rPr>
          <w:color w:val="000000" w:themeColor="text1"/>
          <w14:textFill>
            <w14:solidFill>
              <w14:schemeClr w14:val="tx1"/>
            </w14:solidFill>
          </w14:textFill>
        </w:rPr>
      </w:pPr>
      <w:r>
        <w:rPr>
          <w:color w:val="000000" w:themeColor="text1"/>
          <w14:textFill>
            <w14:solidFill>
              <w14:schemeClr w14:val="tx1"/>
            </w14:solidFill>
          </w14:textFill>
        </w:rPr>
        <w:object>
          <v:shape id="_x0000_i1072" o:spt="75" type="#_x0000_t75" style="height:379.65pt;width:371.4pt;" o:ole="t" filled="f" o:preferrelative="t" stroked="f" coordsize="21600,21600">
            <v:path/>
            <v:fill on="f" focussize="0,0"/>
            <v:stroke on="f" joinstyle="miter"/>
            <v:imagedata r:id="rId112" cropleft="32774f" croptop="16198f" cropright="24629f" cropbottom="23752f" o:title=""/>
            <o:lock v:ext="edit" aspectratio="f"/>
            <w10:wrap type="none"/>
            <w10:anchorlock/>
          </v:shape>
          <o:OLEObject Type="Embed" ProgID="AutoCAD.Drawing.21" ShapeID="_x0000_i1072" DrawAspect="Content" ObjectID="_1468075772" r:id="rId111">
            <o:LockedField>false</o:LockedField>
          </o:OLEObject>
        </w:object>
      </w:r>
    </w:p>
    <w:p>
      <w:pPr>
        <w:pStyle w:val="22"/>
        <w:tabs>
          <w:tab w:val="left" w:pos="851"/>
          <w:tab w:val="left" w:pos="5835"/>
        </w:tabs>
        <w:snapToGrid w:val="0"/>
        <w:spacing w:line="360" w:lineRule="auto"/>
        <w:ind w:firstLine="359" w:firstLineChars="171"/>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rFonts w:hint="eastAsia"/>
          <w:b/>
          <w:bCs/>
          <w:color w:val="000000" w:themeColor="text1"/>
          <w14:textFill>
            <w14:solidFill>
              <w14:schemeClr w14:val="tx1"/>
            </w14:solidFill>
          </w14:textFill>
        </w:rPr>
        <w:t>11.3.2-4</w:t>
      </w:r>
      <w:r>
        <w:rPr>
          <w:rFonts w:hint="eastAsia"/>
          <w:color w:val="000000" w:themeColor="text1"/>
          <w14:textFill>
            <w14:solidFill>
              <w14:schemeClr w14:val="tx1"/>
            </w14:solidFill>
          </w14:textFill>
        </w:rPr>
        <w:t>单层单拱车站中洞法施工步序图</w:t>
      </w:r>
    </w:p>
    <w:p>
      <w:pPr>
        <w:pStyle w:val="22"/>
        <w:tabs>
          <w:tab w:val="left" w:pos="851"/>
          <w:tab w:val="left" w:pos="5835"/>
        </w:tabs>
        <w:snapToGrid w:val="0"/>
        <w:spacing w:line="360" w:lineRule="auto"/>
        <w:rPr>
          <w:color w:val="000000" w:themeColor="text1"/>
          <w14:textFill>
            <w14:solidFill>
              <w14:schemeClr w14:val="tx1"/>
            </w14:solidFill>
          </w14:textFill>
        </w:rPr>
      </w:pPr>
      <w:r>
        <w:rPr>
          <w:rFonts w:hint="eastAsia"/>
          <w:color w:val="000000" w:themeColor="text1"/>
          <w14:textFill>
            <w14:solidFill>
              <w14:schemeClr w14:val="tx1"/>
            </w14:solidFill>
          </w14:textFill>
        </w:rPr>
        <w:t>暗挖车站中洞法中洞法施工遵循“小分块、短台阶、早成环、环套环”的原则。先开挖中间部分（中洞），在中洞内施作梁柱结构，然后再开挖两侧部分（侧洞），并逐渐将侧洞顶部荷载通过中洞初期支护转移到梁、柱结构上，由于中洞的跨度较大，施工中一般采用CD 法（中隔壁法）、CRD 法（交叉中隔壁法）等进行施作。具体施工顺序见图3。该施工方法的特点是初期支护自上而下，每一步封闭成环，环环相扣，二次衬砌自下而上施作，混凝土质量较容易得到保证，多在无水、地层相对较好时应用。该施工方法空间大，施工方便，但该方法施工引起的地面沉降和影响范围较大。北京地铁5号线蒲黄榆站、磁器口站、天坛东门站、崇文门站（下穿既有线段除外）等采用了中洞法施工。</w:t>
      </w:r>
    </w:p>
    <w:p>
      <w:pPr>
        <w:pStyle w:val="22"/>
        <w:tabs>
          <w:tab w:val="left" w:pos="851"/>
          <w:tab w:val="left" w:pos="5835"/>
        </w:tabs>
        <w:snapToGrid w:val="0"/>
        <w:spacing w:line="360" w:lineRule="auto"/>
        <w:ind w:firstLine="0" w:firstLineChars="0"/>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11.3.3 </w:t>
      </w:r>
      <w:r>
        <w:rPr>
          <w:rFonts w:hint="eastAsia"/>
          <w:color w:val="000000" w:themeColor="text1"/>
          <w14:textFill>
            <w14:solidFill>
              <w14:schemeClr w14:val="tx1"/>
            </w14:solidFill>
          </w14:textFill>
        </w:rPr>
        <w:t>暗挖车站侧洞法包括单拱单层式车站侧洞法、多拱单层式车站侧洞法等形式，如下图所示。</w:t>
      </w:r>
    </w:p>
    <w:p>
      <w:pPr>
        <w:pStyle w:val="21"/>
        <w:snapToGrid w:val="0"/>
        <w:spacing w:line="360" w:lineRule="auto"/>
        <w:ind w:firstLine="359" w:firstLineChars="171"/>
        <w:jc w:val="both"/>
        <w:rPr>
          <w:color w:val="000000" w:themeColor="text1"/>
          <w14:textFill>
            <w14:solidFill>
              <w14:schemeClr w14:val="tx1"/>
            </w14:solidFill>
          </w14:textFill>
        </w:rPr>
      </w:pPr>
      <w:r>
        <w:rPr>
          <w:rFonts w:hint="eastAsia" w:hAnsi="宋体" w:cstheme="minorEastAsia"/>
          <w:color w:val="000000" w:themeColor="text1"/>
          <w:sz w:val="21"/>
          <w:szCs w:val="21"/>
          <w14:textFill>
            <w14:solidFill>
              <w14:schemeClr w14:val="tx1"/>
            </w14:solidFill>
          </w14:textFill>
        </w:rPr>
        <w:t xml:space="preserve"> </w:t>
      </w:r>
    </w:p>
    <w:p>
      <w:pPr>
        <w:pStyle w:val="22"/>
        <w:tabs>
          <w:tab w:val="left" w:pos="851"/>
          <w:tab w:val="left" w:pos="5835"/>
        </w:tabs>
        <w:snapToGrid w:val="0"/>
        <w:spacing w:line="360" w:lineRule="auto"/>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744845" cy="3203575"/>
            <wp:effectExtent l="0" t="0" r="8255" b="9525"/>
            <wp:docPr id="3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42"/>
                    <pic:cNvPicPr>
                      <a:picLocks noChangeAspect="1"/>
                    </pic:cNvPicPr>
                  </pic:nvPicPr>
                  <pic:blipFill>
                    <a:blip r:embed="rId113"/>
                    <a:srcRect l="3263" r="3116" b="6114"/>
                    <a:stretch>
                      <a:fillRect/>
                    </a:stretch>
                  </pic:blipFill>
                  <pic:spPr>
                    <a:xfrm>
                      <a:off x="0" y="0"/>
                      <a:ext cx="5744845" cy="3203575"/>
                    </a:xfrm>
                    <a:prstGeom prst="rect">
                      <a:avLst/>
                    </a:prstGeom>
                    <a:noFill/>
                    <a:ln>
                      <a:noFill/>
                    </a:ln>
                  </pic:spPr>
                </pic:pic>
              </a:graphicData>
            </a:graphic>
          </wp:inline>
        </w:drawing>
      </w:r>
    </w:p>
    <w:p>
      <w:pPr>
        <w:pStyle w:val="22"/>
        <w:tabs>
          <w:tab w:val="left" w:pos="851"/>
          <w:tab w:val="left" w:pos="5835"/>
        </w:tabs>
        <w:snapToGrid w:val="0"/>
        <w:spacing w:line="360" w:lineRule="auto"/>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rFonts w:hint="eastAsia"/>
          <w:b/>
          <w:bCs/>
          <w:color w:val="000000" w:themeColor="text1"/>
          <w14:textFill>
            <w14:solidFill>
              <w14:schemeClr w14:val="tx1"/>
            </w14:solidFill>
          </w14:textFill>
        </w:rPr>
        <w:t xml:space="preserve">11.3.3  </w:t>
      </w:r>
      <w:r>
        <w:rPr>
          <w:rFonts w:hint="eastAsia"/>
          <w:color w:val="000000" w:themeColor="text1"/>
          <w14:textFill>
            <w14:solidFill>
              <w14:schemeClr w14:val="tx1"/>
            </w14:solidFill>
          </w14:textFill>
        </w:rPr>
        <w:t>多拱（单拱）单层式车站侧洞法施工步序图</w:t>
      </w:r>
    </w:p>
    <w:p>
      <w:pPr>
        <w:pStyle w:val="22"/>
        <w:tabs>
          <w:tab w:val="left" w:pos="851"/>
          <w:tab w:val="left" w:pos="5835"/>
        </w:tabs>
        <w:snapToGrid w:val="0"/>
        <w:spacing w:line="360" w:lineRule="auto"/>
        <w:jc w:val="center"/>
        <w:rPr>
          <w:color w:val="000000" w:themeColor="text1"/>
          <w14:textFill>
            <w14:solidFill>
              <w14:schemeClr w14:val="tx1"/>
            </w14:solidFill>
          </w14:textFill>
        </w:rPr>
      </w:pPr>
    </w:p>
    <w:p>
      <w:pPr>
        <w:pStyle w:val="22"/>
        <w:tabs>
          <w:tab w:val="left" w:pos="851"/>
          <w:tab w:val="left" w:pos="5835"/>
        </w:tabs>
        <w:snapToGrid w:val="0"/>
        <w:spacing w:line="360" w:lineRule="auto"/>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2120900" cy="1270000"/>
            <wp:effectExtent l="0" t="0" r="0" b="0"/>
            <wp:docPr id="3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9"/>
                    <pic:cNvPicPr>
                      <a:picLocks noChangeAspect="1"/>
                    </pic:cNvPicPr>
                  </pic:nvPicPr>
                  <pic:blipFill>
                    <a:blip r:embed="rId114"/>
                    <a:srcRect r="-4702"/>
                    <a:stretch>
                      <a:fillRect/>
                    </a:stretch>
                  </pic:blipFill>
                  <pic:spPr>
                    <a:xfrm>
                      <a:off x="0" y="0"/>
                      <a:ext cx="2120900" cy="1270000"/>
                    </a:xfrm>
                    <a:prstGeom prst="rect">
                      <a:avLst/>
                    </a:prstGeom>
                    <a:noFill/>
                    <a:ln>
                      <a:noFill/>
                    </a:ln>
                  </pic:spPr>
                </pic:pic>
              </a:graphicData>
            </a:graphic>
          </wp:inline>
        </w:drawing>
      </w:r>
    </w:p>
    <w:p>
      <w:pPr>
        <w:pStyle w:val="22"/>
        <w:tabs>
          <w:tab w:val="left" w:pos="851"/>
          <w:tab w:val="left" w:pos="5835"/>
        </w:tabs>
        <w:snapToGrid w:val="0"/>
        <w:spacing w:line="360" w:lineRule="auto"/>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侧洞法是先开挖两侧部分（侧洞），在侧洞内做梁、柱结构，然后再开挖中间部分（中洞），并逐渐将中洞顶部荷载通过侧洞初期支护转移到梁、柱上。具体施工顺序见图4。侧洞法对于单层多跨的大断面车站较为适用，地铁5号线的张自忠路站中间过街部分采用此方法施工。</w:t>
      </w:r>
    </w:p>
    <w:p>
      <w:pPr>
        <w:pStyle w:val="22"/>
        <w:tabs>
          <w:tab w:val="left" w:pos="851"/>
          <w:tab w:val="left" w:pos="5835"/>
        </w:tabs>
        <w:snapToGrid w:val="0"/>
        <w:spacing w:line="360" w:lineRule="auto"/>
        <w:jc w:val="left"/>
        <w:rPr>
          <w:color w:val="000000" w:themeColor="text1"/>
          <w14:textFill>
            <w14:solidFill>
              <w14:schemeClr w14:val="tx1"/>
            </w14:solidFill>
          </w14:textFill>
        </w:rPr>
      </w:pPr>
      <w:r>
        <w:rPr>
          <w:rFonts w:hint="eastAsia"/>
          <w:color w:val="000000" w:themeColor="text1"/>
          <w14:textFill>
            <w14:solidFill>
              <w14:schemeClr w14:val="tx1"/>
            </w14:solidFill>
          </w14:textFill>
        </w:rPr>
        <w:t>第2款强调</w:t>
      </w:r>
      <w:r>
        <w:rPr>
          <w:rFonts w:hint="eastAsia" w:hAnsi="宋体" w:cstheme="minorEastAsia"/>
          <w:color w:val="000000" w:themeColor="text1"/>
          <w:szCs w:val="21"/>
          <w14:textFill>
            <w14:solidFill>
              <w14:schemeClr w14:val="tx1"/>
            </w14:solidFill>
          </w14:textFill>
        </w:rPr>
        <w:t>柱洞格栅钢架位置准确，以便于与中洞横向节点连接。第3款</w:t>
      </w:r>
      <w:r>
        <w:rPr>
          <w:rFonts w:hint="eastAsia"/>
          <w:color w:val="000000" w:themeColor="text1"/>
          <w14:textFill>
            <w14:solidFill>
              <w14:schemeClr w14:val="tx1"/>
            </w14:solidFill>
          </w14:textFill>
        </w:rPr>
        <w:t>上台阶开挖后，及时施工初期支护，并安装临时钢支撑，确保侧洞结构稳定。</w:t>
      </w:r>
    </w:p>
    <w:p>
      <w:pPr>
        <w:pStyle w:val="22"/>
        <w:tabs>
          <w:tab w:val="left" w:pos="851"/>
        </w:tabs>
        <w:snapToGrid w:val="0"/>
        <w:spacing w:line="360" w:lineRule="auto"/>
        <w:ind w:firstLine="0" w:firstLineChars="0"/>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11.3.4 </w:t>
      </w:r>
      <w:r>
        <w:rPr>
          <w:rFonts w:hint="eastAsia"/>
          <w:color w:val="000000" w:themeColor="text1"/>
          <w14:textFill>
            <w14:solidFill>
              <w14:schemeClr w14:val="tx1"/>
            </w14:solidFill>
          </w14:textFill>
        </w:rPr>
        <w:t xml:space="preserve"> </w:t>
      </w:r>
      <w:r>
        <w:rPr>
          <w:rFonts w:hint="eastAsia" w:hAnsi="宋体"/>
          <w:color w:val="000000" w:themeColor="text1"/>
          <w:szCs w:val="21"/>
          <w14:textFill>
            <w14:solidFill>
              <w14:schemeClr w14:val="tx1"/>
            </w14:solidFill>
          </w14:textFill>
        </w:rPr>
        <w:t>柱洞法</w:t>
      </w:r>
      <w:r>
        <w:rPr>
          <w:rFonts w:hint="eastAsia"/>
          <w:color w:val="000000" w:themeColor="text1"/>
          <w14:textFill>
            <w14:solidFill>
              <w14:schemeClr w14:val="tx1"/>
            </w14:solidFill>
          </w14:textFill>
        </w:rPr>
        <w:t>包括单拱多跨单层式车站</w:t>
      </w:r>
      <w:r>
        <w:rPr>
          <w:rFonts w:hint="eastAsia" w:hAnsi="宋体"/>
          <w:color w:val="000000" w:themeColor="text1"/>
          <w:szCs w:val="21"/>
          <w14:textFill>
            <w14:solidFill>
              <w14:schemeClr w14:val="tx1"/>
            </w14:solidFill>
          </w14:textFill>
        </w:rPr>
        <w:t>柱</w:t>
      </w:r>
      <w:r>
        <w:rPr>
          <w:rFonts w:hint="eastAsia"/>
          <w:color w:val="000000" w:themeColor="text1"/>
          <w14:textFill>
            <w14:solidFill>
              <w14:schemeClr w14:val="tx1"/>
            </w14:solidFill>
          </w14:textFill>
        </w:rPr>
        <w:t>洞法、多拱单层式车站</w:t>
      </w:r>
      <w:r>
        <w:rPr>
          <w:rFonts w:hint="eastAsia" w:hAnsi="宋体"/>
          <w:color w:val="000000" w:themeColor="text1"/>
          <w:szCs w:val="21"/>
          <w14:textFill>
            <w14:solidFill>
              <w14:schemeClr w14:val="tx1"/>
            </w14:solidFill>
          </w14:textFill>
        </w:rPr>
        <w:t>柱</w:t>
      </w:r>
      <w:r>
        <w:rPr>
          <w:rFonts w:hint="eastAsia"/>
          <w:color w:val="000000" w:themeColor="text1"/>
          <w14:textFill>
            <w14:solidFill>
              <w14:schemeClr w14:val="tx1"/>
            </w14:solidFill>
          </w14:textFill>
        </w:rPr>
        <w:t>洞法等形式，如下图所示。</w:t>
      </w:r>
    </w:p>
    <w:p>
      <w:pPr>
        <w:pStyle w:val="22"/>
        <w:tabs>
          <w:tab w:val="left" w:pos="851"/>
        </w:tabs>
        <w:snapToGrid w:val="0"/>
        <w:spacing w:line="360" w:lineRule="auto"/>
        <w:jc w:val="left"/>
        <w:rPr>
          <w:rFonts w:hAnsi="宋体" w:cstheme="minorEastAsia"/>
          <w:color w:val="000000" w:themeColor="text1"/>
          <w:szCs w:val="21"/>
          <w14:textFill>
            <w14:solidFill>
              <w14:schemeClr w14:val="tx1"/>
            </w14:solidFill>
          </w14:textFill>
        </w:rPr>
      </w:pPr>
      <w:r>
        <w:rPr>
          <w:rFonts w:hint="eastAsia" w:hAnsi="宋体" w:cstheme="minorEastAsia"/>
          <w:color w:val="000000" w:themeColor="text1"/>
          <w:szCs w:val="21"/>
          <w14:textFill>
            <w14:solidFill>
              <w14:schemeClr w14:val="tx1"/>
            </w14:solidFill>
          </w14:textFill>
        </w:rPr>
        <w:t>柱洞法将整个断面开挖横向分为侧洞、有柱的柱洞和中洞共5个洞，每洞分上、中、下 3层，台阶法施工。先自上而下对称施工柱洞初期支护，再由下而上施作柱洞二次衬砌，建立起梁、柱支撑体系。柱洞完成后，施工2个柱洞中间的中洞初期支护和二次衬砌，形成整个大中洞稳定体系。再对称自上而下施工两侧洞初期支护，最后纵向分段自下而上对称施作二次衬砌，完成结构闭合。台阶法拱部初支施工应在中柱、边桩和纵横梁形成框架结构受力体系后方可进行，拱部初支完成后方可按逆筑法施工至底板。具体施工顺序见图    。柱洞法施工引起的地面沉降量较小，安全度大，但中洞开挖时受力转换复杂。地铁5号线崇文门站下穿既有线和东四站下穿东四菜市场浅埋暗挖段采用了柱洞法施工。</w:t>
      </w:r>
    </w:p>
    <w:p>
      <w:pPr>
        <w:pStyle w:val="22"/>
        <w:tabs>
          <w:tab w:val="left" w:pos="851"/>
          <w:tab w:val="left" w:pos="5835"/>
        </w:tabs>
        <w:snapToGrid w:val="0"/>
        <w:spacing w:line="360" w:lineRule="auto"/>
        <w:jc w:val="left"/>
        <w:rPr>
          <w:color w:val="000000" w:themeColor="text1"/>
          <w14:textFill>
            <w14:solidFill>
              <w14:schemeClr w14:val="tx1"/>
            </w14:solidFill>
          </w14:textFill>
        </w:rPr>
      </w:pPr>
    </w:p>
    <w:p>
      <w:pPr>
        <w:pStyle w:val="22"/>
        <w:tabs>
          <w:tab w:val="left" w:pos="851"/>
          <w:tab w:val="left" w:pos="5835"/>
        </w:tabs>
        <w:snapToGrid w:val="0"/>
        <w:spacing w:line="360" w:lineRule="auto"/>
        <w:ind w:firstLine="0" w:firstLineChars="0"/>
        <w:jc w:val="left"/>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166995" cy="3241675"/>
            <wp:effectExtent l="0" t="0" r="1905" b="9525"/>
            <wp:docPr id="3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0"/>
                    <pic:cNvPicPr>
                      <a:picLocks noChangeAspect="1"/>
                    </pic:cNvPicPr>
                  </pic:nvPicPr>
                  <pic:blipFill>
                    <a:blip r:embed="rId115"/>
                    <a:stretch>
                      <a:fillRect/>
                    </a:stretch>
                  </pic:blipFill>
                  <pic:spPr>
                    <a:xfrm>
                      <a:off x="0" y="0"/>
                      <a:ext cx="5166995" cy="3241675"/>
                    </a:xfrm>
                    <a:prstGeom prst="rect">
                      <a:avLst/>
                    </a:prstGeom>
                    <a:noFill/>
                    <a:ln>
                      <a:noFill/>
                    </a:ln>
                  </pic:spPr>
                </pic:pic>
              </a:graphicData>
            </a:graphic>
          </wp:inline>
        </w:drawing>
      </w:r>
    </w:p>
    <w:p>
      <w:pPr>
        <w:pStyle w:val="22"/>
        <w:tabs>
          <w:tab w:val="left" w:pos="851"/>
          <w:tab w:val="left" w:pos="5835"/>
        </w:tabs>
        <w:snapToGrid w:val="0"/>
        <w:spacing w:line="360" w:lineRule="auto"/>
        <w:ind w:firstLine="0" w:firstLineChars="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rFonts w:hint="eastAsia"/>
          <w:b/>
          <w:bCs/>
          <w:color w:val="000000" w:themeColor="text1"/>
          <w14:textFill>
            <w14:solidFill>
              <w14:schemeClr w14:val="tx1"/>
            </w14:solidFill>
          </w14:textFill>
        </w:rPr>
        <w:t xml:space="preserve">11.3.4  </w:t>
      </w:r>
      <w:r>
        <w:rPr>
          <w:rFonts w:hint="eastAsia"/>
          <w:color w:val="000000" w:themeColor="text1"/>
          <w14:textFill>
            <w14:solidFill>
              <w14:schemeClr w14:val="tx1"/>
            </w14:solidFill>
          </w14:textFill>
        </w:rPr>
        <w:t>多拱（或单拱多跨）单层车站柱洞法施工步序图</w:t>
      </w:r>
    </w:p>
    <w:p>
      <w:pPr>
        <w:pStyle w:val="22"/>
        <w:tabs>
          <w:tab w:val="left" w:pos="851"/>
          <w:tab w:val="left" w:pos="5835"/>
        </w:tabs>
        <w:snapToGrid w:val="0"/>
        <w:spacing w:line="360" w:lineRule="auto"/>
        <w:ind w:firstLine="0" w:firstLineChars="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2085975" cy="1181100"/>
            <wp:effectExtent l="0" t="0" r="9525" b="0"/>
            <wp:docPr id="4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8"/>
                    <pic:cNvPicPr>
                      <a:picLocks noChangeAspect="1"/>
                    </pic:cNvPicPr>
                  </pic:nvPicPr>
                  <pic:blipFill>
                    <a:blip r:embed="rId116"/>
                    <a:srcRect l="50676"/>
                    <a:stretch>
                      <a:fillRect/>
                    </a:stretch>
                  </pic:blipFill>
                  <pic:spPr>
                    <a:xfrm>
                      <a:off x="0" y="0"/>
                      <a:ext cx="2085975" cy="1181100"/>
                    </a:xfrm>
                    <a:prstGeom prst="rect">
                      <a:avLst/>
                    </a:prstGeom>
                    <a:noFill/>
                    <a:ln>
                      <a:noFill/>
                    </a:ln>
                  </pic:spPr>
                </pic:pic>
              </a:graphicData>
            </a:graphic>
          </wp:inline>
        </w:drawing>
      </w:r>
    </w:p>
    <w:p>
      <w:pPr>
        <w:pStyle w:val="21"/>
        <w:snapToGrid w:val="0"/>
        <w:spacing w:line="360" w:lineRule="auto"/>
        <w:ind w:firstLine="420" w:firstLineChars="200"/>
        <w:jc w:val="both"/>
        <w:rPr>
          <w:rFonts w:ascii="Times New Roman" w:cs="Times New Roman"/>
          <w:color w:val="000000" w:themeColor="text1"/>
          <w:kern w:val="2"/>
          <w:sz w:val="21"/>
          <w14:textFill>
            <w14:solidFill>
              <w14:schemeClr w14:val="tx1"/>
            </w14:solidFill>
          </w14:textFill>
        </w:rPr>
      </w:pPr>
      <w:r>
        <w:rPr>
          <w:rFonts w:hint="eastAsia" w:ascii="Times New Roman" w:cs="Times New Roman"/>
          <w:color w:val="000000" w:themeColor="text1"/>
          <w:kern w:val="2"/>
          <w:sz w:val="21"/>
          <w14:textFill>
            <w14:solidFill>
              <w14:schemeClr w14:val="tx1"/>
            </w14:solidFill>
          </w14:textFill>
        </w:rPr>
        <w:t>柱洞法施工遵循“小分块、短台阶、早成环”的原则。</w:t>
      </w: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r>
        <w:rPr>
          <w:rFonts w:hint="eastAsia" w:ascii="Times New Roman" w:cs="Times New Roman"/>
          <w:color w:val="000000" w:themeColor="text1"/>
          <w:kern w:val="2"/>
          <w:sz w:val="21"/>
          <w14:textFill>
            <w14:solidFill>
              <w14:schemeClr w14:val="tx1"/>
            </w14:solidFill>
          </w14:textFill>
        </w:rPr>
        <w:t>第1款强调</w:t>
      </w:r>
      <w:r>
        <w:rPr>
          <w:rFonts w:hint="eastAsia" w:hAnsi="宋体" w:cstheme="minorEastAsia"/>
          <w:color w:val="000000" w:themeColor="text1"/>
          <w:sz w:val="21"/>
          <w:szCs w:val="21"/>
          <w14:textFill>
            <w14:solidFill>
              <w14:schemeClr w14:val="tx1"/>
            </w14:solidFill>
          </w14:textFill>
        </w:rPr>
        <w:t>柱洞格栅钢架位置准确，以便于与中洞横向节点连接。</w:t>
      </w:r>
    </w:p>
    <w:p>
      <w:pPr>
        <w:pStyle w:val="21"/>
        <w:snapToGrid w:val="0"/>
        <w:spacing w:line="360" w:lineRule="auto"/>
        <w:ind w:firstLine="359" w:firstLineChars="171"/>
        <w:jc w:val="both"/>
        <w:rPr>
          <w:rFonts w:ascii="Times New Roman" w:hAnsi="宋体" w:cstheme="minorEastAsia"/>
          <w:b/>
          <w:bCs/>
          <w:color w:val="000000" w:themeColor="text1"/>
          <w:kern w:val="2"/>
          <w:sz w:val="21"/>
          <w:szCs w:val="21"/>
          <w14:textFill>
            <w14:solidFill>
              <w14:schemeClr w14:val="tx1"/>
            </w14:solidFill>
          </w14:textFill>
        </w:rPr>
      </w:pPr>
      <w:r>
        <w:rPr>
          <w:rFonts w:hint="eastAsia" w:hAnsi="宋体" w:cstheme="minorEastAsia"/>
          <w:color w:val="000000" w:themeColor="text1"/>
          <w:sz w:val="21"/>
          <w:szCs w:val="21"/>
          <w14:textFill>
            <w14:solidFill>
              <w14:schemeClr w14:val="tx1"/>
            </w14:solidFill>
          </w14:textFill>
        </w:rPr>
        <w:t>第4款柱洞施工包括初期支护和车站的梁、柱支撑体系。</w:t>
      </w:r>
    </w:p>
    <w:p>
      <w:pPr>
        <w:pStyle w:val="21"/>
        <w:snapToGrid w:val="0"/>
        <w:spacing w:line="360" w:lineRule="auto"/>
        <w:jc w:val="both"/>
        <w:rPr>
          <w:rFonts w:ascii="Times New Roman" w:hAnsi="宋体" w:cstheme="minorEastAsia"/>
          <w:color w:val="000000" w:themeColor="text1"/>
          <w:kern w:val="2"/>
          <w:sz w:val="21"/>
          <w:szCs w:val="21"/>
          <w14:textFill>
            <w14:solidFill>
              <w14:schemeClr w14:val="tx1"/>
            </w14:solidFill>
          </w14:textFill>
        </w:rPr>
      </w:pPr>
      <w:r>
        <w:rPr>
          <w:rFonts w:hint="eastAsia" w:ascii="Times New Roman" w:hAnsi="宋体" w:cstheme="minorEastAsia"/>
          <w:b/>
          <w:bCs/>
          <w:color w:val="000000" w:themeColor="text1"/>
          <w:kern w:val="2"/>
          <w:sz w:val="21"/>
          <w:szCs w:val="21"/>
          <w14:textFill>
            <w14:solidFill>
              <w14:schemeClr w14:val="tx1"/>
            </w14:solidFill>
          </w14:textFill>
        </w:rPr>
        <w:t>11.3.5</w:t>
      </w:r>
      <w:r>
        <w:rPr>
          <w:rFonts w:hint="eastAsia" w:ascii="Times New Roman" w:hAnsi="宋体" w:cstheme="minorEastAsia"/>
          <w:color w:val="000000" w:themeColor="text1"/>
          <w:kern w:val="2"/>
          <w:sz w:val="21"/>
          <w:szCs w:val="21"/>
          <w14:textFill>
            <w14:solidFill>
              <w14:schemeClr w14:val="tx1"/>
            </w14:solidFill>
          </w14:textFill>
        </w:rPr>
        <w:t xml:space="preserve"> 洞桩法（PBA法）可分为单层导洞洞桩法、双层导洞洞桩法等形式，如下图所示。PBA 法（洞桩法）是对传统的地面框架结构施工方法和暗挖法进行有机结合，将导洞技术、桩技术、拱技术及框架结构进行综合运用的一种新的地下工程施工方法。在地面上不具备施作基坑围护结构条件时，改在地下小导洞内施作围护边桩、中柱、底梁和顶梁、顶拱，共同构成桩、梁、拱支撑框架体系，承受施工过程中的外部荷载，然后在顶拱和边桩的保护下，逐层向下开挖土体，施作内部结构，最终形成由外层边桩及顶拱初期支护和内层二次衬砌组合而成的永久承载体系。北京地铁复八线的天安门西站、王府井站及地铁 10 号线的劲松站、工体北路站、呼家楼站、光华路站、国贸站和苏州街站等采用了 PBA 法施工。</w:t>
      </w: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r>
        <w:rPr>
          <w:rFonts w:hint="eastAsia" w:hAnsi="宋体" w:cstheme="minorEastAsia"/>
          <w:color w:val="000000" w:themeColor="text1"/>
          <w:sz w:val="21"/>
          <w:szCs w:val="21"/>
          <w14:textFill>
            <w14:solidFill>
              <w14:schemeClr w14:val="tx1"/>
            </w14:solidFill>
          </w14:textFill>
        </w:rPr>
        <w:t>第</w:t>
      </w:r>
      <w:r>
        <w:rPr>
          <w:rFonts w:hint="eastAsia" w:ascii="Times New Roman" w:hAnsi="宋体" w:cstheme="minorEastAsia"/>
          <w:b/>
          <w:bCs/>
          <w:color w:val="000000" w:themeColor="text1"/>
          <w:kern w:val="2"/>
          <w:sz w:val="21"/>
          <w:szCs w:val="21"/>
          <w14:textFill>
            <w14:solidFill>
              <w14:schemeClr w14:val="tx1"/>
            </w14:solidFill>
          </w14:textFill>
        </w:rPr>
        <w:t>4</w:t>
      </w:r>
      <w:r>
        <w:rPr>
          <w:rFonts w:hint="eastAsia" w:hAnsi="宋体" w:cstheme="minorEastAsia"/>
          <w:color w:val="000000" w:themeColor="text1"/>
          <w:sz w:val="21"/>
          <w:szCs w:val="21"/>
          <w14:textFill>
            <w14:solidFill>
              <w14:schemeClr w14:val="tx1"/>
            </w14:solidFill>
          </w14:textFill>
        </w:rPr>
        <w:t>款上部导洞初期支护拆除，安装临时支撑主要指安装拉（压）杆件，防止结构受力不均匀引起的变形、失稳。</w:t>
      </w: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r>
        <w:rPr>
          <w:rFonts w:hint="eastAsia" w:hAnsi="宋体" w:cstheme="minorEastAsia"/>
          <w:color w:val="000000" w:themeColor="text1"/>
          <w:sz w:val="21"/>
          <w:szCs w:val="21"/>
          <w14:textFill>
            <w14:solidFill>
              <w14:schemeClr w14:val="tx1"/>
            </w14:solidFill>
          </w14:textFill>
        </w:rPr>
        <w:t>第</w:t>
      </w:r>
      <w:r>
        <w:rPr>
          <w:rFonts w:hint="eastAsia" w:ascii="Times New Roman" w:hAnsi="宋体" w:cstheme="minorEastAsia"/>
          <w:b/>
          <w:bCs/>
          <w:color w:val="000000" w:themeColor="text1"/>
          <w:kern w:val="2"/>
          <w:sz w:val="21"/>
          <w:szCs w:val="21"/>
          <w14:textFill>
            <w14:solidFill>
              <w14:schemeClr w14:val="tx1"/>
            </w14:solidFill>
          </w14:textFill>
        </w:rPr>
        <w:t>5</w:t>
      </w:r>
      <w:r>
        <w:rPr>
          <w:rFonts w:hint="eastAsia" w:hAnsi="宋体" w:cstheme="minorEastAsia"/>
          <w:color w:val="000000" w:themeColor="text1"/>
          <w:sz w:val="21"/>
          <w:szCs w:val="21"/>
          <w14:textFill>
            <w14:solidFill>
              <w14:schemeClr w14:val="tx1"/>
            </w14:solidFill>
          </w14:textFill>
        </w:rPr>
        <w:t>款车站土方开挖、主体结构施工顺序按照逆作法或顺做法施工，均应分段施工；当中立柱受压稳定、边桩设支撑时可顺作法施工结构。</w:t>
      </w:r>
    </w:p>
    <w:p>
      <w:pPr>
        <w:pStyle w:val="21"/>
        <w:snapToGrid w:val="0"/>
        <w:spacing w:line="360" w:lineRule="auto"/>
        <w:ind w:firstLine="410" w:firstLineChars="171"/>
        <w:jc w:val="both"/>
        <w:rPr>
          <w:rFonts w:hAnsi="宋体" w:cstheme="minorEastAsia"/>
          <w:color w:val="000000" w:themeColor="text1"/>
          <w:sz w:val="21"/>
          <w:szCs w:val="2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75648" behindDoc="1" locked="0" layoutInCell="1" allowOverlap="1">
            <wp:simplePos x="0" y="0"/>
            <wp:positionH relativeFrom="column">
              <wp:posOffset>38100</wp:posOffset>
            </wp:positionH>
            <wp:positionV relativeFrom="paragraph">
              <wp:posOffset>6985</wp:posOffset>
            </wp:positionV>
            <wp:extent cx="4937125" cy="3339465"/>
            <wp:effectExtent l="0" t="0" r="3175" b="635"/>
            <wp:wrapNone/>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4937125" cy="3339465"/>
                    </a:xfrm>
                    <a:prstGeom prst="rect">
                      <a:avLst/>
                    </a:prstGeom>
                    <a:noFill/>
                    <a:ln>
                      <a:noFill/>
                    </a:ln>
                  </pic:spPr>
                </pic:pic>
              </a:graphicData>
            </a:graphic>
          </wp:anchor>
        </w:drawing>
      </w: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410" w:firstLineChars="171"/>
        <w:jc w:val="both"/>
        <w:rPr>
          <w:rFonts w:hAnsi="宋体" w:cstheme="minorEastAsia"/>
          <w:color w:val="000000" w:themeColor="text1"/>
          <w:sz w:val="21"/>
          <w:szCs w:val="2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76672" behindDoc="1" locked="0" layoutInCell="1" allowOverlap="1">
            <wp:simplePos x="0" y="0"/>
            <wp:positionH relativeFrom="column">
              <wp:posOffset>212725</wp:posOffset>
            </wp:positionH>
            <wp:positionV relativeFrom="paragraph">
              <wp:posOffset>249555</wp:posOffset>
            </wp:positionV>
            <wp:extent cx="4588510" cy="2981960"/>
            <wp:effectExtent l="0" t="0" r="8890" b="2540"/>
            <wp:wrapNone/>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a:xfrm>
                      <a:off x="0" y="0"/>
                      <a:ext cx="4588510" cy="2981960"/>
                    </a:xfrm>
                    <a:prstGeom prst="rect">
                      <a:avLst/>
                    </a:prstGeom>
                    <a:noFill/>
                    <a:ln>
                      <a:noFill/>
                    </a:ln>
                  </pic:spPr>
                </pic:pic>
              </a:graphicData>
            </a:graphic>
          </wp:anchor>
        </w:drawing>
      </w: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2"/>
        <w:tabs>
          <w:tab w:val="left" w:pos="851"/>
          <w:tab w:val="left" w:pos="5835"/>
        </w:tabs>
        <w:snapToGrid w:val="0"/>
        <w:spacing w:line="360" w:lineRule="auto"/>
        <w:ind w:left="825" w:firstLine="1680" w:firstLineChars="80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1680" w:firstLineChars="80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1680" w:firstLineChars="80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1680" w:firstLineChars="80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1680" w:firstLineChars="80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1680" w:firstLineChars="80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1680" w:firstLineChars="80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1680" w:firstLineChars="80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1680" w:firstLineChars="80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1680" w:firstLineChars="80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1680" w:firstLineChars="80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1680" w:firstLineChars="80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1680" w:firstLineChars="800"/>
        <w:jc w:val="left"/>
        <w:rPr>
          <w:color w:val="000000" w:themeColor="text1"/>
          <w14:textFill>
            <w14:solidFill>
              <w14:schemeClr w14:val="tx1"/>
            </w14:solidFill>
          </w14:textFill>
        </w:rPr>
      </w:pPr>
      <w:r>
        <w:rPr>
          <w:color w:val="000000" w:themeColor="text1"/>
          <w14:textFill>
            <w14:solidFill>
              <w14:schemeClr w14:val="tx1"/>
            </w14:solidFill>
          </w14:textFill>
        </w:rPr>
        <w:t>图</w:t>
      </w:r>
      <w:r>
        <w:rPr>
          <w:rFonts w:hint="eastAsia"/>
          <w:b/>
          <w:bCs/>
          <w:color w:val="000000" w:themeColor="text1"/>
          <w14:textFill>
            <w14:solidFill>
              <w14:schemeClr w14:val="tx1"/>
            </w14:solidFill>
          </w14:textFill>
        </w:rPr>
        <w:t xml:space="preserve">10.3.5-1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单层导洞洞桩法施工步序图</w:t>
      </w: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77696" behindDoc="1" locked="0" layoutInCell="1" allowOverlap="1">
            <wp:simplePos x="0" y="0"/>
            <wp:positionH relativeFrom="column">
              <wp:posOffset>-127000</wp:posOffset>
            </wp:positionH>
            <wp:positionV relativeFrom="paragraph">
              <wp:posOffset>76200</wp:posOffset>
            </wp:positionV>
            <wp:extent cx="5572125" cy="3848100"/>
            <wp:effectExtent l="0" t="0" r="3175" b="0"/>
            <wp:wrapNone/>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5572125" cy="3848100"/>
                    </a:xfrm>
                    <a:prstGeom prst="rect">
                      <a:avLst/>
                    </a:prstGeom>
                    <a:noFill/>
                    <a:ln>
                      <a:noFill/>
                    </a:ln>
                  </pic:spPr>
                </pic:pic>
              </a:graphicData>
            </a:graphic>
          </wp:anchor>
        </w:drawing>
      </w: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2"/>
        <w:tabs>
          <w:tab w:val="left" w:pos="851"/>
          <w:tab w:val="left" w:pos="5835"/>
        </w:tabs>
        <w:snapToGrid w:val="0"/>
        <w:spacing w:line="360" w:lineRule="auto"/>
        <w:ind w:left="825" w:firstLine="1680" w:firstLineChars="80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1680" w:firstLineChars="800"/>
        <w:jc w:val="left"/>
        <w:rPr>
          <w:color w:val="000000" w:themeColor="text1"/>
          <w14:textFill>
            <w14:solidFill>
              <w14:schemeClr w14:val="tx1"/>
            </w14:solidFill>
          </w14:textFill>
        </w:rPr>
      </w:pPr>
    </w:p>
    <w:p>
      <w:pPr>
        <w:pStyle w:val="22"/>
        <w:tabs>
          <w:tab w:val="left" w:pos="851"/>
          <w:tab w:val="left" w:pos="5835"/>
        </w:tabs>
        <w:snapToGrid w:val="0"/>
        <w:spacing w:line="360" w:lineRule="auto"/>
        <w:ind w:left="825" w:firstLine="1680" w:firstLineChars="800"/>
        <w:jc w:val="left"/>
        <w:rPr>
          <w:color w:val="000000" w:themeColor="text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678720" behindDoc="1" locked="0" layoutInCell="1" allowOverlap="1">
            <wp:simplePos x="0" y="0"/>
            <wp:positionH relativeFrom="column">
              <wp:posOffset>247650</wp:posOffset>
            </wp:positionH>
            <wp:positionV relativeFrom="paragraph">
              <wp:posOffset>74295</wp:posOffset>
            </wp:positionV>
            <wp:extent cx="5274310" cy="3235325"/>
            <wp:effectExtent l="0" t="0" r="8890" b="3175"/>
            <wp:wrapNone/>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5274310" cy="3235325"/>
                    </a:xfrm>
                    <a:prstGeom prst="rect">
                      <a:avLst/>
                    </a:prstGeom>
                    <a:noFill/>
                    <a:ln>
                      <a:noFill/>
                    </a:ln>
                  </pic:spPr>
                </pic:pic>
              </a:graphicData>
            </a:graphic>
          </wp:anchor>
        </w:drawing>
      </w: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1"/>
        <w:snapToGrid w:val="0"/>
        <w:spacing w:line="360" w:lineRule="auto"/>
        <w:ind w:firstLine="359" w:firstLineChars="171"/>
        <w:jc w:val="both"/>
        <w:rPr>
          <w:rFonts w:hAnsi="宋体" w:cstheme="minorEastAsia"/>
          <w:color w:val="000000" w:themeColor="text1"/>
          <w:sz w:val="21"/>
          <w:szCs w:val="21"/>
          <w14:textFill>
            <w14:solidFill>
              <w14:schemeClr w14:val="tx1"/>
            </w14:solidFill>
          </w14:textFill>
        </w:rPr>
      </w:pPr>
    </w:p>
    <w:p>
      <w:pPr>
        <w:pStyle w:val="22"/>
        <w:tabs>
          <w:tab w:val="left" w:pos="851"/>
          <w:tab w:val="left" w:pos="5835"/>
        </w:tabs>
        <w:snapToGrid w:val="0"/>
        <w:spacing w:line="360" w:lineRule="auto"/>
        <w:ind w:left="825" w:firstLine="1680" w:firstLineChars="800"/>
        <w:jc w:val="left"/>
        <w:rPr>
          <w:color w:val="000000" w:themeColor="text1"/>
          <w14:textFill>
            <w14:solidFill>
              <w14:schemeClr w14:val="tx1"/>
            </w14:solidFill>
          </w14:textFill>
        </w:rPr>
      </w:pPr>
      <w:r>
        <w:rPr>
          <w:color w:val="000000" w:themeColor="text1"/>
          <w14:textFill>
            <w14:solidFill>
              <w14:schemeClr w14:val="tx1"/>
            </w14:solidFill>
          </w14:textFill>
        </w:rPr>
        <w:t xml:space="preserve">图 </w:t>
      </w:r>
      <w:r>
        <w:rPr>
          <w:rFonts w:hint="eastAsia"/>
          <w:b/>
          <w:bCs/>
          <w:color w:val="000000" w:themeColor="text1"/>
          <w14:textFill>
            <w14:solidFill>
              <w14:schemeClr w14:val="tx1"/>
            </w14:solidFill>
          </w14:textFill>
        </w:rPr>
        <w:t xml:space="preserve">11.3.5-2 </w:t>
      </w:r>
      <w:r>
        <w:rPr>
          <w:color w:val="000000" w:themeColor="text1"/>
          <w14:textFill>
            <w14:solidFill>
              <w14:schemeClr w14:val="tx1"/>
            </w14:solidFill>
          </w14:textFill>
        </w:rPr>
        <w:t xml:space="preserve"> </w:t>
      </w:r>
      <w:r>
        <w:rPr>
          <w:rFonts w:hint="eastAsia"/>
          <w:color w:val="000000" w:themeColor="text1"/>
          <w14:textFill>
            <w14:solidFill>
              <w14:schemeClr w14:val="tx1"/>
            </w14:solidFill>
          </w14:textFill>
        </w:rPr>
        <w:t>双层导洞洞桩法施工步序图</w:t>
      </w:r>
    </w:p>
    <w:p>
      <w:pPr>
        <w:pStyle w:val="21"/>
        <w:snapToGrid w:val="0"/>
        <w:spacing w:line="360" w:lineRule="auto"/>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11.3.6  </w:t>
      </w:r>
      <w:r>
        <w:rPr>
          <w:rFonts w:hint="eastAsia" w:ascii="Times New Roman" w:hAnsi="宋体" w:cs="Times New Roman"/>
          <w:color w:val="000000" w:themeColor="text1"/>
          <w:kern w:val="2"/>
          <w:sz w:val="21"/>
          <w:szCs w:val="21"/>
          <w14:textFill>
            <w14:solidFill>
              <w14:schemeClr w14:val="tx1"/>
            </w14:solidFill>
          </w14:textFill>
        </w:rPr>
        <w:t>盾构隧道扩挖修建地铁车站主要适用于地面拆迁不到位的条件，先在地下采用大盾构贯通，以盾构隧道为依托，采用PBA工法暗挖原理和方法修建车站，可以实现地铁线路的按期贯通，便于线路运行。</w:t>
      </w:r>
    </w:p>
    <w:p>
      <w:pPr>
        <w:pStyle w:val="22"/>
        <w:tabs>
          <w:tab w:val="left" w:pos="851"/>
          <w:tab w:val="left" w:pos="5835"/>
        </w:tabs>
        <w:snapToGrid w:val="0"/>
        <w:spacing w:line="360" w:lineRule="auto"/>
        <w:jc w:val="left"/>
        <w:rPr>
          <w:rFonts w:hAnsi="宋体"/>
          <w:color w:val="000000" w:themeColor="text1"/>
          <w:szCs w:val="21"/>
          <w14:textFill>
            <w14:solidFill>
              <w14:schemeClr w14:val="tx1"/>
            </w14:solidFill>
          </w14:textFill>
        </w:rPr>
      </w:pPr>
    </w:p>
    <w:p>
      <w:pPr>
        <w:spacing w:line="360" w:lineRule="auto"/>
        <w:ind w:firstLine="420" w:firstLineChars="200"/>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第3款本条所述中间洞室是指两侧导洞与盾构之间的部位，是扣拱需开挖的部分。</w:t>
      </w:r>
    </w:p>
    <w:p>
      <w:pPr>
        <w:spacing w:line="360" w:lineRule="auto"/>
        <w:ind w:firstLine="420" w:firstLineChars="200"/>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第4款盾构隧道内架设支撑主要是为了避免管片周边土体约束解除造成的隧道变形。</w:t>
      </w:r>
    </w:p>
    <w:p>
      <w:pPr>
        <w:pStyle w:val="2"/>
        <w:spacing w:before="0" w:after="0" w:line="360" w:lineRule="auto"/>
        <w:ind w:firstLine="420" w:firstLineChars="200"/>
        <w:rPr>
          <w:rFonts w:hAnsi="宋体"/>
          <w:b w:val="0"/>
          <w:color w:val="000000" w:themeColor="text1"/>
          <w:kern w:val="2"/>
          <w:sz w:val="21"/>
          <w:szCs w:val="21"/>
          <w14:textFill>
            <w14:solidFill>
              <w14:schemeClr w14:val="tx1"/>
            </w14:solidFill>
          </w14:textFill>
        </w:rPr>
      </w:pPr>
      <w:bookmarkStart w:id="589" w:name="_Toc10604"/>
      <w:r>
        <w:rPr>
          <w:rFonts w:hint="eastAsia" w:hAnsi="宋体"/>
          <w:b w:val="0"/>
          <w:color w:val="000000" w:themeColor="text1"/>
          <w:kern w:val="2"/>
          <w:sz w:val="21"/>
          <w:szCs w:val="21"/>
          <w14:textFill>
            <w14:solidFill>
              <w14:schemeClr w14:val="tx1"/>
            </w14:solidFill>
          </w14:textFill>
        </w:rPr>
        <w:t>第7款宜深孔注浆加固主要是为了提高初衬扣拱与盾构钢管片连接处节点土体的稳定性，保证节点开挖、焊接过程中土体不坍塌，为焊接作业提供充足的土体自稳时间和作业条件。</w:t>
      </w:r>
      <w:bookmarkEnd w:id="589"/>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90" w:name="_Toc5043"/>
      <w:r>
        <w:rPr>
          <w:rFonts w:hint="eastAsia" w:hAnsi="宋体"/>
          <w:b/>
          <w:color w:val="000000" w:themeColor="text1"/>
          <w:sz w:val="24"/>
          <w14:textFill>
            <w14:solidFill>
              <w14:schemeClr w14:val="tx1"/>
            </w14:solidFill>
          </w14:textFill>
        </w:rPr>
        <w:t>11.4  附属结构开挖</w:t>
      </w:r>
      <w:bookmarkEnd w:id="590"/>
    </w:p>
    <w:p>
      <w:pPr>
        <w:pStyle w:val="21"/>
        <w:tabs>
          <w:tab w:val="left" w:pos="1064"/>
        </w:tabs>
        <w:snapToGrid w:val="0"/>
        <w:spacing w:line="360" w:lineRule="auto"/>
        <w:jc w:val="both"/>
        <w:rPr>
          <w:rFonts w:hAnsi="宋体"/>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11.4.9 </w:t>
      </w:r>
      <w:r>
        <w:rPr>
          <w:rFonts w:hint="eastAsia" w:ascii="Times New Roman" w:hAnsi="宋体" w:cs="Times New Roman"/>
          <w:color w:val="000000" w:themeColor="text1"/>
          <w:kern w:val="2"/>
          <w:sz w:val="21"/>
          <w:szCs w:val="21"/>
          <w14:textFill>
            <w14:solidFill>
              <w14:schemeClr w14:val="tx1"/>
            </w14:solidFill>
          </w14:textFill>
        </w:rPr>
        <w:t>施工段仰挖角度一般为26</w:t>
      </w:r>
      <w:r>
        <w:rPr>
          <w:rFonts w:hint="eastAsia" w:hAnsi="宋体"/>
          <w:color w:val="000000" w:themeColor="text1"/>
          <w:kern w:val="2"/>
          <w:sz w:val="21"/>
          <w:szCs w:val="21"/>
          <w14:textFill>
            <w14:solidFill>
              <w14:schemeClr w14:val="tx1"/>
            </w14:solidFill>
          </w14:textFill>
        </w:rPr>
        <w:t>°</w:t>
      </w:r>
      <w:r>
        <w:rPr>
          <w:rFonts w:hint="eastAsia" w:ascii="Times New Roman" w:hAnsi="宋体" w:cs="Times New Roman"/>
          <w:color w:val="000000" w:themeColor="text1"/>
          <w:kern w:val="2"/>
          <w:sz w:val="21"/>
          <w:szCs w:val="21"/>
          <w14:textFill>
            <w14:solidFill>
              <w14:schemeClr w14:val="tx1"/>
            </w14:solidFill>
          </w14:textFill>
        </w:rPr>
        <w:t>～30°</w:t>
      </w:r>
      <w:r>
        <w:rPr>
          <w:rFonts w:hint="eastAsia" w:hAnsi="宋体"/>
          <w:color w:val="000000" w:themeColor="text1"/>
          <w:kern w:val="2"/>
          <w:sz w:val="21"/>
          <w:szCs w:val="21"/>
          <w14:textFill>
            <w14:solidFill>
              <w14:schemeClr w14:val="tx1"/>
            </w14:solidFill>
          </w14:textFill>
        </w:rPr>
        <w:t>，采取仰挖施工的主要原因有：1)换乘车站施工时，新建车站与既有车站间修建换乘通道，新建车站标高比既有车站低，既有车站在运营中无法提供开口施工的条件，且地面无新增竖井的条件；因此，只能从新建车站向既有车站仰挖施工换乘通道。2)新建出入口地面征地困难，无法及时提供作业面进行暗挖通道施工，从车站提供作业面向外施 工时，即面临仰挖施工。</w:t>
      </w:r>
    </w:p>
    <w:p>
      <w:pPr>
        <w:pStyle w:val="21"/>
        <w:tabs>
          <w:tab w:val="left" w:pos="1064"/>
        </w:tabs>
        <w:snapToGrid w:val="0"/>
        <w:spacing w:line="360" w:lineRule="auto"/>
        <w:ind w:firstLine="420" w:firstLineChars="200"/>
        <w:jc w:val="both"/>
        <w:rPr>
          <w:rFonts w:hAnsi="宋体"/>
          <w:color w:val="000000" w:themeColor="text1"/>
          <w:kern w:val="2"/>
          <w:sz w:val="21"/>
          <w:szCs w:val="21"/>
          <w14:textFill>
            <w14:solidFill>
              <w14:schemeClr w14:val="tx1"/>
            </w14:solidFill>
          </w14:textFill>
        </w:rPr>
      </w:pPr>
      <w:r>
        <w:rPr>
          <w:rFonts w:hint="eastAsia" w:hAnsi="宋体"/>
          <w:color w:val="000000" w:themeColor="text1"/>
          <w:kern w:val="2"/>
          <w:sz w:val="21"/>
          <w:szCs w:val="21"/>
          <w14:textFill>
            <w14:solidFill>
              <w14:schemeClr w14:val="tx1"/>
            </w14:solidFill>
          </w14:textFill>
        </w:rPr>
        <w:t>与明挖及俯挖施工相比，仰挖施工存在的主要安全风险有：1)施工段所处地层 (杂填土类 )稳定性差，土体容易因失稳而塌方，尤其是拱顶上方及两侧边墙易失稳坍塌；2)施工段仰角一般为</w:t>
      </w:r>
      <w:r>
        <w:rPr>
          <w:rFonts w:hint="eastAsia" w:ascii="Times New Roman" w:hAnsi="宋体" w:cs="Times New Roman"/>
          <w:color w:val="000000" w:themeColor="text1"/>
          <w:kern w:val="2"/>
          <w:sz w:val="21"/>
          <w:szCs w:val="21"/>
          <w14:textFill>
            <w14:solidFill>
              <w14:schemeClr w14:val="tx1"/>
            </w14:solidFill>
          </w14:textFill>
        </w:rPr>
        <w:t>26</w:t>
      </w:r>
      <w:r>
        <w:rPr>
          <w:rFonts w:hint="eastAsia" w:hAnsi="宋体"/>
          <w:color w:val="000000" w:themeColor="text1"/>
          <w:kern w:val="2"/>
          <w:sz w:val="21"/>
          <w:szCs w:val="21"/>
          <w14:textFill>
            <w14:solidFill>
              <w14:schemeClr w14:val="tx1"/>
            </w14:solidFill>
          </w14:textFill>
        </w:rPr>
        <w:t>°</w:t>
      </w:r>
      <w:r>
        <w:rPr>
          <w:rFonts w:hint="eastAsia" w:ascii="Times New Roman" w:hAnsi="宋体" w:cs="Times New Roman"/>
          <w:color w:val="000000" w:themeColor="text1"/>
          <w:kern w:val="2"/>
          <w:sz w:val="21"/>
          <w:szCs w:val="21"/>
          <w14:textFill>
            <w14:solidFill>
              <w14:schemeClr w14:val="tx1"/>
            </w14:solidFill>
          </w14:textFill>
        </w:rPr>
        <w:t>～30°挑高高度基本都在4m～11 m</w:t>
      </w:r>
      <w:r>
        <w:rPr>
          <w:rFonts w:hint="eastAsia" w:hAnsi="宋体"/>
          <w:color w:val="000000" w:themeColor="text1"/>
          <w:kern w:val="2"/>
          <w:sz w:val="21"/>
          <w:szCs w:val="21"/>
          <w14:textFill>
            <w14:solidFill>
              <w14:schemeClr w14:val="tx1"/>
            </w14:solidFill>
          </w14:textFill>
        </w:rPr>
        <w:t>，人员上下及拱架格栅等初期支护材料运输比较困难，若防护和安全措施不到位，易引起人员和材料的滑落，造成不必要的伤害；3)由于存在仰角，施工通风不畅，且掌子面聚集热空气，作业环境易造成施工人员不适，引发安全事故，如长期处于该环境下，则容易引发职业病。</w:t>
      </w:r>
    </w:p>
    <w:p>
      <w:pPr>
        <w:pStyle w:val="21"/>
        <w:tabs>
          <w:tab w:val="left" w:pos="1064"/>
        </w:tabs>
        <w:snapToGrid w:val="0"/>
        <w:spacing w:line="360" w:lineRule="auto"/>
        <w:ind w:firstLine="420" w:firstLineChars="200"/>
        <w:jc w:val="both"/>
        <w:rPr>
          <w:rFonts w:hAnsi="宋体"/>
          <w:color w:val="000000" w:themeColor="text1"/>
          <w:kern w:val="2"/>
          <w:sz w:val="21"/>
          <w:szCs w:val="21"/>
          <w14:textFill>
            <w14:solidFill>
              <w14:schemeClr w14:val="tx1"/>
            </w14:solidFill>
          </w14:textFill>
        </w:rPr>
      </w:pPr>
      <w:r>
        <w:rPr>
          <w:rFonts w:hint="eastAsia" w:hAnsi="宋体"/>
          <w:color w:val="000000" w:themeColor="text1"/>
          <w:kern w:val="2"/>
          <w:sz w:val="21"/>
          <w:szCs w:val="21"/>
          <w14:textFill>
            <w14:solidFill>
              <w14:schemeClr w14:val="tx1"/>
            </w14:solidFill>
          </w14:textFill>
        </w:rPr>
        <w:t>仰挖施工过程中由于从下向上施工，坡度较大，造成初期支护格栅钢架运输及架设时操作困难，人员上下及掌子面就位困难，掌子面核心土不易留设，且热空气向上方汇集后不易排出，掌子面温度较高等，这些问题如不解决，则无法安全地进行仰挖施工。为解决坡度较大而造成的人员上下及运输困难问题，在已经施工完毕的地段设置人行台阶，以利于人员上下及物资运输。在掌子面附近安装小型作业平台，解决人员就位问题。采取全断面注浆加固地层，可适当缩小掌子面核心土，洞内增设风机，加大通风力度，降低掌子面温度。</w:t>
      </w:r>
    </w:p>
    <w:p>
      <w:pPr>
        <w:pStyle w:val="21"/>
        <w:tabs>
          <w:tab w:val="left" w:pos="1064"/>
        </w:tabs>
        <w:snapToGrid w:val="0"/>
        <w:spacing w:line="360" w:lineRule="auto"/>
        <w:ind w:firstLine="420" w:firstLineChars="200"/>
        <w:jc w:val="both"/>
        <w:rPr>
          <w:rFonts w:hAnsi="宋体"/>
          <w:color w:val="000000" w:themeColor="text1"/>
          <w:kern w:val="2"/>
          <w:sz w:val="21"/>
          <w:szCs w:val="21"/>
          <w14:textFill>
            <w14:solidFill>
              <w14:schemeClr w14:val="tx1"/>
            </w14:solidFill>
          </w14:textFill>
        </w:rPr>
      </w:pPr>
      <w:r>
        <w:rPr>
          <w:rFonts w:hint="eastAsia" w:hAnsi="宋体"/>
          <w:color w:val="000000" w:themeColor="text1"/>
          <w:kern w:val="2"/>
          <w:sz w:val="21"/>
          <w:szCs w:val="21"/>
          <w14:textFill>
            <w14:solidFill>
              <w14:schemeClr w14:val="tx1"/>
            </w14:solidFill>
          </w14:textFill>
        </w:rPr>
        <w:t>注浆效果主要指土体加固后的稳定性和止水性两个方面，一般由监理单位组织各方进行验收。</w:t>
      </w:r>
    </w:p>
    <w:p>
      <w:pPr>
        <w:pStyle w:val="21"/>
        <w:tabs>
          <w:tab w:val="left" w:pos="1064"/>
        </w:tabs>
        <w:snapToGrid w:val="0"/>
        <w:spacing w:line="360" w:lineRule="auto"/>
        <w:ind w:firstLine="480" w:firstLineChars="200"/>
        <w:jc w:val="cente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3258820" cy="1447800"/>
            <wp:effectExtent l="0" t="0" r="5080" b="0"/>
            <wp:docPr id="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4"/>
                    <pic:cNvPicPr>
                      <a:picLocks noChangeAspect="1"/>
                    </pic:cNvPicPr>
                  </pic:nvPicPr>
                  <pic:blipFill>
                    <a:blip r:embed="rId121"/>
                    <a:srcRect l="7594" t="41664" r="49387" b="44326"/>
                    <a:stretch>
                      <a:fillRect/>
                    </a:stretch>
                  </pic:blipFill>
                  <pic:spPr>
                    <a:xfrm>
                      <a:off x="0" y="0"/>
                      <a:ext cx="3258820" cy="1447800"/>
                    </a:xfrm>
                    <a:prstGeom prst="rect">
                      <a:avLst/>
                    </a:prstGeom>
                    <a:noFill/>
                    <a:ln>
                      <a:noFill/>
                    </a:ln>
                  </pic:spPr>
                </pic:pic>
              </a:graphicData>
            </a:graphic>
          </wp:inline>
        </w:drawing>
      </w:r>
    </w:p>
    <w:p>
      <w:pPr>
        <w:pStyle w:val="21"/>
        <w:tabs>
          <w:tab w:val="left" w:pos="1064"/>
        </w:tabs>
        <w:snapToGrid w:val="0"/>
        <w:spacing w:line="360" w:lineRule="auto"/>
        <w:ind w:firstLine="480" w:firstLineChars="20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rFonts w:hint="eastAsia" w:ascii="Times New Roman" w:hAnsi="宋体" w:cs="Times New Roman"/>
          <w:b/>
          <w:bCs/>
          <w:color w:val="000000" w:themeColor="text1"/>
          <w:kern w:val="2"/>
          <w:sz w:val="21"/>
          <w:szCs w:val="21"/>
          <w14:textFill>
            <w14:solidFill>
              <w14:schemeClr w14:val="tx1"/>
            </w14:solidFill>
          </w14:textFill>
        </w:rPr>
        <w:t>11.4.9 -1  仰挖施工示意图</w:t>
      </w:r>
    </w:p>
    <w:p>
      <w:pPr>
        <w:pStyle w:val="21"/>
        <w:tabs>
          <w:tab w:val="left" w:pos="1064"/>
        </w:tabs>
        <w:snapToGrid w:val="0"/>
        <w:spacing w:line="360" w:lineRule="auto"/>
        <w:ind w:firstLine="480" w:firstLineChars="200"/>
        <w:jc w:val="center"/>
        <w:rPr>
          <w:rFonts w:hAnsi="宋体"/>
          <w:color w:val="000000" w:themeColor="text1"/>
          <w:kern w:val="2"/>
          <w:sz w:val="21"/>
          <w:szCs w:val="21"/>
          <w14:textFill>
            <w14:solidFill>
              <w14:schemeClr w14:val="tx1"/>
            </w14:solidFill>
          </w14:textFill>
        </w:rPr>
      </w:pPr>
      <w:r>
        <w:rPr>
          <w:color w:val="000000" w:themeColor="text1"/>
          <w14:textFill>
            <w14:solidFill>
              <w14:schemeClr w14:val="tx1"/>
            </w14:solidFill>
          </w14:textFill>
        </w:rPr>
        <w:drawing>
          <wp:inline distT="0" distB="0" distL="114300" distR="114300">
            <wp:extent cx="2584450" cy="2033905"/>
            <wp:effectExtent l="0" t="0" r="6350" b="10795"/>
            <wp:docPr id="4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3"/>
                    <pic:cNvPicPr>
                      <a:picLocks noChangeAspect="1"/>
                    </pic:cNvPicPr>
                  </pic:nvPicPr>
                  <pic:blipFill>
                    <a:blip r:embed="rId121"/>
                    <a:srcRect l="8441" t="59394" r="49399" b="16289"/>
                    <a:stretch>
                      <a:fillRect/>
                    </a:stretch>
                  </pic:blipFill>
                  <pic:spPr>
                    <a:xfrm>
                      <a:off x="0" y="0"/>
                      <a:ext cx="2584450" cy="2033905"/>
                    </a:xfrm>
                    <a:prstGeom prst="rect">
                      <a:avLst/>
                    </a:prstGeom>
                    <a:noFill/>
                    <a:ln>
                      <a:noFill/>
                    </a:ln>
                  </pic:spPr>
                </pic:pic>
              </a:graphicData>
            </a:graphic>
          </wp:inline>
        </w:drawing>
      </w:r>
    </w:p>
    <w:p>
      <w:pPr>
        <w:pStyle w:val="21"/>
        <w:tabs>
          <w:tab w:val="left" w:pos="1064"/>
        </w:tabs>
        <w:snapToGrid w:val="0"/>
        <w:spacing w:line="360" w:lineRule="auto"/>
        <w:ind w:firstLine="480" w:firstLineChars="200"/>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rFonts w:hint="eastAsia" w:ascii="Times New Roman" w:hAnsi="宋体" w:cs="Times New Roman"/>
          <w:b/>
          <w:bCs/>
          <w:color w:val="000000" w:themeColor="text1"/>
          <w:kern w:val="2"/>
          <w:sz w:val="21"/>
          <w:szCs w:val="21"/>
          <w14:textFill>
            <w14:solidFill>
              <w14:schemeClr w14:val="tx1"/>
            </w14:solidFill>
          </w14:textFill>
        </w:rPr>
        <w:t>11.4.9 -2  仰挖段超前深孔注浆范围及开挖步序示意图</w:t>
      </w:r>
    </w:p>
    <w:p>
      <w:pPr>
        <w:adjustRightInd w:val="0"/>
        <w:snapToGrid w:val="0"/>
        <w:spacing w:before="312" w:beforeLines="100" w:after="312" w:afterLines="100"/>
        <w:jc w:val="center"/>
        <w:outlineLvl w:val="1"/>
        <w:rPr>
          <w:color w:val="000000" w:themeColor="text1"/>
          <w14:textFill>
            <w14:solidFill>
              <w14:schemeClr w14:val="tx1"/>
            </w14:solidFill>
          </w14:textFill>
        </w:rPr>
      </w:pPr>
      <w:bookmarkStart w:id="591" w:name="_Toc26425"/>
      <w:r>
        <w:rPr>
          <w:color w:val="000000" w:themeColor="text1"/>
          <w14:textFill>
            <w14:solidFill>
              <w14:schemeClr w14:val="tx1"/>
            </w14:solidFill>
          </w14:textFill>
        </w:rPr>
        <w:drawing>
          <wp:inline distT="0" distB="0" distL="114300" distR="114300">
            <wp:extent cx="2497455" cy="3044825"/>
            <wp:effectExtent l="0" t="0" r="4445" b="3175"/>
            <wp:docPr id="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2"/>
                    <pic:cNvPicPr>
                      <a:picLocks noChangeAspect="1"/>
                    </pic:cNvPicPr>
                  </pic:nvPicPr>
                  <pic:blipFill>
                    <a:blip r:embed="rId122"/>
                    <a:srcRect l="9130" t="17526" r="54216" b="49684"/>
                    <a:stretch>
                      <a:fillRect/>
                    </a:stretch>
                  </pic:blipFill>
                  <pic:spPr>
                    <a:xfrm>
                      <a:off x="0" y="0"/>
                      <a:ext cx="2497455" cy="3044825"/>
                    </a:xfrm>
                    <a:prstGeom prst="rect">
                      <a:avLst/>
                    </a:prstGeom>
                    <a:noFill/>
                    <a:ln>
                      <a:noFill/>
                    </a:ln>
                  </pic:spPr>
                </pic:pic>
              </a:graphicData>
            </a:graphic>
          </wp:inline>
        </w:drawing>
      </w:r>
    </w:p>
    <w:p>
      <w:pPr>
        <w:adjustRightInd w:val="0"/>
        <w:snapToGrid w:val="0"/>
        <w:spacing w:before="312" w:beforeLines="100" w:after="312" w:afterLines="100"/>
        <w:jc w:val="center"/>
        <w:outlineLvl w:val="1"/>
        <w:rPr>
          <w:color w:val="000000" w:themeColor="text1"/>
          <w14:textFill>
            <w14:solidFill>
              <w14:schemeClr w14:val="tx1"/>
            </w14:solidFill>
          </w14:textFill>
        </w:rPr>
      </w:pPr>
      <w:r>
        <w:rPr>
          <w:rFonts w:hint="eastAsia"/>
          <w:color w:val="000000" w:themeColor="text1"/>
          <w14:textFill>
            <w14:solidFill>
              <w14:schemeClr w14:val="tx1"/>
            </w14:solidFill>
          </w14:textFill>
        </w:rPr>
        <w:t>图</w:t>
      </w:r>
      <w:r>
        <w:rPr>
          <w:rFonts w:hint="eastAsia" w:hAnsi="宋体"/>
          <w:b/>
          <w:bCs/>
          <w:color w:val="000000" w:themeColor="text1"/>
          <w:szCs w:val="21"/>
          <w14:textFill>
            <w14:solidFill>
              <w14:schemeClr w14:val="tx1"/>
            </w14:solidFill>
          </w14:textFill>
        </w:rPr>
        <w:t>11.4.9 -2  “之”字形纵向连接筋示意图</w:t>
      </w:r>
      <w:bookmarkEnd w:id="591"/>
    </w:p>
    <w:p>
      <w:pPr>
        <w:pStyle w:val="21"/>
        <w:tabs>
          <w:tab w:val="left" w:pos="1064"/>
        </w:tabs>
        <w:snapToGrid w:val="0"/>
        <w:spacing w:line="360" w:lineRule="auto"/>
        <w:jc w:val="both"/>
        <w:rPr>
          <w:rFonts w:hAnsi="宋体"/>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11.4.10 </w:t>
      </w:r>
      <w:r>
        <w:rPr>
          <w:rFonts w:hint="eastAsia" w:hAnsi="宋体"/>
          <w:color w:val="000000" w:themeColor="text1"/>
          <w:kern w:val="2"/>
          <w:sz w:val="21"/>
          <w:szCs w:val="21"/>
          <w14:textFill>
            <w14:solidFill>
              <w14:schemeClr w14:val="tx1"/>
            </w14:solidFill>
          </w14:textFill>
        </w:rPr>
        <w:t>针对地质条件、周边管线复杂的城市暗挖地铁车站，出入口采用俯挖(向下开挖)更能确保施工安全，降低施工风险，但大坡率出入口通道采用俯挖施工渣土运输困难，一般采用可调式传送带，可有效解决地铁车站出入口俯挖施工组织困难问题。</w:t>
      </w:r>
    </w:p>
    <w:p>
      <w:pPr>
        <w:pStyle w:val="21"/>
        <w:tabs>
          <w:tab w:val="left" w:pos="1064"/>
        </w:tabs>
        <w:snapToGrid w:val="0"/>
        <w:spacing w:line="360" w:lineRule="auto"/>
        <w:ind w:firstLine="480" w:firstLineChars="200"/>
        <w:jc w:val="both"/>
        <w:rPr>
          <w:color w:val="000000" w:themeColor="text1"/>
          <w14:textFill>
            <w14:solidFill>
              <w14:schemeClr w14:val="tx1"/>
            </w14:solidFill>
          </w14:textFill>
        </w:rPr>
      </w:pPr>
    </w:p>
    <w:p>
      <w:pPr>
        <w:pStyle w:val="21"/>
        <w:tabs>
          <w:tab w:val="left" w:pos="1064"/>
        </w:tabs>
        <w:snapToGrid w:val="0"/>
        <w:spacing w:line="360" w:lineRule="auto"/>
        <w:ind w:firstLine="480" w:firstLineChars="200"/>
        <w:jc w:val="center"/>
        <w:rPr>
          <w:rFonts w:hAnsi="宋体"/>
          <w:color w:val="000000" w:themeColor="text1"/>
          <w:kern w:val="2"/>
          <w:sz w:val="21"/>
          <w:szCs w:val="21"/>
          <w14:textFill>
            <w14:solidFill>
              <w14:schemeClr w14:val="tx1"/>
            </w14:solidFill>
          </w14:textFill>
        </w:rPr>
      </w:pPr>
      <w:r>
        <w:rPr>
          <w:color w:val="000000" w:themeColor="text1"/>
          <w14:textFill>
            <w14:solidFill>
              <w14:schemeClr w14:val="tx1"/>
            </w14:solidFill>
          </w14:textFill>
        </w:rPr>
        <w:drawing>
          <wp:inline distT="0" distB="0" distL="114300" distR="114300">
            <wp:extent cx="4742180" cy="3397250"/>
            <wp:effectExtent l="0" t="0" r="7620" b="6350"/>
            <wp:docPr id="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2"/>
                    <pic:cNvPicPr>
                      <a:picLocks noChangeAspect="1"/>
                    </pic:cNvPicPr>
                  </pic:nvPicPr>
                  <pic:blipFill>
                    <a:blip r:embed="rId123"/>
                    <a:srcRect l="2643" t="5585" r="7218" b="753"/>
                    <a:stretch>
                      <a:fillRect/>
                    </a:stretch>
                  </pic:blipFill>
                  <pic:spPr>
                    <a:xfrm flipV="1">
                      <a:off x="0" y="0"/>
                      <a:ext cx="4742180" cy="3397250"/>
                    </a:xfrm>
                    <a:prstGeom prst="rect">
                      <a:avLst/>
                    </a:prstGeom>
                    <a:noFill/>
                    <a:ln>
                      <a:noFill/>
                    </a:ln>
                  </pic:spPr>
                </pic:pic>
              </a:graphicData>
            </a:graphic>
          </wp:inline>
        </w:drawing>
      </w:r>
    </w:p>
    <w:p>
      <w:pPr>
        <w:pStyle w:val="21"/>
        <w:tabs>
          <w:tab w:val="left" w:pos="1064"/>
        </w:tabs>
        <w:snapToGrid w:val="0"/>
        <w:spacing w:line="360" w:lineRule="auto"/>
        <w:ind w:firstLine="480" w:firstLineChars="200"/>
        <w:jc w:val="center"/>
        <w:rPr>
          <w:rFonts w:hAnsi="宋体"/>
          <w:color w:val="000000" w:themeColor="text1"/>
          <w:kern w:val="2"/>
          <w:sz w:val="21"/>
          <w:szCs w:val="21"/>
          <w14:textFill>
            <w14:solidFill>
              <w14:schemeClr w14:val="tx1"/>
            </w14:solidFill>
          </w14:textFill>
        </w:rPr>
      </w:pPr>
      <w:r>
        <w:rPr>
          <w:rFonts w:hint="eastAsia"/>
          <w:color w:val="000000" w:themeColor="text1"/>
          <w14:textFill>
            <w14:solidFill>
              <w14:schemeClr w14:val="tx1"/>
            </w14:solidFill>
          </w14:textFill>
        </w:rPr>
        <w:t>图</w:t>
      </w:r>
      <w:r>
        <w:rPr>
          <w:rFonts w:hint="eastAsia" w:ascii="Times New Roman" w:hAnsi="宋体" w:cs="Times New Roman"/>
          <w:b/>
          <w:bCs/>
          <w:color w:val="000000" w:themeColor="text1"/>
          <w:kern w:val="2"/>
          <w:sz w:val="21"/>
          <w:szCs w:val="21"/>
          <w14:textFill>
            <w14:solidFill>
              <w14:schemeClr w14:val="tx1"/>
            </w14:solidFill>
          </w14:textFill>
        </w:rPr>
        <w:t xml:space="preserve">11.4.10  </w:t>
      </w:r>
      <w:r>
        <w:rPr>
          <w:rFonts w:hint="eastAsia" w:hAnsi="宋体" w:cs="Times New Roman"/>
          <w:b/>
          <w:bCs/>
          <w:color w:val="000000" w:themeColor="text1"/>
          <w:kern w:val="2"/>
          <w:sz w:val="21"/>
          <w:szCs w:val="21"/>
          <w14:textFill>
            <w14:solidFill>
              <w14:schemeClr w14:val="tx1"/>
            </w14:solidFill>
          </w14:textFill>
        </w:rPr>
        <w:t>俯挖传送带示意图</w:t>
      </w:r>
    </w:p>
    <w:p>
      <w:pPr>
        <w:pageBreakBefore/>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592" w:name="_Toc4876"/>
      <w:r>
        <w:rPr>
          <w:rFonts w:hint="eastAsia"/>
          <w:b/>
          <w:color w:val="000000" w:themeColor="text1"/>
          <w:sz w:val="28"/>
          <w:szCs w:val="28"/>
          <w14:textFill>
            <w14:solidFill>
              <w14:schemeClr w14:val="tx1"/>
            </w14:solidFill>
          </w14:textFill>
        </w:rPr>
        <w:t>12  隧道初期支护</w:t>
      </w:r>
      <w:bookmarkEnd w:id="592"/>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93" w:name="_Toc17423"/>
      <w:r>
        <w:rPr>
          <w:rFonts w:hint="eastAsia" w:hAnsi="宋体"/>
          <w:b/>
          <w:color w:val="000000" w:themeColor="text1"/>
          <w:sz w:val="24"/>
          <w14:textFill>
            <w14:solidFill>
              <w14:schemeClr w14:val="tx1"/>
            </w14:solidFill>
          </w14:textFill>
        </w:rPr>
        <w:t>12.1  一般规定</w:t>
      </w:r>
      <w:bookmarkEnd w:id="593"/>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12.1.1</w:t>
      </w:r>
      <w:r>
        <w:rPr>
          <w:rFonts w:hint="eastAsia" w:hAnsi="宋体"/>
          <w:color w:val="000000" w:themeColor="text1"/>
          <w:szCs w:val="21"/>
          <w14:textFill>
            <w14:solidFill>
              <w14:schemeClr w14:val="tx1"/>
            </w14:solidFill>
          </w14:textFill>
        </w:rPr>
        <w:t xml:space="preserve"> 初期支护应在隧道开挖后及时进行施作，确保施工安全。</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12.1.5 </w:t>
      </w:r>
      <w:r>
        <w:rPr>
          <w:rFonts w:hint="eastAsia" w:hAnsi="宋体"/>
          <w:color w:val="000000" w:themeColor="text1"/>
          <w:szCs w:val="21"/>
          <w14:textFill>
            <w14:solidFill>
              <w14:schemeClr w14:val="tx1"/>
            </w14:solidFill>
          </w14:textFill>
        </w:rPr>
        <w:t>施工单位应加强施工监测，尤其是对隧道初期支护的监测与巡查，以保证施工安全。隧道近接重要建（构）筑物施工时，在施工单位进行监测的同时，应由建设单位委托第三方监测，以保证结果公正、有效。</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12.1.7 </w:t>
      </w:r>
      <w:r>
        <w:rPr>
          <w:rFonts w:hint="eastAsia" w:hAnsi="宋体"/>
          <w:color w:val="000000" w:themeColor="text1"/>
          <w:szCs w:val="21"/>
          <w14:textFill>
            <w14:solidFill>
              <w14:schemeClr w14:val="tx1"/>
            </w14:solidFill>
          </w14:textFill>
        </w:rPr>
        <w:t>转弯、折点处的格栅钢架在曲线内外间距有所差别，需要计算、绘制格栅钢架排列图，以指导格栅钢架安装。</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94" w:name="_Toc23679"/>
      <w:r>
        <w:rPr>
          <w:rFonts w:hint="eastAsia" w:hAnsi="宋体"/>
          <w:b/>
          <w:color w:val="000000" w:themeColor="text1"/>
          <w:sz w:val="24"/>
          <w14:textFill>
            <w14:solidFill>
              <w14:schemeClr w14:val="tx1"/>
            </w14:solidFill>
          </w14:textFill>
        </w:rPr>
        <w:t>12.2  格栅钢架、连接筋和钢筋网安装</w:t>
      </w:r>
      <w:bookmarkEnd w:id="594"/>
    </w:p>
    <w:p>
      <w:pPr>
        <w:pStyle w:val="22"/>
        <w:widowControl/>
        <w:tabs>
          <w:tab w:val="left" w:pos="851"/>
          <w:tab w:val="left" w:pos="5835"/>
        </w:tabs>
        <w:snapToGrid w:val="0"/>
        <w:spacing w:line="360" w:lineRule="auto"/>
        <w:ind w:firstLine="0" w:firstLineChars="0"/>
        <w:jc w:val="left"/>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12.2.1 </w:t>
      </w:r>
      <w:r>
        <w:rPr>
          <w:rFonts w:hint="eastAsia"/>
          <w:color w:val="000000" w:themeColor="text1"/>
          <w:szCs w:val="21"/>
          <w14:textFill>
            <w14:solidFill>
              <w14:schemeClr w14:val="tx1"/>
            </w14:solidFill>
          </w14:textFill>
        </w:rPr>
        <w:t>第</w:t>
      </w:r>
      <w:r>
        <w:rPr>
          <w:rFonts w:hint="eastAsia" w:hAnsi="宋体"/>
          <w:b/>
          <w:bCs/>
          <w:color w:val="000000" w:themeColor="text1"/>
          <w:szCs w:val="21"/>
          <w14:textFill>
            <w14:solidFill>
              <w14:schemeClr w14:val="tx1"/>
            </w14:solidFill>
          </w14:textFill>
        </w:rPr>
        <w:t>6</w:t>
      </w:r>
      <w:r>
        <w:rPr>
          <w:rFonts w:hint="eastAsia"/>
          <w:color w:val="000000" w:themeColor="text1"/>
          <w:szCs w:val="21"/>
          <w14:textFill>
            <w14:solidFill>
              <w14:schemeClr w14:val="tx1"/>
            </w14:solidFill>
          </w14:textFill>
        </w:rPr>
        <w:t>款格栅拱脚应采用木方或混凝土块、砖块垫实，并用编织袋或砂填充保护，禁止拱脚悬空。格栅安装时拱脚部位应垫实、无杂物虚渣、无悬空现象；格栅钢架安装时，其拱脚处不得座在虚土上，连接板下宜加垫板以减小拱架下沉量；相邻格栅钢架纵向连接应牢固。在自稳能力较差的土层中安装格栅钢架时，应按设计要求在拱脚处打设锁脚锚管，以防止拱架下沉。</w:t>
      </w:r>
    </w:p>
    <w:p>
      <w:pPr>
        <w:pStyle w:val="22"/>
        <w:widowControl/>
        <w:tabs>
          <w:tab w:val="left" w:pos="851"/>
          <w:tab w:val="left" w:pos="5835"/>
        </w:tabs>
        <w:snapToGrid w:val="0"/>
        <w:spacing w:line="360" w:lineRule="auto"/>
        <w:jc w:val="left"/>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拱脚一般低于起拱线150mm</w:t>
      </w:r>
      <w:r>
        <w:rPr>
          <w:rFonts w:hint="eastAsia" w:ascii="宋体" w:hAnsi="宋体" w:cs="宋体"/>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200mm，当拱脚超挖、高程不足时，可用喷射混凝土填充；当拱脚处土层、围岩承载力不足时，一般采用设钢垫板、垫梁或浇筑C20混凝土的方法，增大拱脚接触面积。</w:t>
      </w:r>
    </w:p>
    <w:p>
      <w:pPr>
        <w:pStyle w:val="22"/>
        <w:widowControl/>
        <w:tabs>
          <w:tab w:val="left" w:pos="851"/>
          <w:tab w:val="left" w:pos="5835"/>
        </w:tabs>
        <w:snapToGrid w:val="0"/>
        <w:spacing w:line="360" w:lineRule="auto"/>
        <w:ind w:firstLine="0" w:firstLineChars="0"/>
        <w:jc w:val="left"/>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12.2.2</w:t>
      </w:r>
      <w:r>
        <w:rPr>
          <w:rFonts w:hint="eastAsia" w:hAnsi="宋体"/>
          <w:color w:val="000000" w:themeColor="text1"/>
          <w:szCs w:val="21"/>
          <w14:textFill>
            <w14:solidFill>
              <w14:schemeClr w14:val="tx1"/>
            </w14:solidFill>
          </w14:textFill>
        </w:rPr>
        <w:t xml:space="preserve"> </w:t>
      </w:r>
      <w:r>
        <w:rPr>
          <w:rFonts w:hint="eastAsia"/>
          <w:color w:val="000000" w:themeColor="text1"/>
          <w:szCs w:val="21"/>
          <w14:textFill>
            <w14:solidFill>
              <w14:schemeClr w14:val="tx1"/>
            </w14:solidFill>
          </w14:textFill>
        </w:rPr>
        <w:t>格栅钢架安装定位后，通过紧固外、内侧螺栓进行快速固定，主筋采用帮条焊进行连接，以保证节点链接的强度满足设计要求。</w:t>
      </w:r>
    </w:p>
    <w:p>
      <w:pPr>
        <w:pStyle w:val="22"/>
        <w:widowControl/>
        <w:tabs>
          <w:tab w:val="left" w:pos="851"/>
          <w:tab w:val="left" w:pos="5835"/>
        </w:tabs>
        <w:snapToGrid w:val="0"/>
        <w:spacing w:line="360" w:lineRule="auto"/>
        <w:ind w:firstLine="0" w:firstLineChars="0"/>
        <w:jc w:val="left"/>
        <w:rPr>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12.2.6</w:t>
      </w:r>
      <w:r>
        <w:rPr>
          <w:rFonts w:hint="eastAsia" w:ascii="宋体" w:hAnsi="宋体" w:cs="宋体"/>
          <w:color w:val="000000" w:themeColor="text1"/>
          <w:kern w:val="0"/>
          <w:szCs w:val="21"/>
          <w:lang w:bidi="ar"/>
          <w14:textFill>
            <w14:solidFill>
              <w14:schemeClr w14:val="tx1"/>
            </w14:solidFill>
          </w14:textFill>
        </w:rPr>
        <w:t xml:space="preserve"> </w:t>
      </w:r>
      <w:r>
        <w:rPr>
          <w:rFonts w:hint="eastAsia"/>
          <w:color w:val="000000" w:themeColor="text1"/>
          <w:szCs w:val="21"/>
          <w14:textFill>
            <w14:solidFill>
              <w14:schemeClr w14:val="tx1"/>
            </w14:solidFill>
          </w14:textFill>
        </w:rPr>
        <w:t>连接筋长度一般为格栅钢架间距+搭接长度，具体根据实际情况确定。</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95" w:name="_Toc30200"/>
      <w:r>
        <w:rPr>
          <w:rFonts w:hint="eastAsia" w:hAnsi="宋体"/>
          <w:b/>
          <w:color w:val="000000" w:themeColor="text1"/>
          <w:sz w:val="24"/>
          <w14:textFill>
            <w14:solidFill>
              <w14:schemeClr w14:val="tx1"/>
            </w14:solidFill>
          </w14:textFill>
        </w:rPr>
        <w:t>12.3  锁脚锚管（杆）</w:t>
      </w:r>
      <w:bookmarkEnd w:id="595"/>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12.3.3 </w:t>
      </w:r>
      <w:r>
        <w:rPr>
          <w:rFonts w:hint="eastAsia" w:hAnsi="宋体"/>
          <w:color w:val="000000" w:themeColor="text1"/>
          <w:szCs w:val="21"/>
          <w14:textFill>
            <w14:solidFill>
              <w14:schemeClr w14:val="tx1"/>
            </w14:solidFill>
          </w14:textFill>
        </w:rPr>
        <w:t xml:space="preserve">锁脚锚杆作为减小拱部沉降的重要措施，需要与拱架连成一体，防止钢拱架下沉。 </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96" w:name="_Toc4512"/>
      <w:r>
        <w:rPr>
          <w:rFonts w:hint="eastAsia" w:hAnsi="宋体"/>
          <w:b/>
          <w:color w:val="000000" w:themeColor="text1"/>
          <w:sz w:val="24"/>
          <w14:textFill>
            <w14:solidFill>
              <w14:schemeClr w14:val="tx1"/>
            </w14:solidFill>
          </w14:textFill>
        </w:rPr>
        <w:t>12.4  喷射混凝土施工</w:t>
      </w:r>
      <w:bookmarkEnd w:id="596"/>
    </w:p>
    <w:p>
      <w:pPr>
        <w:pStyle w:val="22"/>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12.4.1 </w:t>
      </w:r>
      <w:r>
        <w:rPr>
          <w:rFonts w:hint="eastAsia" w:hAnsi="宋体"/>
          <w:color w:val="000000" w:themeColor="text1"/>
          <w:szCs w:val="21"/>
          <w14:textFill>
            <w14:solidFill>
              <w14:schemeClr w14:val="tx1"/>
            </w14:solidFill>
          </w14:textFill>
        </w:rPr>
        <w:t>检查喷射机状态主要是为了使其保持良好的工作性能，对于保证施工连续进行，保证喷射施工的质量和安全。</w:t>
      </w:r>
    </w:p>
    <w:p>
      <w:pPr>
        <w:pStyle w:val="22"/>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12.4.3 </w:t>
      </w:r>
      <w:r>
        <w:rPr>
          <w:rFonts w:hint="eastAsia" w:hAnsi="宋体"/>
          <w:color w:val="000000" w:themeColor="text1"/>
          <w:szCs w:val="21"/>
          <w14:textFill>
            <w14:solidFill>
              <w14:schemeClr w14:val="tx1"/>
            </w14:solidFill>
          </w14:textFill>
        </w:rPr>
        <w:t>喷射混凝土（潮喷）作业开始时，一般先送风送水，后开机，再给料；结束时，应待料喷完后再关机停风。喷射作业完毕或因故中断喷射时，应先停风停水，然后将喷射机和输料管内的积料清除干净。1）清理受喷面主要清除浮渣及堆积物，保证接茬质量。</w:t>
      </w:r>
    </w:p>
    <w:p>
      <w:pPr>
        <w:pStyle w:val="22"/>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12.4.6 </w:t>
      </w:r>
      <w:r>
        <w:rPr>
          <w:rFonts w:hint="eastAsia" w:hAnsi="宋体"/>
          <w:color w:val="000000" w:themeColor="text1"/>
          <w:szCs w:val="21"/>
          <w14:textFill>
            <w14:solidFill>
              <w14:schemeClr w14:val="tx1"/>
            </w14:solidFill>
          </w14:textFill>
        </w:rPr>
        <w:t>喷射混凝土的养护应在终凝 2h 后进行，当环境潮湿有水时，可根据情况调整养护时间。</w:t>
      </w:r>
    </w:p>
    <w:p>
      <w:pPr>
        <w:pStyle w:val="22"/>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12.4.7 </w:t>
      </w:r>
      <w:r>
        <w:rPr>
          <w:rFonts w:hint="eastAsia" w:hAnsi="宋体"/>
          <w:color w:val="000000" w:themeColor="text1"/>
          <w:szCs w:val="21"/>
          <w14:textFill>
            <w14:solidFill>
              <w14:schemeClr w14:val="tx1"/>
            </w14:solidFill>
          </w14:textFill>
        </w:rPr>
        <w:t>喷射混凝土施工温度低于+5℃，即使加入速凝剂，混凝土也很难成型，因此本条对施工气温提出控制要求。</w:t>
      </w:r>
    </w:p>
    <w:p>
      <w:pPr>
        <w:pStyle w:val="22"/>
        <w:numPr>
          <w:ilvl w:val="255"/>
          <w:numId w:val="0"/>
        </w:numPr>
        <w:tabs>
          <w:tab w:val="left" w:pos="851"/>
        </w:tabs>
        <w:snapToGrid w:val="0"/>
        <w:spacing w:line="360" w:lineRule="auto"/>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12.4.8 </w:t>
      </w:r>
      <w:r>
        <w:rPr>
          <w:rFonts w:hint="eastAsia" w:hAnsi="宋体"/>
          <w:color w:val="000000" w:themeColor="text1"/>
          <w:szCs w:val="21"/>
          <w14:textFill>
            <w14:solidFill>
              <w14:schemeClr w14:val="tx1"/>
            </w14:solidFill>
          </w14:textFill>
        </w:rPr>
        <w:t>本条为喷射混凝土结构质量基本要求，混凝土性能主要指抗压强度、抗渗等级和喷层与围岩以及喷层之间粘结等指标。抗压强度及抗渗压力试件制作组数：同一配合比，区间或小于其断面的结构，每20m拱和墙各取一组抗压强度试件，车站各取二组；抗渗压力试件区间结构每40m取一组；车站每20m取一组。对喷层厚度，区间或小于区间断面的结构每20m检查一个断面，车站每10m检查一个断面。每个断面从拱顶中线起，每2m凿孔检查一个点。断面检查点60%以上喷射厚度不小于设计厚度，最小值不小于设计厚度1/3，厚度总平均值不小于设计厚度时，方为合格。</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97" w:name="_Toc5404"/>
      <w:r>
        <w:rPr>
          <w:rFonts w:hint="eastAsia" w:hAnsi="宋体"/>
          <w:b/>
          <w:color w:val="000000" w:themeColor="text1"/>
          <w:sz w:val="24"/>
          <w14:textFill>
            <w14:solidFill>
              <w14:schemeClr w14:val="tx1"/>
            </w14:solidFill>
          </w14:textFill>
        </w:rPr>
        <w:t>12.5  区间隧道初期支护</w:t>
      </w:r>
      <w:bookmarkEnd w:id="597"/>
    </w:p>
    <w:p>
      <w:pPr>
        <w:pStyle w:val="22"/>
        <w:tabs>
          <w:tab w:val="left" w:pos="851"/>
        </w:tabs>
        <w:snapToGrid w:val="0"/>
        <w:spacing w:line="360" w:lineRule="auto"/>
        <w:ind w:firstLine="0" w:firstLineChars="0"/>
        <w:jc w:val="left"/>
        <w:rPr>
          <w:rFonts w:hAnsi="宋体" w:cstheme="minorEastAsia"/>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12.5.2 </w:t>
      </w:r>
      <w:r>
        <w:rPr>
          <w:rFonts w:hint="eastAsia" w:hAnsi="宋体" w:cstheme="minorEastAsia"/>
          <w:color w:val="000000" w:themeColor="text1"/>
          <w:szCs w:val="21"/>
          <w14:textFill>
            <w14:solidFill>
              <w14:schemeClr w14:val="tx1"/>
            </w14:solidFill>
          </w14:textFill>
        </w:rPr>
        <w:t>中隔壁开挖时，应沿一侧自上而下分为二或三部进行，每开挖一步及时施作锚喷支护、安设钢架，施作中隔壁、底部临时仰拱，打设锁脚锚管，中隔壁墙依次分步联结而成，之后再开挖中隔墙的另一侧。</w:t>
      </w: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12.5.3 </w:t>
      </w:r>
      <w:r>
        <w:rPr>
          <w:rFonts w:hint="eastAsia" w:hAnsi="宋体" w:cstheme="minorEastAsia"/>
          <w:color w:val="000000" w:themeColor="text1"/>
          <w:sz w:val="21"/>
          <w:szCs w:val="21"/>
          <w14:textFill>
            <w14:solidFill>
              <w14:schemeClr w14:val="tx1"/>
            </w14:solidFill>
          </w14:textFill>
        </w:rPr>
        <w:t>双侧壁导坑法应先进行两侧导洞施工，剩余断面宜采用上、下两步开挖，上部开挖后，立即进行初期支护，安装钢架支撑，并将钢架与侧壁导洞的格栅钢架连接成一个整体。</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98" w:name="_Toc6972"/>
      <w:r>
        <w:rPr>
          <w:rFonts w:hint="eastAsia" w:hAnsi="宋体"/>
          <w:b/>
          <w:color w:val="000000" w:themeColor="text1"/>
          <w:sz w:val="24"/>
          <w14:textFill>
            <w14:solidFill>
              <w14:schemeClr w14:val="tx1"/>
            </w14:solidFill>
          </w14:textFill>
        </w:rPr>
        <w:t>12.6  暗挖车站初期支护</w:t>
      </w:r>
      <w:bookmarkEnd w:id="598"/>
    </w:p>
    <w:p>
      <w:pPr>
        <w:pStyle w:val="22"/>
        <w:tabs>
          <w:tab w:val="left" w:pos="851"/>
          <w:tab w:val="left" w:pos="5835"/>
        </w:tabs>
        <w:snapToGrid w:val="0"/>
        <w:spacing w:line="360" w:lineRule="auto"/>
        <w:ind w:firstLine="0" w:firstLineChars="0"/>
        <w:jc w:val="left"/>
        <w:rPr>
          <w:color w:val="000000" w:themeColor="text1"/>
          <w14:textFill>
            <w14:solidFill>
              <w14:schemeClr w14:val="tx1"/>
            </w14:solidFill>
          </w14:textFill>
        </w:rPr>
      </w:pPr>
      <w:r>
        <w:rPr>
          <w:rFonts w:hint="eastAsia"/>
          <w:b/>
          <w:bCs/>
          <w:color w:val="000000" w:themeColor="text1"/>
          <w14:textFill>
            <w14:solidFill>
              <w14:schemeClr w14:val="tx1"/>
            </w14:solidFill>
          </w14:textFill>
        </w:rPr>
        <w:t xml:space="preserve">12.6.2 </w:t>
      </w:r>
      <w:r>
        <w:rPr>
          <w:rFonts w:hint="eastAsia"/>
          <w:color w:val="000000" w:themeColor="text1"/>
          <w14:textFill>
            <w14:solidFill>
              <w14:schemeClr w14:val="tx1"/>
            </w14:solidFill>
          </w14:textFill>
        </w:rPr>
        <w:t>侧洞法是先开挖两侧部分（侧洞），在侧洞内做梁、柱结构，然后再开挖中间部分（中洞），并逐渐将中洞顶部荷载通过侧洞初期支护转移到梁、柱上。具体施工顺序见图4。侧洞法对于单层多跨的大断面车站较为适用，地铁5号线的张自忠路站中间过街部分采用此方法施工。</w:t>
      </w: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r>
        <w:rPr>
          <w:rFonts w:hint="eastAsia" w:ascii="Times New Roman" w:cs="Times New Roman"/>
          <w:b/>
          <w:bCs/>
          <w:color w:val="000000" w:themeColor="text1"/>
          <w:kern w:val="2"/>
          <w:sz w:val="21"/>
          <w14:textFill>
            <w14:solidFill>
              <w14:schemeClr w14:val="tx1"/>
            </w14:solidFill>
          </w14:textFill>
        </w:rPr>
        <w:t xml:space="preserve">12.6.3 </w:t>
      </w:r>
      <w:r>
        <w:rPr>
          <w:rFonts w:hint="eastAsia" w:hAnsi="宋体" w:cstheme="minorEastAsia"/>
          <w:color w:val="000000" w:themeColor="text1"/>
          <w:sz w:val="21"/>
          <w:szCs w:val="21"/>
          <w14:textFill>
            <w14:solidFill>
              <w14:schemeClr w14:val="tx1"/>
            </w14:solidFill>
          </w14:textFill>
        </w:rPr>
        <w:t>柱洞法将整个断面开挖横向分为侧洞、有柱的柱洞和中洞共5个洞，每洞分上、中、下 3层，台阶法施工。先自上而下对称施工柱洞初期支护，再由下而上施作柱洞二次衬砌，建立起梁、柱支撑体系。柱洞完成后，施工2个柱洞中间的中洞初期支护和二次衬砌，形成整个大中洞稳定体系。再对称自上而下施工两侧洞初期支护，最后纵向分段自下而上对称施作二次衬砌，完成结构闭合。台阶法拱部初支施工应在中柱、边桩和纵横梁形成框架结构受力体系后方可进行，拱部初支完成后方可按逆筑法施工至底板。具体施工顺序见图    。柱洞法施工引起的地面沉降量较小，安全度大，但中洞开挖时受力转换复杂。地铁5号线崇文门站下穿既有线和东四站下穿东四菜市场浅埋暗挖段采用柱洞法施工。</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b/>
          <w:bCs/>
          <w:color w:val="000000" w:themeColor="text1"/>
          <w14:textFill>
            <w14:solidFill>
              <w14:schemeClr w14:val="tx1"/>
            </w14:solidFill>
          </w14:textFill>
        </w:rPr>
        <w:t xml:space="preserve">12.6.4  </w:t>
      </w:r>
      <w:r>
        <w:rPr>
          <w:rFonts w:hint="eastAsia"/>
          <w:color w:val="000000" w:themeColor="text1"/>
          <w14:textFill>
            <w14:solidFill>
              <w14:schemeClr w14:val="tx1"/>
            </w14:solidFill>
          </w14:textFill>
        </w:rPr>
        <w:t>PBA 法（洞桩法）是对传统的地面框架结构施工方法和暗挖法进行有机结合，将导洞技术、桩技术、拱技术及框架结构进行综合运用的一种新的地下工程施工方法。在地面上不具备施作基坑围护结构条件时，改在地下小导洞内施作围护边桩、中柱、底梁和顶梁、顶拱，共同构成桩、梁、拱支撑框架体系，承受施工过程中的外部荷载，然后在顶拱和边桩的保护下，逐层向下开挖土体，施作内部结构，最终形成由外层边桩及顶拱初期支护和内层二次衬砌组合而成的永久承载体系。北京地铁复八线的天安门西站、王府井站及地铁 10 号线的劲松站、工体北路站、呼家楼站、光华路站、国贸站和苏州街站等采用了 PBA 法施工。</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12.6.5</w:t>
      </w:r>
      <w:r>
        <w:rPr>
          <w:rFonts w:hint="eastAsia" w:hAnsi="宋体"/>
          <w:color w:val="000000" w:themeColor="text1"/>
          <w:szCs w:val="21"/>
          <w14:textFill>
            <w14:solidFill>
              <w14:schemeClr w14:val="tx1"/>
            </w14:solidFill>
          </w14:textFill>
        </w:rPr>
        <w:t xml:space="preserve"> 暗挖车站钢筋混凝土桩施工基本现行国家标准《建筑桩基施工技术规范》JGJ94的有关规定，但是，地下施工具体特殊性，为此提出要求。</w:t>
      </w:r>
    </w:p>
    <w:p>
      <w:pPr>
        <w:pStyle w:val="22"/>
        <w:tabs>
          <w:tab w:val="left" w:pos="851"/>
        </w:tabs>
        <w:snapToGrid w:val="0"/>
        <w:spacing w:line="360" w:lineRule="auto"/>
        <w:ind w:firstLineChars="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第</w:t>
      </w:r>
      <w:r>
        <w:rPr>
          <w:rFonts w:hint="eastAsia" w:hAnsi="宋体"/>
          <w:b/>
          <w:bCs/>
          <w:color w:val="000000" w:themeColor="text1"/>
          <w:szCs w:val="21"/>
          <w14:textFill>
            <w14:solidFill>
              <w14:schemeClr w14:val="tx1"/>
            </w14:solidFill>
          </w14:textFill>
        </w:rPr>
        <w:t>1</w:t>
      </w:r>
      <w:r>
        <w:rPr>
          <w:rFonts w:hint="eastAsia" w:hAnsi="宋体"/>
          <w:color w:val="000000" w:themeColor="text1"/>
          <w:szCs w:val="21"/>
          <w14:textFill>
            <w14:solidFill>
              <w14:schemeClr w14:val="tx1"/>
            </w14:solidFill>
          </w14:textFill>
        </w:rPr>
        <w:t>款围护结构首桩、角桩的位置一般由监理组织复测并出具报告，以保证位置准确。</w:t>
      </w:r>
    </w:p>
    <w:p>
      <w:pPr>
        <w:pStyle w:val="22"/>
        <w:tabs>
          <w:tab w:val="left" w:pos="851"/>
        </w:tabs>
        <w:snapToGrid w:val="0"/>
        <w:spacing w:line="360" w:lineRule="auto"/>
        <w:ind w:firstLineChars="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第</w:t>
      </w:r>
      <w:r>
        <w:rPr>
          <w:rFonts w:hint="eastAsia" w:hAnsi="宋体"/>
          <w:b/>
          <w:bCs/>
          <w:color w:val="000000" w:themeColor="text1"/>
          <w:szCs w:val="21"/>
          <w14:textFill>
            <w14:solidFill>
              <w14:schemeClr w14:val="tx1"/>
            </w14:solidFill>
          </w14:textFill>
        </w:rPr>
        <w:t>2</w:t>
      </w:r>
      <w:r>
        <w:rPr>
          <w:rFonts w:hint="eastAsia" w:hAnsi="宋体"/>
          <w:color w:val="000000" w:themeColor="text1"/>
          <w:szCs w:val="21"/>
          <w14:textFill>
            <w14:solidFill>
              <w14:schemeClr w14:val="tx1"/>
            </w14:solidFill>
          </w14:textFill>
        </w:rPr>
        <w:t>款由于导洞内空间狭窄，为提高成孔效率和质量，一般选用的改进型钻机有GSD—50改型大口径液压钻机（8</w:t>
      </w:r>
      <w:r>
        <w:rPr>
          <w:rFonts w:hint="eastAsia" w:ascii="宋体" w:hAnsi="宋体" w:cs="宋体"/>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14h成孔，</w:t>
      </w:r>
      <w:r>
        <w:rPr>
          <w:rFonts w:hint="eastAsia" w:ascii="宋体" w:hAnsi="宋体" w:cs="宋体"/>
          <w:color w:val="000000" w:themeColor="text1"/>
          <w:szCs w:val="21"/>
          <w14:textFill>
            <w14:solidFill>
              <w14:schemeClr w14:val="tx1"/>
            </w14:solidFill>
          </w14:textFill>
        </w:rPr>
        <w:t>φ</w:t>
      </w:r>
      <w:r>
        <w:rPr>
          <w:rFonts w:hint="eastAsia"/>
          <w:color w:val="000000" w:themeColor="text1"/>
          <w:szCs w:val="21"/>
          <w14:textFill>
            <w14:solidFill>
              <w14:schemeClr w14:val="tx1"/>
            </w14:solidFill>
          </w14:textFill>
        </w:rPr>
        <w:t>800mm</w:t>
      </w:r>
      <w:r>
        <w:rPr>
          <w:rFonts w:hint="eastAsia" w:hAnsi="宋体"/>
          <w:color w:val="000000" w:themeColor="text1"/>
          <w:szCs w:val="21"/>
          <w14:textFill>
            <w14:solidFill>
              <w14:schemeClr w14:val="tx1"/>
            </w14:solidFill>
          </w14:textFill>
        </w:rPr>
        <w:t>）、XQZ—100型泵吸反循环机械钻机（36</w:t>
      </w:r>
      <w:r>
        <w:rPr>
          <w:rFonts w:hint="eastAsia" w:ascii="宋体" w:hAnsi="宋体" w:cs="宋体"/>
          <w:color w:val="000000" w:themeColor="text1"/>
          <w:szCs w:val="21"/>
          <w14:textFill>
            <w14:solidFill>
              <w14:schemeClr w14:val="tx1"/>
            </w14:solidFill>
          </w14:textFill>
        </w:rPr>
        <w:t>～</w:t>
      </w:r>
      <w:r>
        <w:rPr>
          <w:rFonts w:hint="eastAsia" w:hAnsi="宋体"/>
          <w:color w:val="000000" w:themeColor="text1"/>
          <w:szCs w:val="21"/>
          <w14:textFill>
            <w14:solidFill>
              <w14:schemeClr w14:val="tx1"/>
            </w14:solidFill>
          </w14:textFill>
        </w:rPr>
        <w:t>60h成孔，</w:t>
      </w:r>
      <w:r>
        <w:rPr>
          <w:rFonts w:hint="eastAsia" w:ascii="宋体" w:hAnsi="宋体" w:cs="宋体"/>
          <w:color w:val="000000" w:themeColor="text1"/>
          <w:szCs w:val="21"/>
          <w14:textFill>
            <w14:solidFill>
              <w14:schemeClr w14:val="tx1"/>
            </w14:solidFill>
          </w14:textFill>
        </w:rPr>
        <w:t>φ</w:t>
      </w:r>
      <w:r>
        <w:rPr>
          <w:rFonts w:hint="eastAsia"/>
          <w:color w:val="000000" w:themeColor="text1"/>
          <w:szCs w:val="21"/>
          <w14:textFill>
            <w14:solidFill>
              <w14:schemeClr w14:val="tx1"/>
            </w14:solidFill>
          </w14:textFill>
        </w:rPr>
        <w:t>800mm</w:t>
      </w:r>
      <w:r>
        <w:rPr>
          <w:rFonts w:hint="eastAsia" w:hAnsi="宋体"/>
          <w:color w:val="000000" w:themeColor="text1"/>
          <w:szCs w:val="21"/>
          <w14:textFill>
            <w14:solidFill>
              <w14:schemeClr w14:val="tx1"/>
            </w14:solidFill>
          </w14:textFill>
        </w:rPr>
        <w:t>）、GPS—</w:t>
      </w:r>
      <w:r>
        <w:rPr>
          <w:rFonts w:hint="eastAsia" w:ascii="宋体" w:hAnsi="宋体" w:cs="宋体"/>
          <w:color w:val="000000" w:themeColor="text1"/>
          <w:szCs w:val="21"/>
          <w14:textFill>
            <w14:solidFill>
              <w14:schemeClr w14:val="tx1"/>
            </w14:solidFill>
          </w14:textFill>
        </w:rPr>
        <w:t>Ⅱ型</w:t>
      </w:r>
      <w:r>
        <w:rPr>
          <w:rFonts w:hint="eastAsia" w:hAnsi="宋体"/>
          <w:color w:val="000000" w:themeColor="text1"/>
          <w:szCs w:val="21"/>
          <w14:textFill>
            <w14:solidFill>
              <w14:schemeClr w14:val="tx1"/>
            </w14:solidFill>
          </w14:textFill>
        </w:rPr>
        <w:t>泵吸反循环机械钻机（36</w:t>
      </w:r>
      <w:r>
        <w:rPr>
          <w:rFonts w:hint="eastAsia" w:ascii="宋体" w:hAnsi="宋体" w:cs="宋体"/>
          <w:color w:val="000000" w:themeColor="text1"/>
          <w:szCs w:val="21"/>
          <w14:textFill>
            <w14:solidFill>
              <w14:schemeClr w14:val="tx1"/>
            </w14:solidFill>
          </w14:textFill>
        </w:rPr>
        <w:t>～</w:t>
      </w:r>
      <w:r>
        <w:rPr>
          <w:rFonts w:hint="eastAsia" w:hAnsi="宋体"/>
          <w:color w:val="000000" w:themeColor="text1"/>
          <w:szCs w:val="21"/>
          <w14:textFill>
            <w14:solidFill>
              <w14:schemeClr w14:val="tx1"/>
            </w14:solidFill>
          </w14:textFill>
        </w:rPr>
        <w:t>48h成孔，</w:t>
      </w:r>
      <w:r>
        <w:rPr>
          <w:rFonts w:hint="eastAsia" w:ascii="宋体" w:hAnsi="宋体" w:cs="宋体"/>
          <w:color w:val="000000" w:themeColor="text1"/>
          <w:szCs w:val="21"/>
          <w14:textFill>
            <w14:solidFill>
              <w14:schemeClr w14:val="tx1"/>
            </w14:solidFill>
          </w14:textFill>
        </w:rPr>
        <w:t>φ</w:t>
      </w:r>
      <w:r>
        <w:rPr>
          <w:rFonts w:hint="eastAsia"/>
          <w:color w:val="000000" w:themeColor="text1"/>
          <w:szCs w:val="21"/>
          <w14:textFill>
            <w14:solidFill>
              <w14:schemeClr w14:val="tx1"/>
            </w14:solidFill>
          </w14:textFill>
        </w:rPr>
        <w:t>1000mm</w:t>
      </w:r>
      <w:r>
        <w:rPr>
          <w:rFonts w:hint="eastAsia" w:hAnsi="宋体"/>
          <w:color w:val="000000" w:themeColor="text1"/>
          <w:szCs w:val="21"/>
          <w14:textFill>
            <w14:solidFill>
              <w14:schemeClr w14:val="tx1"/>
            </w14:solidFill>
          </w14:textFill>
        </w:rPr>
        <w:t>）。</w:t>
      </w:r>
    </w:p>
    <w:p>
      <w:pPr>
        <w:pStyle w:val="22"/>
        <w:tabs>
          <w:tab w:val="left" w:pos="851"/>
        </w:tabs>
        <w:snapToGrid w:val="0"/>
        <w:spacing w:line="360" w:lineRule="auto"/>
        <w:ind w:firstLineChars="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第</w:t>
      </w:r>
      <w:r>
        <w:rPr>
          <w:rFonts w:hint="eastAsia" w:hAnsi="宋体"/>
          <w:b/>
          <w:bCs/>
          <w:color w:val="000000" w:themeColor="text1"/>
          <w:szCs w:val="21"/>
          <w14:textFill>
            <w14:solidFill>
              <w14:schemeClr w14:val="tx1"/>
            </w14:solidFill>
          </w14:textFill>
        </w:rPr>
        <w:t>3</w:t>
      </w:r>
      <w:r>
        <w:rPr>
          <w:rFonts w:hint="eastAsia" w:hAnsi="宋体"/>
          <w:color w:val="000000" w:themeColor="text1"/>
          <w:szCs w:val="21"/>
          <w14:textFill>
            <w14:solidFill>
              <w14:schemeClr w14:val="tx1"/>
            </w14:solidFill>
          </w14:textFill>
        </w:rPr>
        <w:t xml:space="preserve">款边桩需要有一定的外放距离，主要为防止导洞内钻孔灌注桩侵入到车站主体结构断面，目前规范要求桩的垂直度误差为1%，但在实施时，考虑到施工条件、设备性能等条件，按照经验确定的边桩外放距离。在施工钻孔过程中，钻孔桩每进深5m左右，用全站仪实测一下深入桩底且悬空钻锤钢丝绳距设计桩中心偏位情况进行调整。 </w:t>
      </w:r>
    </w:p>
    <w:p>
      <w:pPr>
        <w:pStyle w:val="22"/>
        <w:tabs>
          <w:tab w:val="left" w:pos="851"/>
        </w:tabs>
        <w:snapToGrid w:val="0"/>
        <w:spacing w:line="360" w:lineRule="auto"/>
        <w:ind w:firstLineChars="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第</w:t>
      </w:r>
      <w:r>
        <w:rPr>
          <w:rFonts w:hint="eastAsia" w:hAnsi="宋体"/>
          <w:b/>
          <w:bCs/>
          <w:color w:val="000000" w:themeColor="text1"/>
          <w:szCs w:val="21"/>
          <w14:textFill>
            <w14:solidFill>
              <w14:schemeClr w14:val="tx1"/>
            </w14:solidFill>
          </w14:textFill>
        </w:rPr>
        <w:t>4</w:t>
      </w:r>
      <w:r>
        <w:rPr>
          <w:rFonts w:hint="eastAsia" w:hAnsi="宋体"/>
          <w:color w:val="000000" w:themeColor="text1"/>
          <w:szCs w:val="21"/>
          <w14:textFill>
            <w14:solidFill>
              <w14:schemeClr w14:val="tx1"/>
            </w14:solidFill>
          </w14:textFill>
        </w:rPr>
        <w:t>款由于桩间距较小，为了防止对邻近已成孔的扰动，本条规定跳钻施工的顺序，以保证施工质量。</w:t>
      </w:r>
    </w:p>
    <w:p>
      <w:pPr>
        <w:pStyle w:val="22"/>
        <w:tabs>
          <w:tab w:val="left" w:pos="851"/>
        </w:tabs>
        <w:snapToGrid w:val="0"/>
        <w:spacing w:line="360" w:lineRule="auto"/>
        <w:ind w:firstLineChars="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第</w:t>
      </w:r>
      <w:r>
        <w:rPr>
          <w:rFonts w:hint="eastAsia" w:hAnsi="宋体"/>
          <w:b/>
          <w:bCs/>
          <w:color w:val="000000" w:themeColor="text1"/>
          <w:szCs w:val="21"/>
          <w14:textFill>
            <w14:solidFill>
              <w14:schemeClr w14:val="tx1"/>
            </w14:solidFill>
          </w14:textFill>
        </w:rPr>
        <w:t>5</w:t>
      </w:r>
      <w:r>
        <w:rPr>
          <w:rFonts w:hint="eastAsia" w:hAnsi="宋体"/>
          <w:color w:val="000000" w:themeColor="text1"/>
          <w:szCs w:val="21"/>
          <w14:textFill>
            <w14:solidFill>
              <w14:schemeClr w14:val="tx1"/>
            </w14:solidFill>
          </w14:textFill>
        </w:rPr>
        <w:t xml:space="preserve">款由于导洞高度有限，因此钢筋笼需要现场连接，连接处套筒连接外，也可采用手工焊接，但是时间长，质量受焊工水平、环境条件影响较大。 </w:t>
      </w:r>
    </w:p>
    <w:p>
      <w:pPr>
        <w:pStyle w:val="22"/>
        <w:tabs>
          <w:tab w:val="left" w:pos="851"/>
        </w:tabs>
        <w:snapToGrid w:val="0"/>
        <w:spacing w:line="360" w:lineRule="auto"/>
        <w:ind w:firstLineChars="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第</w:t>
      </w:r>
      <w:r>
        <w:rPr>
          <w:rFonts w:hint="eastAsia" w:hAnsi="宋体"/>
          <w:b/>
          <w:bCs/>
          <w:color w:val="000000" w:themeColor="text1"/>
          <w:szCs w:val="21"/>
          <w14:textFill>
            <w14:solidFill>
              <w14:schemeClr w14:val="tx1"/>
            </w14:solidFill>
          </w14:textFill>
        </w:rPr>
        <w:t>6</w:t>
      </w:r>
      <w:r>
        <w:rPr>
          <w:rFonts w:hint="eastAsia" w:hAnsi="宋体"/>
          <w:color w:val="000000" w:themeColor="text1"/>
          <w:szCs w:val="21"/>
          <w14:textFill>
            <w14:solidFill>
              <w14:schemeClr w14:val="tx1"/>
            </w14:solidFill>
          </w14:textFill>
        </w:rPr>
        <w:t xml:space="preserve">款由于拆除钻杆和吊装钢筋笼的时间较长，容易造成塌孔、沉渣厚度控制难的问题，本条提出解决办法。 泥浆是根据工程的地质情况制备泥浆，确保泥浆的性能指标，防止孔壁的缩径和坍塌，泥浆性能指标一般按照《地下铁道工程施工及验收规范》GB 50299的要求执行，一般根据地质资料及工程实际选用，常用的有：优质黏土、膨润土以及化学粘合剂造浆进行护壁。 </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12.6.6 </w:t>
      </w:r>
      <w:r>
        <w:rPr>
          <w:rFonts w:hint="eastAsia" w:hAnsi="宋体"/>
          <w:color w:val="000000" w:themeColor="text1"/>
          <w:szCs w:val="21"/>
          <w14:textFill>
            <w14:solidFill>
              <w14:schemeClr w14:val="tx1"/>
            </w14:solidFill>
          </w14:textFill>
        </w:rPr>
        <w:t>人工挖孔桩根据桩径尺寸破除洞底格栅，洞底格栅混凝土破除后需按设计要求对格栅钢筋进行加固处理后方可割除格栅钢筋，确保导洞稳定性。</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12.6.7 </w:t>
      </w:r>
      <w:r>
        <w:rPr>
          <w:rFonts w:hint="eastAsia" w:hAnsi="宋体"/>
          <w:color w:val="000000" w:themeColor="text1"/>
          <w:szCs w:val="21"/>
          <w14:textFill>
            <w14:solidFill>
              <w14:schemeClr w14:val="tx1"/>
            </w14:solidFill>
          </w14:textFill>
        </w:rPr>
        <w:t>钢管柱的钢管是重要的材料，需要特别注意。</w:t>
      </w:r>
    </w:p>
    <w:p>
      <w:pPr>
        <w:pStyle w:val="22"/>
        <w:tabs>
          <w:tab w:val="left" w:pos="851"/>
        </w:tabs>
        <w:snapToGrid w:val="0"/>
        <w:spacing w:line="360" w:lineRule="auto"/>
        <w:ind w:firstLineChars="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1）钢管表面洁净，既是质量的基本要求，也是保证钢管柱内壁与核心混凝土紧密粘结的重要措施。</w:t>
      </w:r>
    </w:p>
    <w:p>
      <w:pPr>
        <w:pStyle w:val="22"/>
        <w:tabs>
          <w:tab w:val="left" w:pos="851"/>
        </w:tabs>
        <w:snapToGrid w:val="0"/>
        <w:spacing w:line="360" w:lineRule="auto"/>
        <w:ind w:firstLineChars="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2）本条所述焊接材料包括：焊条、焊丝、焊剂等材料，设计要求全焊透的一、二级焊缝一般采用超声波探伤进行内部缺陷的检验，超声波探伤不能对缺陷作出判断时，需采用射线探伤，其内部缺陷分级及探伤方法执行国家现行标准，一般由设计单位确定探伤标准。</w:t>
      </w: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12.6.8 </w:t>
      </w:r>
      <w:r>
        <w:rPr>
          <w:rFonts w:hint="eastAsia" w:ascii="Times New Roman" w:hAnsi="宋体" w:cs="Times New Roman"/>
          <w:color w:val="000000" w:themeColor="text1"/>
          <w:kern w:val="2"/>
          <w:sz w:val="21"/>
          <w:szCs w:val="21"/>
          <w14:textFill>
            <w14:solidFill>
              <w14:schemeClr w14:val="tx1"/>
            </w14:solidFill>
          </w14:textFill>
        </w:rPr>
        <w:t>钢管混凝土柱定位和固定是施工重要的控制环节，关系到车站施工质量和使用。</w:t>
      </w:r>
    </w:p>
    <w:p>
      <w:pPr>
        <w:pStyle w:val="21"/>
        <w:snapToGrid w:val="0"/>
        <w:spacing w:line="360" w:lineRule="auto"/>
        <w:ind w:firstLine="420" w:firstLineChars="200"/>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color w:val="000000" w:themeColor="text1"/>
          <w:kern w:val="2"/>
          <w:sz w:val="21"/>
          <w:szCs w:val="21"/>
          <w14:textFill>
            <w14:solidFill>
              <w14:schemeClr w14:val="tx1"/>
            </w14:solidFill>
          </w14:textFill>
        </w:rPr>
        <w:t>第</w:t>
      </w:r>
      <w:r>
        <w:rPr>
          <w:rFonts w:hint="eastAsia" w:ascii="Times New Roman" w:hAnsi="宋体" w:cs="Times New Roman"/>
          <w:b/>
          <w:bCs/>
          <w:color w:val="000000" w:themeColor="text1"/>
          <w:kern w:val="2"/>
          <w:sz w:val="21"/>
          <w:szCs w:val="21"/>
          <w14:textFill>
            <w14:solidFill>
              <w14:schemeClr w14:val="tx1"/>
            </w14:solidFill>
          </w14:textFill>
        </w:rPr>
        <w:t>3</w:t>
      </w:r>
      <w:r>
        <w:rPr>
          <w:rFonts w:hint="eastAsia" w:ascii="Times New Roman" w:hAnsi="宋体" w:cs="Times New Roman"/>
          <w:color w:val="000000" w:themeColor="text1"/>
          <w:kern w:val="2"/>
          <w:sz w:val="21"/>
          <w:szCs w:val="21"/>
          <w14:textFill>
            <w14:solidFill>
              <w14:schemeClr w14:val="tx1"/>
            </w14:solidFill>
          </w14:textFill>
        </w:rPr>
        <w:t>款</w:t>
      </w:r>
      <w:r>
        <w:rPr>
          <w:rFonts w:hint="eastAsia" w:hAnsi="宋体" w:cstheme="minorEastAsia"/>
          <w:color w:val="000000" w:themeColor="text1"/>
          <w:sz w:val="21"/>
          <w:szCs w:val="21"/>
          <w14:textFill>
            <w14:solidFill>
              <w14:schemeClr w14:val="tx1"/>
            </w14:solidFill>
          </w14:textFill>
        </w:rPr>
        <w:t>双法兰是为了钢管柱与预埋法兰连接，避免出现切割螺栓的现象，从而保证钢管柱安装质量。</w:t>
      </w:r>
    </w:p>
    <w:p>
      <w:pPr>
        <w:pStyle w:val="21"/>
        <w:snapToGrid w:val="0"/>
        <w:spacing w:line="360" w:lineRule="auto"/>
        <w:ind w:firstLine="420" w:firstLineChars="200"/>
        <w:jc w:val="both"/>
        <w:rPr>
          <w:rFonts w:ascii="Times New Roman" w:hAnsi="宋体" w:cs="Times New Roman"/>
          <w:b/>
          <w:bCs/>
          <w:color w:val="000000" w:themeColor="text1"/>
          <w:kern w:val="2"/>
          <w:sz w:val="21"/>
          <w:szCs w:val="21"/>
          <w14:textFill>
            <w14:solidFill>
              <w14:schemeClr w14:val="tx1"/>
            </w14:solidFill>
          </w14:textFill>
        </w:rPr>
      </w:pPr>
      <w:r>
        <w:rPr>
          <w:rFonts w:hint="eastAsia" w:ascii="Times New Roman" w:hAnsi="宋体" w:cs="Times New Roman"/>
          <w:color w:val="000000" w:themeColor="text1"/>
          <w:kern w:val="2"/>
          <w:sz w:val="21"/>
          <w:szCs w:val="21"/>
          <w14:textFill>
            <w14:solidFill>
              <w14:schemeClr w14:val="tx1"/>
            </w14:solidFill>
          </w14:textFill>
        </w:rPr>
        <w:t>第</w:t>
      </w:r>
      <w:r>
        <w:rPr>
          <w:rFonts w:hint="eastAsia" w:ascii="Times New Roman" w:hAnsi="宋体" w:cs="Times New Roman"/>
          <w:b/>
          <w:bCs/>
          <w:color w:val="000000" w:themeColor="text1"/>
          <w:kern w:val="2"/>
          <w:sz w:val="21"/>
          <w:szCs w:val="21"/>
          <w14:textFill>
            <w14:solidFill>
              <w14:schemeClr w14:val="tx1"/>
            </w14:solidFill>
          </w14:textFill>
        </w:rPr>
        <w:t>5</w:t>
      </w:r>
      <w:r>
        <w:rPr>
          <w:rFonts w:hint="eastAsia" w:ascii="Times New Roman" w:hAnsi="宋体" w:cs="Times New Roman"/>
          <w:color w:val="000000" w:themeColor="text1"/>
          <w:kern w:val="2"/>
          <w:sz w:val="21"/>
          <w:szCs w:val="21"/>
          <w14:textFill>
            <w14:solidFill>
              <w14:schemeClr w14:val="tx1"/>
            </w14:solidFill>
          </w14:textFill>
        </w:rPr>
        <w:t>款</w:t>
      </w:r>
      <w:r>
        <w:rPr>
          <w:rFonts w:hint="eastAsia" w:hAnsi="宋体" w:cstheme="minorEastAsia"/>
          <w:color w:val="000000" w:themeColor="text1"/>
          <w:sz w:val="21"/>
          <w:szCs w:val="21"/>
          <w14:textFill>
            <w14:solidFill>
              <w14:schemeClr w14:val="tx1"/>
            </w14:solidFill>
          </w14:textFill>
        </w:rPr>
        <w:t>钢管法兰连接宜用高强度大六角头螺栓连接副、扭剪型高强度螺栓连接副、钢网架用高强度螺栓、普通螺栓、铆钉、自攻钉、拉铆钉、射钉、锚栓（机械型和化学试剂型）、地脚锚栓等紧固标准件及螺母、垫圈等标准配件，其品种、规格、性能等应符合现行国家产品标准和设计要求。高强度大六角头螺栓连接副和扭剪型高强度螺栓连接副出厂时应分别随箱带有扭矩系数和紧固轴力（预拉力）的检验报告。钢结构制作和安装单位应按规范的规定分别进行高强度螺栓连接摩擦面的抗滑移系数试验和复验，现场处理的构件磨擦应单独进行磨擦面抗滑移系数试验，其结果应符合设计要求。</w:t>
      </w: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12.6.9 </w:t>
      </w:r>
      <w:r>
        <w:rPr>
          <w:rFonts w:hint="eastAsia" w:hAnsi="宋体" w:cstheme="minorEastAsia"/>
          <w:color w:val="000000" w:themeColor="text1"/>
          <w:sz w:val="21"/>
          <w:szCs w:val="21"/>
          <w14:textFill>
            <w14:solidFill>
              <w14:schemeClr w14:val="tx1"/>
            </w14:solidFill>
          </w14:textFill>
        </w:rPr>
        <w:t xml:space="preserve">钢管柱钢筋笼下料长度根据技术交底，采用尺量长度，在考虑钢筋接头错位的长度后，做出明显的切割标记。 钢筋切割应采用钢筋切割机进行。在切割过程中，应保证钢筋切口的垂直，不能有马蹄形或挠曲。钢筋的运输由龙门吊从井口吊至工作面。每次吊放数量、长度应适中，不应装载过重、过长构件，并采取措施绑扎固定。 </w:t>
      </w: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12.6.10 </w:t>
      </w:r>
      <w:r>
        <w:rPr>
          <w:rFonts w:hint="eastAsia" w:hAnsi="宋体" w:cstheme="minorEastAsia"/>
          <w:color w:val="000000" w:themeColor="text1"/>
          <w:sz w:val="21"/>
          <w:szCs w:val="21"/>
          <w14:textFill>
            <w14:solidFill>
              <w14:schemeClr w14:val="tx1"/>
            </w14:solidFill>
          </w14:textFill>
        </w:rPr>
        <w:t>钢管柱混凝土浇筑施工中可采用敲击钢管的方法进行初步检查，如有异常，则需用超声波检测，对于不密实的部位，则需要与设计单位、建设单位协商处理办法，如采用钻孔压浆的方法进行补强，然后将钻孔补焊封固。</w:t>
      </w:r>
    </w:p>
    <w:p>
      <w:pPr>
        <w:pStyle w:val="21"/>
        <w:snapToGrid w:val="0"/>
        <w:spacing w:line="360" w:lineRule="auto"/>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12.6.11 </w:t>
      </w:r>
      <w:r>
        <w:rPr>
          <w:rFonts w:ascii="Times New Roman" w:hAnsi="宋体" w:cs="Times New Roman"/>
          <w:color w:val="000000" w:themeColor="text1"/>
          <w:kern w:val="2"/>
          <w:sz w:val="21"/>
          <w:szCs w:val="21"/>
          <w14:textFill>
            <w14:solidFill>
              <w14:schemeClr w14:val="tx1"/>
            </w14:solidFill>
          </w14:textFill>
        </w:rPr>
        <w:t>扩挖车站施工包含了大盾构、中洞法、PBA等各项工法的元素，以中洞法的整体工序为主体，首先采用大盾构施工中洞并进行中墙施工，之后采用PBA工法进行初衬、二衬扣拱，创造相对开阔的地下施工空间，最后进行下部土方、结构施工，闭合二衬结构。</w:t>
      </w:r>
    </w:p>
    <w:p>
      <w:pPr>
        <w:pStyle w:val="21"/>
        <w:snapToGrid w:val="0"/>
        <w:spacing w:line="360" w:lineRule="auto"/>
        <w:ind w:firstLine="420" w:firstLineChars="200"/>
        <w:jc w:val="both"/>
        <w:rPr>
          <w:rFonts w:hAnsi="宋体" w:cstheme="minorEastAsia"/>
          <w:color w:val="000000" w:themeColor="text1"/>
          <w:sz w:val="21"/>
          <w:szCs w:val="21"/>
          <w14:textFill>
            <w14:solidFill>
              <w14:schemeClr w14:val="tx1"/>
            </w14:solidFill>
          </w14:textFill>
        </w:rPr>
      </w:pPr>
      <w:r>
        <w:rPr>
          <w:rFonts w:hint="eastAsia" w:hAnsi="宋体" w:cstheme="minorEastAsia"/>
          <w:color w:val="000000" w:themeColor="text1"/>
          <w:sz w:val="21"/>
          <w:szCs w:val="21"/>
          <w14:textFill>
            <w14:solidFill>
              <w14:schemeClr w14:val="tx1"/>
            </w14:solidFill>
          </w14:textFill>
        </w:rPr>
        <w:t>第2款洞内钻孔灌注桩是受力体系中最重要的承重构件，一般采用正循环钻机洞内成孔，成孔和灌注过程中要及时调整泥浆比重，控制成孔质量和桩端沉渣厚度，并在混凝土浇注完成后进行桩端注浆提高桩端承载力。</w:t>
      </w:r>
    </w:p>
    <w:p>
      <w:pPr>
        <w:pStyle w:val="21"/>
        <w:snapToGrid w:val="0"/>
        <w:spacing w:line="360" w:lineRule="auto"/>
        <w:ind w:firstLine="420" w:firstLineChars="200"/>
        <w:jc w:val="both"/>
        <w:rPr>
          <w:rFonts w:hAnsi="宋体" w:cstheme="minorEastAsia"/>
          <w:color w:val="000000" w:themeColor="text1"/>
          <w:sz w:val="21"/>
          <w:szCs w:val="21"/>
          <w14:textFill>
            <w14:solidFill>
              <w14:schemeClr w14:val="tx1"/>
            </w14:solidFill>
          </w14:textFill>
        </w:rPr>
      </w:pPr>
      <w:r>
        <w:rPr>
          <w:rFonts w:hint="eastAsia" w:hAnsi="宋体" w:cstheme="minorEastAsia"/>
          <w:color w:val="000000" w:themeColor="text1"/>
          <w:sz w:val="21"/>
          <w:szCs w:val="21"/>
          <w14:textFill>
            <w14:solidFill>
              <w14:schemeClr w14:val="tx1"/>
            </w14:solidFill>
          </w14:textFill>
        </w:rPr>
        <w:t>第5款盾构隧道内中墙纵梁体系一般高度9.0m，中墙厚度500mm，顶部与封顶块之间设置4Φ25抗剪键连接，底部与管片间设置抗滑移构件，中墙纵梁体系设置三道钢支撑与盾构管片连接，施工控制重点是确保抗剪键、抗滑移构件和钢支撑的施工质量。中墙底纵梁两侧不受到管片的侧向约束，偏载作用下产生侧向滑移，需在底纵梁两侧设置临时型钢支撑。</w:t>
      </w:r>
    </w:p>
    <w:p>
      <w:pPr>
        <w:pStyle w:val="21"/>
        <w:snapToGrid w:val="0"/>
        <w:spacing w:line="360" w:lineRule="auto"/>
        <w:ind w:firstLine="420" w:firstLineChars="200"/>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color w:val="000000" w:themeColor="text1"/>
          <w:kern w:val="2"/>
          <w:sz w:val="21"/>
          <w:szCs w:val="21"/>
          <w14:textFill>
            <w14:solidFill>
              <w14:schemeClr w14:val="tx1"/>
            </w14:solidFill>
          </w14:textFill>
        </w:rPr>
        <w:t>第6款主要用于</w:t>
      </w:r>
      <w:r>
        <w:rPr>
          <w:rFonts w:ascii="Times New Roman" w:hAnsi="宋体" w:cs="Times New Roman"/>
          <w:color w:val="000000" w:themeColor="text1"/>
          <w:kern w:val="2"/>
          <w:sz w:val="21"/>
          <w:szCs w:val="21"/>
          <w14:textFill>
            <w14:solidFill>
              <w14:schemeClr w14:val="tx1"/>
            </w14:solidFill>
          </w14:textFill>
        </w:rPr>
        <w:t>强化格栅安装的现场管理，确保初衬施工的现场质量</w:t>
      </w:r>
      <w:r>
        <w:rPr>
          <w:rFonts w:hint="eastAsia" w:ascii="Times New Roman" w:hAnsi="宋体" w:cs="Times New Roman"/>
          <w:color w:val="000000" w:themeColor="text1"/>
          <w:kern w:val="2"/>
          <w:sz w:val="21"/>
          <w:szCs w:val="21"/>
          <w14:textFill>
            <w14:solidFill>
              <w14:schemeClr w14:val="tx1"/>
            </w14:solidFill>
          </w14:textFill>
        </w:rPr>
        <w:t>。</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599" w:name="_Toc22305"/>
      <w:r>
        <w:rPr>
          <w:rFonts w:hint="eastAsia" w:hAnsi="宋体"/>
          <w:b/>
          <w:color w:val="000000" w:themeColor="text1"/>
          <w:sz w:val="24"/>
          <w14:textFill>
            <w14:solidFill>
              <w14:schemeClr w14:val="tx1"/>
            </w14:solidFill>
          </w14:textFill>
        </w:rPr>
        <w:t>12.8  初衬背后填充注浆</w:t>
      </w:r>
      <w:bookmarkEnd w:id="599"/>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12.8.2 </w:t>
      </w:r>
      <w:r>
        <w:rPr>
          <w:rFonts w:hint="eastAsia" w:hAnsi="宋体"/>
          <w:color w:val="000000" w:themeColor="text1"/>
          <w:szCs w:val="21"/>
          <w14:textFill>
            <w14:solidFill>
              <w14:schemeClr w14:val="tx1"/>
            </w14:solidFill>
          </w14:textFill>
        </w:rPr>
        <w:t>对空洞处的初步处理是为了防止土层继续坍塌，造成跟大范围的土层松动，减少地表沉降。</w:t>
      </w:r>
    </w:p>
    <w:p>
      <w:pPr>
        <w:pageBreakBefore/>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600" w:name="_Toc21815"/>
      <w:r>
        <w:rPr>
          <w:rFonts w:hint="eastAsia"/>
          <w:b/>
          <w:color w:val="000000" w:themeColor="text1"/>
          <w:sz w:val="28"/>
          <w:szCs w:val="28"/>
          <w14:textFill>
            <w14:solidFill>
              <w14:schemeClr w14:val="tx1"/>
            </w14:solidFill>
          </w14:textFill>
        </w:rPr>
        <w:t>13  二次衬砌</w:t>
      </w:r>
      <w:bookmarkEnd w:id="600"/>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601" w:name="_Toc21841"/>
      <w:r>
        <w:rPr>
          <w:rFonts w:hint="eastAsia" w:hAnsi="宋体"/>
          <w:b/>
          <w:color w:val="000000" w:themeColor="text1"/>
          <w:sz w:val="24"/>
          <w14:textFill>
            <w14:solidFill>
              <w14:schemeClr w14:val="tx1"/>
            </w14:solidFill>
          </w14:textFill>
        </w:rPr>
        <w:t>13.1  一般规定</w:t>
      </w:r>
      <w:bookmarkEnd w:id="601"/>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13.1.1 </w:t>
      </w:r>
      <w:r>
        <w:rPr>
          <w:rFonts w:hint="eastAsia" w:hAnsi="宋体" w:cstheme="minorEastAsia"/>
          <w:color w:val="000000" w:themeColor="text1"/>
          <w:sz w:val="21"/>
          <w:szCs w:val="21"/>
          <w14:textFill>
            <w14:solidFill>
              <w14:schemeClr w14:val="tx1"/>
            </w14:solidFill>
          </w14:textFill>
        </w:rPr>
        <w:t>二次衬砌施作时间应根据土质条件、周边环境和设计要求，结合地表沉降情况确定，宜在隧道贯通、初期支护变形经分析已稳定后施作。初期支护验收包括：厚度、中线、高程、净空测量，确保满足二次衬砌厚度和隧道最终尺寸。</w:t>
      </w:r>
    </w:p>
    <w:p>
      <w:pPr>
        <w:pStyle w:val="21"/>
        <w:snapToGrid w:val="0"/>
        <w:spacing w:line="360" w:lineRule="auto"/>
        <w:jc w:val="both"/>
        <w:rPr>
          <w:rFonts w:hAnsi="宋体" w:cstheme="minorEastAsia"/>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13.1.2 </w:t>
      </w:r>
      <w:r>
        <w:rPr>
          <w:rFonts w:hint="eastAsia" w:hAnsi="宋体" w:cstheme="minorEastAsia"/>
          <w:color w:val="000000" w:themeColor="text1"/>
          <w:sz w:val="21"/>
          <w:szCs w:val="21"/>
          <w14:textFill>
            <w14:solidFill>
              <w14:schemeClr w14:val="tx1"/>
            </w14:solidFill>
          </w14:textFill>
        </w:rPr>
        <w:t>初期支护具有足够的刚度和强度，且应尽早施作二次初砌，共同受力。</w:t>
      </w:r>
    </w:p>
    <w:p>
      <w:pPr>
        <w:adjustRightInd w:val="0"/>
        <w:snapToGrid w:val="0"/>
        <w:spacing w:before="312" w:beforeLines="100" w:after="312" w:afterLines="100"/>
        <w:jc w:val="center"/>
        <w:outlineLvl w:val="1"/>
        <w:rPr>
          <w:rFonts w:ascii="宋体" w:hAnsi="宋体" w:cstheme="minorEastAsia"/>
          <w:color w:val="000000" w:themeColor="text1"/>
          <w:kern w:val="0"/>
          <w:szCs w:val="21"/>
          <w14:textFill>
            <w14:solidFill>
              <w14:schemeClr w14:val="tx1"/>
            </w14:solidFill>
          </w14:textFill>
        </w:rPr>
      </w:pPr>
      <w:bookmarkStart w:id="602" w:name="_Toc14627"/>
      <w:r>
        <w:rPr>
          <w:rFonts w:hint="eastAsia" w:hAnsi="宋体"/>
          <w:b/>
          <w:color w:val="000000" w:themeColor="text1"/>
          <w:sz w:val="24"/>
          <w14:textFill>
            <w14:solidFill>
              <w14:schemeClr w14:val="tx1"/>
            </w14:solidFill>
          </w14:textFill>
        </w:rPr>
        <w:t>13.2  模板及支架</w:t>
      </w:r>
      <w:bookmarkEnd w:id="602"/>
      <w:r>
        <w:rPr>
          <w:rFonts w:hint="eastAsia" w:hAnsi="宋体"/>
          <w:b/>
          <w:bCs/>
          <w:color w:val="000000" w:themeColor="text1"/>
          <w:szCs w:val="21"/>
          <w14:textFill>
            <w14:solidFill>
              <w14:schemeClr w14:val="tx1"/>
            </w14:solidFill>
          </w14:textFill>
        </w:rPr>
        <w:t xml:space="preserve"> </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13.2.2 </w:t>
      </w:r>
      <w:r>
        <w:rPr>
          <w:rFonts w:hint="eastAsia" w:ascii="宋体" w:hAnsi="宋体" w:cstheme="minorEastAsia"/>
          <w:color w:val="000000" w:themeColor="text1"/>
          <w:szCs w:val="21"/>
          <w14:textFill>
            <w14:solidFill>
              <w14:schemeClr w14:val="tx1"/>
            </w14:solidFill>
          </w14:textFill>
        </w:rPr>
        <w:t>模板及其支架需要根据工程结构形式、荷载大小、地基土类别、施工设备和材料供应等条件进行设计。模板及其支架能可靠地承受浇筑混凝土的重量、侧压力以及施工荷载。</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13.2.3 </w:t>
      </w:r>
      <w:r>
        <w:rPr>
          <w:rFonts w:hint="eastAsia" w:ascii="宋体" w:hAnsi="宋体" w:cstheme="minorEastAsia"/>
          <w:color w:val="000000" w:themeColor="text1"/>
          <w:kern w:val="0"/>
          <w:szCs w:val="21"/>
          <w14:textFill>
            <w14:solidFill>
              <w14:schemeClr w14:val="tx1"/>
            </w14:solidFill>
          </w14:textFill>
        </w:rPr>
        <w:t>本处模板高程是指模板支搭的标高，是设计高程加预留沉落量。</w:t>
      </w:r>
    </w:p>
    <w:p>
      <w:pPr>
        <w:pStyle w:val="22"/>
        <w:tabs>
          <w:tab w:val="left" w:pos="851"/>
        </w:tabs>
        <w:snapToGrid w:val="0"/>
        <w:spacing w:line="360" w:lineRule="auto"/>
        <w:ind w:firstLine="0" w:firstLineChars="0"/>
        <w:jc w:val="left"/>
        <w:rPr>
          <w:rFonts w:hAnsi="宋体"/>
          <w:b/>
          <w:bCs/>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13.2.7 </w:t>
      </w:r>
      <w:r>
        <w:rPr>
          <w:rFonts w:hint="eastAsia" w:hAnsi="宋体"/>
          <w:color w:val="000000" w:themeColor="text1"/>
          <w:szCs w:val="21"/>
          <w14:textFill>
            <w14:solidFill>
              <w14:schemeClr w14:val="tx1"/>
            </w14:solidFill>
          </w14:textFill>
        </w:rPr>
        <w:t>顶板结构一般先支立支架后铺设模板，沉落量需要根据支架情况确定。</w:t>
      </w:r>
      <w:r>
        <w:rPr>
          <w:rFonts w:hint="eastAsia" w:hAnsi="宋体"/>
          <w:b/>
          <w:bCs/>
          <w:color w:val="000000" w:themeColor="text1"/>
          <w:szCs w:val="21"/>
          <w14:textFill>
            <w14:solidFill>
              <w14:schemeClr w14:val="tx1"/>
            </w14:solidFill>
          </w14:textFill>
        </w:rPr>
        <w:t xml:space="preserve"> </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603" w:name="_Toc10175"/>
      <w:r>
        <w:rPr>
          <w:rFonts w:hint="eastAsia" w:hAnsi="宋体"/>
          <w:b/>
          <w:color w:val="000000" w:themeColor="text1"/>
          <w:sz w:val="24"/>
          <w14:textFill>
            <w14:solidFill>
              <w14:schemeClr w14:val="tx1"/>
            </w14:solidFill>
          </w14:textFill>
        </w:rPr>
        <w:t>13.3  隧道模板支护</w:t>
      </w:r>
      <w:bookmarkEnd w:id="603"/>
    </w:p>
    <w:p>
      <w:pPr>
        <w:pStyle w:val="21"/>
        <w:snapToGrid w:val="0"/>
        <w:spacing w:line="360" w:lineRule="auto"/>
        <w:jc w:val="both"/>
        <w:rPr>
          <w:rFonts w:ascii="Times New Roman" w:cs="Times New Roman"/>
          <w:color w:val="000000" w:themeColor="text1"/>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13.3.2 </w:t>
      </w:r>
      <w:r>
        <w:rPr>
          <w:rFonts w:hint="eastAsia" w:ascii="Times New Roman" w:cs="Times New Roman"/>
          <w:color w:val="000000" w:themeColor="text1"/>
          <w:sz w:val="21"/>
          <w:szCs w:val="21"/>
          <w14:textFill>
            <w14:solidFill>
              <w14:schemeClr w14:val="tx1"/>
            </w14:solidFill>
          </w14:textFill>
        </w:rPr>
        <w:t>模板台车是由支撑结构、模板、调整机构(液压或螺杆)、行走机构等组成的隧道二次衬砌混凝土浇筑用的整体移动装置。台车适用于标准断面隧道的拱墙施工，台车长度一般9m～12m，外部模板自带注浆窗口，同时设有施工缝止水带、注浆管安装模板，一体化施工。整体性较好。小隧道、平顶直墙隧道一般采用钢模板、满堂红支架体系。</w:t>
      </w:r>
    </w:p>
    <w:p>
      <w:pPr>
        <w:spacing w:line="360" w:lineRule="auto"/>
        <w:rPr>
          <w:rFonts w:ascii="宋体" w:hAnsi="宋体" w:cstheme="minorEastAsia"/>
          <w:color w:val="000000" w:themeColor="text1"/>
          <w:kern w:val="0"/>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13.3.5 </w:t>
      </w:r>
      <w:r>
        <w:rPr>
          <w:rFonts w:hint="eastAsia" w:ascii="宋体" w:hAnsi="宋体" w:cstheme="minorEastAsia"/>
          <w:color w:val="000000" w:themeColor="text1"/>
          <w:kern w:val="0"/>
          <w:szCs w:val="21"/>
          <w14:textFill>
            <w14:solidFill>
              <w14:schemeClr w14:val="tx1"/>
            </w14:solidFill>
          </w14:textFill>
        </w:rPr>
        <w:t>模板台车就位后需要启动微调机构调整台车模板位置和断面尺寸。</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604" w:name="_Toc9120"/>
      <w:r>
        <w:rPr>
          <w:rFonts w:hint="eastAsia" w:hAnsi="宋体"/>
          <w:b/>
          <w:color w:val="000000" w:themeColor="text1"/>
          <w:sz w:val="24"/>
          <w14:textFill>
            <w14:solidFill>
              <w14:schemeClr w14:val="tx1"/>
            </w14:solidFill>
          </w14:textFill>
        </w:rPr>
        <w:t>13.6  二衬背后回填注浆</w:t>
      </w:r>
      <w:bookmarkEnd w:id="604"/>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13.6.2 </w:t>
      </w:r>
      <w:r>
        <w:rPr>
          <w:rFonts w:hint="eastAsia" w:hAnsi="宋体"/>
          <w:color w:val="000000" w:themeColor="text1"/>
          <w:szCs w:val="21"/>
          <w14:textFill>
            <w14:solidFill>
              <w14:schemeClr w14:val="tx1"/>
            </w14:solidFill>
          </w14:textFill>
        </w:rPr>
        <w:t>结构内的管端可采取防止结构混凝土进入的措施，另一端一般有连接管路的装置，便于注浆管的连接。</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13.6.4 </w:t>
      </w:r>
      <w:r>
        <w:rPr>
          <w:rFonts w:hint="eastAsia" w:hAnsi="宋体"/>
          <w:color w:val="000000" w:themeColor="text1"/>
          <w:szCs w:val="21"/>
          <w14:textFill>
            <w14:solidFill>
              <w14:schemeClr w14:val="tx1"/>
            </w14:solidFill>
          </w14:textFill>
        </w:rPr>
        <w:t>回填注浆主要冲天初期支护与二衬之间的空隙，注浆压力不宜太高。</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605" w:name="_Toc439"/>
      <w:r>
        <w:rPr>
          <w:rFonts w:hint="eastAsia" w:hAnsi="宋体"/>
          <w:b/>
          <w:color w:val="000000" w:themeColor="text1"/>
          <w:sz w:val="24"/>
          <w14:textFill>
            <w14:solidFill>
              <w14:schemeClr w14:val="tx1"/>
            </w14:solidFill>
          </w14:textFill>
        </w:rPr>
        <w:t>13.7  临时中隔壁（支撑）拆除和体系转换</w:t>
      </w:r>
      <w:bookmarkEnd w:id="605"/>
    </w:p>
    <w:p>
      <w:pPr>
        <w:pStyle w:val="21"/>
        <w:snapToGrid w:val="0"/>
        <w:spacing w:line="360" w:lineRule="auto"/>
        <w:jc w:val="both"/>
        <w:rPr>
          <w:rFonts w:ascii="Times New Roman" w:hAnsi="宋体" w:cstheme="minorEastAsia"/>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13.7.3 </w:t>
      </w:r>
      <w:r>
        <w:rPr>
          <w:rFonts w:hint="eastAsia" w:ascii="Times New Roman" w:hAnsi="宋体" w:cstheme="minorEastAsia"/>
          <w:color w:val="000000" w:themeColor="text1"/>
          <w:kern w:val="2"/>
          <w:sz w:val="21"/>
          <w:szCs w:val="21"/>
          <w14:textFill>
            <w14:solidFill>
              <w14:schemeClr w14:val="tx1"/>
            </w14:solidFill>
          </w14:textFill>
        </w:rPr>
        <w:t>中隔壁（CD）法支撑拆除宜分两步进行：先分段拆除中隔板横撑，铺设防水层，浇筑底板、下部边墙混凝土，并根据监测信息确定是否换撑；继续分段拆除的、竖向支撑，铺设防水层，浇筑拱墙混凝土。</w:t>
      </w:r>
    </w:p>
    <w:p>
      <w:pPr>
        <w:pStyle w:val="21"/>
        <w:snapToGrid w:val="0"/>
        <w:spacing w:line="360" w:lineRule="auto"/>
        <w:jc w:val="both"/>
        <w:rPr>
          <w:rFonts w:ascii="Times New Roman" w:hAnsi="宋体" w:cstheme="minorEastAsia"/>
          <w:color w:val="000000" w:themeColor="text1"/>
          <w:kern w:val="2"/>
          <w:sz w:val="21"/>
          <w:szCs w:val="21"/>
          <w14:textFill>
            <w14:solidFill>
              <w14:schemeClr w14:val="tx1"/>
            </w14:solidFill>
          </w14:textFill>
        </w:rPr>
      </w:pPr>
      <w:r>
        <w:rPr>
          <w:rFonts w:hint="eastAsia" w:ascii="Times New Roman" w:hAnsi="宋体" w:cs="Times New Roman"/>
          <w:b/>
          <w:bCs/>
          <w:color w:val="000000" w:themeColor="text1"/>
          <w:kern w:val="2"/>
          <w:sz w:val="21"/>
          <w:szCs w:val="21"/>
          <w14:textFill>
            <w14:solidFill>
              <w14:schemeClr w14:val="tx1"/>
            </w14:solidFill>
          </w14:textFill>
        </w:rPr>
        <w:t xml:space="preserve">13.7.4 </w:t>
      </w:r>
      <w:r>
        <w:rPr>
          <w:rFonts w:hint="eastAsia" w:ascii="Times New Roman" w:hAnsi="宋体" w:cstheme="minorEastAsia"/>
          <w:color w:val="000000" w:themeColor="text1"/>
          <w:kern w:val="2"/>
          <w:sz w:val="21"/>
          <w:szCs w:val="21"/>
          <w14:textFill>
            <w14:solidFill>
              <w14:schemeClr w14:val="tx1"/>
            </w14:solidFill>
          </w14:textFill>
        </w:rPr>
        <w:t>交叉中隔壁（CRD）法支撑先宜跳仓拆除底层中隔墙竖向支撑，铺防水层，施作底板和下部边墙二衬结构，并应预留钢筋、的防水层接头；第二步应跳仓拆除中部临时支撑（包括中隔墙竖向支撑和中隔板横向支撑），铺防水层，施作中板和边墙二衬结构，并应预留钢筋、的防水层接头；最后，应分段、跳仓拆除上部临时支撑，铺防水层，施作拱顶和边墙二次衬砌，完成结构施工。</w:t>
      </w:r>
    </w:p>
    <w:p>
      <w:pPr>
        <w:spacing w:line="360" w:lineRule="auto"/>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13.7.11 </w:t>
      </w:r>
      <w:r>
        <w:rPr>
          <w:rFonts w:hint="eastAsia" w:ascii="宋体" w:hAnsi="宋体" w:cstheme="minorEastAsia"/>
          <w:color w:val="000000" w:themeColor="text1"/>
          <w:kern w:val="0"/>
          <w:szCs w:val="21"/>
          <w14:textFill>
            <w14:solidFill>
              <w14:schemeClr w14:val="tx1"/>
            </w14:solidFill>
          </w14:textFill>
        </w:rPr>
        <w:t>本条第</w:t>
      </w:r>
      <w:r>
        <w:rPr>
          <w:rFonts w:hint="eastAsia" w:hAnsi="宋体"/>
          <w:b/>
          <w:bCs/>
          <w:color w:val="000000" w:themeColor="text1"/>
          <w:szCs w:val="21"/>
          <w14:textFill>
            <w14:solidFill>
              <w14:schemeClr w14:val="tx1"/>
            </w14:solidFill>
          </w14:textFill>
        </w:rPr>
        <w:t>4</w:t>
      </w:r>
      <w:r>
        <w:rPr>
          <w:rFonts w:hint="eastAsia" w:ascii="宋体" w:hAnsi="宋体" w:cstheme="minorEastAsia"/>
          <w:color w:val="000000" w:themeColor="text1"/>
          <w:kern w:val="0"/>
          <w:szCs w:val="21"/>
          <w14:textFill>
            <w14:solidFill>
              <w14:schemeClr w14:val="tx1"/>
            </w14:solidFill>
          </w14:textFill>
        </w:rPr>
        <w:t>款，主要对顶纵梁预留的防水接头检查，破损部位及时修补，必要时可采取预埋注浆管、增设止水胶等多道防水措施。</w:t>
      </w:r>
    </w:p>
    <w:p>
      <w:pPr>
        <w:widowControl/>
        <w:spacing w:line="360" w:lineRule="auto"/>
        <w:jc w:val="left"/>
        <w:rPr>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13.7.13  </w:t>
      </w:r>
      <w:r>
        <w:rPr>
          <w:rFonts w:hint="eastAsia" w:hAnsi="宋体"/>
          <w:color w:val="000000" w:themeColor="text1"/>
          <w:szCs w:val="21"/>
          <w14:textFill>
            <w14:solidFill>
              <w14:schemeClr w14:val="tx1"/>
            </w14:solidFill>
          </w14:textFill>
        </w:rPr>
        <w:t>本条第</w:t>
      </w:r>
      <w:r>
        <w:rPr>
          <w:rFonts w:hint="eastAsia" w:hAnsi="宋体"/>
          <w:b/>
          <w:bCs/>
          <w:color w:val="000000" w:themeColor="text1"/>
          <w:szCs w:val="21"/>
          <w14:textFill>
            <w14:solidFill>
              <w14:schemeClr w14:val="tx1"/>
            </w14:solidFill>
          </w14:textFill>
        </w:rPr>
        <w:t>1</w:t>
      </w:r>
      <w:r>
        <w:rPr>
          <w:rFonts w:hint="eastAsia" w:hAnsi="宋体"/>
          <w:color w:val="000000" w:themeColor="text1"/>
          <w:szCs w:val="21"/>
          <w14:textFill>
            <w14:solidFill>
              <w14:schemeClr w14:val="tx1"/>
            </w14:solidFill>
          </w14:textFill>
        </w:rPr>
        <w:t>款</w:t>
      </w:r>
      <w:r>
        <w:rPr>
          <w:color w:val="000000" w:themeColor="text1"/>
          <w:kern w:val="0"/>
          <w:szCs w:val="21"/>
          <w:lang w:bidi="ar"/>
          <w14:textFill>
            <w14:solidFill>
              <w14:schemeClr w14:val="tx1"/>
            </w14:solidFill>
          </w14:textFill>
        </w:rPr>
        <w:t>PBA</w:t>
      </w:r>
      <w:r>
        <w:rPr>
          <w:rFonts w:hint="eastAsia" w:ascii="宋体" w:hAnsi="宋体" w:cs="宋体"/>
          <w:color w:val="000000" w:themeColor="text1"/>
          <w:kern w:val="0"/>
          <w:szCs w:val="21"/>
          <w:lang w:bidi="ar"/>
          <w14:textFill>
            <w14:solidFill>
              <w14:schemeClr w14:val="tx1"/>
            </w14:solidFill>
          </w14:textFill>
        </w:rPr>
        <w:t>工法初支扣拱是受力转换的第一步，初支结构与封顶块的连接、盾构管片与中柱结构抗剪措施是施工关键。</w:t>
      </w:r>
    </w:p>
    <w:p>
      <w:pPr>
        <w:pStyle w:val="21"/>
        <w:snapToGrid w:val="0"/>
        <w:spacing w:line="360" w:lineRule="auto"/>
        <w:ind w:firstLine="420" w:firstLineChars="200"/>
        <w:jc w:val="both"/>
        <w:rPr>
          <w:rFonts w:ascii="Times New Roman" w:hAnsi="宋体" w:cs="Times New Roman"/>
          <w:color w:val="000000" w:themeColor="text1"/>
          <w:kern w:val="2"/>
          <w:sz w:val="21"/>
          <w:szCs w:val="21"/>
          <w14:textFill>
            <w14:solidFill>
              <w14:schemeClr w14:val="tx1"/>
            </w14:solidFill>
          </w14:textFill>
        </w:rPr>
      </w:pPr>
      <w:r>
        <w:rPr>
          <w:rFonts w:hint="eastAsia" w:ascii="Times New Roman" w:hAnsi="宋体" w:cs="Times New Roman"/>
          <w:color w:val="000000" w:themeColor="text1"/>
          <w:kern w:val="2"/>
          <w:sz w:val="21"/>
          <w:szCs w:val="21"/>
          <w14:textFill>
            <w14:solidFill>
              <w14:schemeClr w14:val="tx1"/>
            </w14:solidFill>
          </w14:textFill>
        </w:rPr>
        <w:t>第</w:t>
      </w:r>
      <w:r>
        <w:rPr>
          <w:rFonts w:hint="eastAsia" w:ascii="Times New Roman" w:hAnsi="宋体" w:cs="Times New Roman"/>
          <w:b/>
          <w:bCs/>
          <w:color w:val="000000" w:themeColor="text1"/>
          <w:kern w:val="2"/>
          <w:sz w:val="21"/>
          <w:szCs w:val="21"/>
          <w14:textFill>
            <w14:solidFill>
              <w14:schemeClr w14:val="tx1"/>
            </w14:solidFill>
          </w14:textFill>
        </w:rPr>
        <w:t>3</w:t>
      </w:r>
      <w:r>
        <w:rPr>
          <w:rFonts w:hint="eastAsia" w:ascii="Times New Roman" w:hAnsi="宋体" w:cs="Times New Roman"/>
          <w:color w:val="000000" w:themeColor="text1"/>
          <w:kern w:val="2"/>
          <w:sz w:val="21"/>
          <w:szCs w:val="21"/>
          <w14:textFill>
            <w14:solidFill>
              <w14:schemeClr w14:val="tx1"/>
            </w14:solidFill>
          </w14:textFill>
        </w:rPr>
        <w:t>款二衬扣拱施工顺序一般为封顶块管片拆除→二衬扣拱；下部结构施工顺序一般为中部管片逐步拆除及土方开挖→二衬底板、侧墙结构施工。</w:t>
      </w:r>
    </w:p>
    <w:p>
      <w:pPr>
        <w:pStyle w:val="22"/>
        <w:tabs>
          <w:tab w:val="left" w:pos="851"/>
        </w:tabs>
        <w:snapToGrid w:val="0"/>
        <w:spacing w:line="360" w:lineRule="auto"/>
        <w:jc w:val="left"/>
        <w:rPr>
          <w:rFonts w:hAnsi="宋体" w:cstheme="minorEastAsia"/>
          <w:color w:val="000000" w:themeColor="text1"/>
          <w:kern w:val="0"/>
          <w:szCs w:val="21"/>
          <w14:textFill>
            <w14:solidFill>
              <w14:schemeClr w14:val="tx1"/>
            </w14:solidFill>
          </w14:textFill>
        </w:rPr>
      </w:pPr>
    </w:p>
    <w:p>
      <w:pPr>
        <w:spacing w:line="360" w:lineRule="auto"/>
        <w:ind w:firstLine="359" w:firstLineChars="171"/>
        <w:rPr>
          <w:rFonts w:ascii="宋体" w:hAnsi="宋体" w:cstheme="minorEastAsia"/>
          <w:color w:val="000000" w:themeColor="text1"/>
          <w:kern w:val="0"/>
          <w:szCs w:val="21"/>
          <w14:textFill>
            <w14:solidFill>
              <w14:schemeClr w14:val="tx1"/>
            </w14:solidFill>
          </w14:textFill>
        </w:rPr>
      </w:pPr>
    </w:p>
    <w:p>
      <w:pPr>
        <w:pageBreakBefore/>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606" w:name="_Toc6514"/>
      <w:r>
        <w:rPr>
          <w:rFonts w:hint="eastAsia"/>
          <w:b/>
          <w:color w:val="000000" w:themeColor="text1"/>
          <w:sz w:val="28"/>
          <w:szCs w:val="28"/>
          <w14:textFill>
            <w14:solidFill>
              <w14:schemeClr w14:val="tx1"/>
            </w14:solidFill>
          </w14:textFill>
        </w:rPr>
        <w:t>14  防水</w:t>
      </w:r>
      <w:bookmarkEnd w:id="606"/>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607" w:name="_Toc11867"/>
      <w:r>
        <w:rPr>
          <w:rFonts w:hint="eastAsia" w:hAnsi="宋体"/>
          <w:b/>
          <w:color w:val="000000" w:themeColor="text1"/>
          <w:sz w:val="24"/>
          <w14:textFill>
            <w14:solidFill>
              <w14:schemeClr w14:val="tx1"/>
            </w14:solidFill>
          </w14:textFill>
        </w:rPr>
        <w:t>14.2  卷材防水层</w:t>
      </w:r>
      <w:bookmarkEnd w:id="607"/>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14.2.3 </w:t>
      </w:r>
      <w:r>
        <w:rPr>
          <w:rFonts w:hint="eastAsia" w:hAnsi="宋体"/>
          <w:color w:val="000000" w:themeColor="text1"/>
          <w:szCs w:val="21"/>
          <w14:textFill>
            <w14:solidFill>
              <w14:schemeClr w14:val="tx1"/>
            </w14:solidFill>
          </w14:textFill>
        </w:rPr>
        <w:t>本条第2款，平整度检查一般采用3m直尺检查，检查频率每平方米范围内1点。</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14.2.7 </w:t>
      </w:r>
      <w:r>
        <w:rPr>
          <w:rFonts w:hint="eastAsia" w:hAnsi="宋体"/>
          <w:color w:val="000000" w:themeColor="text1"/>
          <w:szCs w:val="21"/>
          <w14:textFill>
            <w14:solidFill>
              <w14:schemeClr w14:val="tx1"/>
            </w14:solidFill>
          </w14:textFill>
        </w:rPr>
        <w:t>卷材铺贴基层面一般先涂刷处理剂，干燥后再铺贴附加层，在基层面上测放出基准线后，方可进行卷材铺贴。</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608" w:name="_Toc31679"/>
      <w:r>
        <w:rPr>
          <w:rFonts w:hint="eastAsia" w:hAnsi="宋体"/>
          <w:b/>
          <w:color w:val="000000" w:themeColor="text1"/>
          <w:sz w:val="24"/>
          <w14:textFill>
            <w14:solidFill>
              <w14:schemeClr w14:val="tx1"/>
            </w14:solidFill>
          </w14:textFill>
        </w:rPr>
        <w:t>14.4  水泥砂浆防水层</w:t>
      </w:r>
      <w:bookmarkEnd w:id="608"/>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14.4.1</w:t>
      </w:r>
      <w:r>
        <w:rPr>
          <w:rFonts w:hint="eastAsia" w:hAnsi="宋体"/>
          <w:color w:val="000000" w:themeColor="text1"/>
          <w:szCs w:val="21"/>
          <w14:textFill>
            <w14:solidFill>
              <w14:schemeClr w14:val="tx1"/>
            </w14:solidFill>
          </w14:textFill>
        </w:rPr>
        <w:t>防水砂浆应包括聚合物水泥防水砂浆、掺外加剂或掺合料的防水砂浆。水泥砂浆防水层主要用于地下工程主体结构的迎水面或背水面，不应用于受持续振动或温度高于80℃的地下工程防水。</w:t>
      </w:r>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14.4.2 </w:t>
      </w:r>
      <w:r>
        <w:rPr>
          <w:rFonts w:hint="eastAsia" w:hAnsi="宋体"/>
          <w:color w:val="000000" w:themeColor="text1"/>
          <w:szCs w:val="21"/>
          <w14:textFill>
            <w14:solidFill>
              <w14:schemeClr w14:val="tx1"/>
            </w14:solidFill>
          </w14:textFill>
        </w:rPr>
        <w:t>防水砂浆的配合比和施工方法应符合所掺材料的规定，其中聚合物水泥防水砂浆的用水量应包括乳液中的含水量。 </w:t>
      </w:r>
    </w:p>
    <w:p>
      <w:pPr>
        <w:spacing w:line="70" w:lineRule="exact"/>
        <w:rPr>
          <w:color w:val="000000" w:themeColor="text1"/>
          <w:sz w:val="20"/>
          <w:szCs w:val="20"/>
          <w14:textFill>
            <w14:solidFill>
              <w14:schemeClr w14:val="tx1"/>
            </w14:solidFill>
          </w14:textFill>
        </w:rPr>
      </w:pP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609" w:name="_Toc20385"/>
      <w:r>
        <w:rPr>
          <w:rFonts w:hint="eastAsia" w:hAnsi="宋体"/>
          <w:b/>
          <w:color w:val="000000" w:themeColor="text1"/>
          <w:sz w:val="24"/>
          <w14:textFill>
            <w14:solidFill>
              <w14:schemeClr w14:val="tx1"/>
            </w14:solidFill>
          </w14:textFill>
        </w:rPr>
        <w:t>14.6  细部构造防水</w:t>
      </w:r>
      <w:bookmarkEnd w:id="609"/>
    </w:p>
    <w:p>
      <w:pPr>
        <w:tabs>
          <w:tab w:val="left" w:pos="709"/>
        </w:tabs>
        <w:autoSpaceDE w:val="0"/>
        <w:autoSpaceDN w:val="0"/>
        <w:spacing w:line="360" w:lineRule="auto"/>
        <w:rPr>
          <w:rFonts w:ascii="宋体" w:hAnsi="宋体"/>
          <w:color w:val="000000" w:themeColor="text1"/>
          <w14:textFill>
            <w14:solidFill>
              <w14:schemeClr w14:val="tx1"/>
            </w14:solidFill>
          </w14:textFill>
        </w:rPr>
      </w:pPr>
      <w:r>
        <w:rPr>
          <w:rFonts w:hint="eastAsia" w:hAnsi="宋体"/>
          <w:b/>
          <w:bCs/>
          <w:color w:val="000000" w:themeColor="text1"/>
          <w:szCs w:val="21"/>
          <w14:textFill>
            <w14:solidFill>
              <w14:schemeClr w14:val="tx1"/>
            </w14:solidFill>
          </w14:textFill>
        </w:rPr>
        <w:t>14.6.2</w:t>
      </w:r>
      <w:r>
        <w:rPr>
          <w:rFonts w:hint="eastAsia" w:ascii="宋体" w:hAnsi="宋体" w:cstheme="minorEastAsia"/>
          <w:color w:val="000000" w:themeColor="text1"/>
          <w:kern w:val="0"/>
          <w:szCs w:val="21"/>
          <w14:textFill>
            <w14:solidFill>
              <w14:schemeClr w14:val="tx1"/>
            </w14:solidFill>
          </w14:textFill>
        </w:rPr>
        <w:t xml:space="preserve"> 可卸式止水带安装时</w:t>
      </w:r>
      <w:r>
        <w:rPr>
          <w:rFonts w:ascii="宋体" w:hAnsi="宋体"/>
          <w:color w:val="000000" w:themeColor="text1"/>
          <w14:textFill>
            <w14:solidFill>
              <w14:schemeClr w14:val="tx1"/>
            </w14:solidFill>
          </w14:textFill>
        </w:rPr>
        <w:t>应增加紧固件的数量</w:t>
      </w:r>
      <w:r>
        <w:rPr>
          <w:rFonts w:hint="eastAsia" w:ascii="宋体" w:hAnsi="宋体"/>
          <w:color w:val="000000" w:themeColor="text1"/>
          <w14:textFill>
            <w14:solidFill>
              <w14:schemeClr w14:val="tx1"/>
            </w14:solidFill>
          </w14:textFill>
        </w:rPr>
        <w:t>，保证安装牢固</w:t>
      </w:r>
      <w:r>
        <w:rPr>
          <w:rFonts w:ascii="宋体" w:hAnsi="宋体"/>
          <w:color w:val="000000" w:themeColor="text1"/>
          <w14:textFill>
            <w14:solidFill>
              <w14:schemeClr w14:val="tx1"/>
            </w14:solidFill>
          </w14:textFill>
        </w:rPr>
        <w:t>。</w:t>
      </w:r>
    </w:p>
    <w:p>
      <w:pPr>
        <w:spacing w:line="360" w:lineRule="auto"/>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 xml:space="preserve">14.6.7 </w:t>
      </w:r>
      <w:r>
        <w:rPr>
          <w:rFonts w:hint="eastAsia" w:ascii="宋体" w:hAnsi="宋体" w:cstheme="minorEastAsia"/>
          <w:color w:val="000000" w:themeColor="text1"/>
          <w:kern w:val="0"/>
          <w:szCs w:val="21"/>
          <w14:textFill>
            <w14:solidFill>
              <w14:schemeClr w14:val="tx1"/>
            </w14:solidFill>
          </w14:textFill>
        </w:rPr>
        <w:t>后浇带宜用于不允许留设变形缝的工程部位。</w:t>
      </w:r>
    </w:p>
    <w:p>
      <w:pPr>
        <w:pageBreakBefore/>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610" w:name="_Toc24279"/>
      <w:r>
        <w:rPr>
          <w:rFonts w:hint="eastAsia"/>
          <w:b/>
          <w:color w:val="000000" w:themeColor="text1"/>
          <w:sz w:val="28"/>
          <w:szCs w:val="28"/>
          <w14:textFill>
            <w14:solidFill>
              <w14:schemeClr w14:val="tx1"/>
            </w14:solidFill>
          </w14:textFill>
        </w:rPr>
        <w:t>15  监控量测</w:t>
      </w:r>
      <w:bookmarkEnd w:id="610"/>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611" w:name="_Toc15648"/>
      <w:r>
        <w:rPr>
          <w:rFonts w:hint="eastAsia" w:hAnsi="宋体"/>
          <w:b/>
          <w:color w:val="000000" w:themeColor="text1"/>
          <w:sz w:val="24"/>
          <w14:textFill>
            <w14:solidFill>
              <w14:schemeClr w14:val="tx1"/>
            </w14:solidFill>
          </w14:textFill>
        </w:rPr>
        <w:t>15.1  一般规定</w:t>
      </w:r>
      <w:bookmarkEnd w:id="611"/>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15.1.7</w:t>
      </w:r>
      <w:r>
        <w:rPr>
          <w:rFonts w:hint="eastAsia" w:hAnsi="宋体"/>
          <w:color w:val="000000" w:themeColor="text1"/>
          <w:szCs w:val="21"/>
          <w14:textFill>
            <w14:solidFill>
              <w14:schemeClr w14:val="tx1"/>
            </w14:solidFill>
          </w14:textFill>
        </w:rPr>
        <w:t>对隧道本身进行施工监测外，还包括对环境的监测，连续监测是指应对所穿越工程进行穿越施工期间24小时不间断监测。</w:t>
      </w:r>
    </w:p>
    <w:p>
      <w:pPr>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612" w:name="_Toc3597"/>
      <w:r>
        <w:rPr>
          <w:rFonts w:hint="eastAsia" w:hAnsi="宋体"/>
          <w:b/>
          <w:color w:val="000000" w:themeColor="text1"/>
          <w:sz w:val="24"/>
          <w14:textFill>
            <w14:solidFill>
              <w14:schemeClr w14:val="tx1"/>
            </w14:solidFill>
          </w14:textFill>
        </w:rPr>
        <w:t>15.3  监测仪器</w:t>
      </w:r>
      <w:bookmarkEnd w:id="612"/>
    </w:p>
    <w:p>
      <w:pPr>
        <w:pStyle w:val="22"/>
        <w:tabs>
          <w:tab w:val="left" w:pos="851"/>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bCs/>
          <w:color w:val="000000" w:themeColor="text1"/>
          <w:szCs w:val="21"/>
          <w14:textFill>
            <w14:solidFill>
              <w14:schemeClr w14:val="tx1"/>
            </w14:solidFill>
          </w14:textFill>
        </w:rPr>
        <w:t>15.3.1</w:t>
      </w:r>
      <w:r>
        <w:rPr>
          <w:rFonts w:hint="eastAsia" w:hAnsi="宋体"/>
          <w:color w:val="000000" w:themeColor="text1"/>
          <w:szCs w:val="21"/>
          <w14:textFill>
            <w14:solidFill>
              <w14:schemeClr w14:val="tx1"/>
            </w14:solidFill>
          </w14:textFill>
        </w:rPr>
        <w:t xml:space="preserve"> 监测仪器包括电子水准仪、全站仪、位移计、收敛计、测斜仪等。</w:t>
      </w:r>
      <w:r>
        <w:rPr>
          <w:rFonts w:hint="eastAsia" w:hAnsi="宋体"/>
          <w:color w:val="000000" w:themeColor="text1"/>
          <w:szCs w:val="21"/>
          <w14:textFill>
            <w14:solidFill>
              <w14:schemeClr w14:val="tx1"/>
            </w14:solidFill>
          </w14:textFill>
        </w:rPr>
        <w:br w:type="page"/>
      </w:r>
    </w:p>
    <w:p>
      <w:pPr>
        <w:pageBreakBefore/>
        <w:tabs>
          <w:tab w:val="left" w:pos="360"/>
        </w:tabs>
        <w:adjustRightInd w:val="0"/>
        <w:snapToGrid w:val="0"/>
        <w:spacing w:before="312" w:beforeLines="100" w:after="312" w:afterLines="100" w:line="360" w:lineRule="auto"/>
        <w:jc w:val="center"/>
        <w:outlineLvl w:val="0"/>
        <w:rPr>
          <w:b/>
          <w:color w:val="000000" w:themeColor="text1"/>
          <w:sz w:val="28"/>
          <w:szCs w:val="28"/>
          <w14:textFill>
            <w14:solidFill>
              <w14:schemeClr w14:val="tx1"/>
            </w14:solidFill>
          </w14:textFill>
        </w:rPr>
      </w:pPr>
      <w:bookmarkStart w:id="613" w:name="_Toc6853"/>
      <w:r>
        <w:rPr>
          <w:rFonts w:hint="eastAsia"/>
          <w:b/>
          <w:color w:val="000000" w:themeColor="text1"/>
          <w:sz w:val="28"/>
          <w:szCs w:val="28"/>
          <w14:textFill>
            <w14:solidFill>
              <w14:schemeClr w14:val="tx1"/>
            </w14:solidFill>
          </w14:textFill>
        </w:rPr>
        <w:t>17  风、水、电、通风和扬尘控制</w:t>
      </w:r>
      <w:bookmarkEnd w:id="613"/>
    </w:p>
    <w:p>
      <w:pPr>
        <w:tabs>
          <w:tab w:val="left" w:pos="3270"/>
          <w:tab w:val="left" w:pos="5835"/>
        </w:tabs>
        <w:adjustRightInd w:val="0"/>
        <w:snapToGrid w:val="0"/>
        <w:spacing w:before="312" w:beforeLines="100" w:after="312" w:afterLines="100"/>
        <w:ind w:firstLine="482" w:firstLineChars="200"/>
        <w:jc w:val="center"/>
        <w:outlineLvl w:val="1"/>
        <w:rPr>
          <w:rFonts w:hAnsi="宋体"/>
          <w:b/>
          <w:color w:val="000000" w:themeColor="text1"/>
          <w:sz w:val="24"/>
          <w14:textFill>
            <w14:solidFill>
              <w14:schemeClr w14:val="tx1"/>
            </w14:solidFill>
          </w14:textFill>
        </w:rPr>
      </w:pPr>
      <w:bookmarkStart w:id="614" w:name="_Toc4772"/>
      <w:r>
        <w:rPr>
          <w:rFonts w:hint="eastAsia" w:hAnsi="宋体"/>
          <w:b/>
          <w:color w:val="000000" w:themeColor="text1"/>
          <w:sz w:val="24"/>
          <w14:textFill>
            <w14:solidFill>
              <w14:schemeClr w14:val="tx1"/>
            </w14:solidFill>
          </w14:textFill>
        </w:rPr>
        <w:t>17.1 供风系统</w:t>
      </w:r>
      <w:bookmarkEnd w:id="614"/>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b/>
          <w:color w:val="000000" w:themeColor="text1"/>
          <w14:textFill>
            <w14:solidFill>
              <w14:schemeClr w14:val="tx1"/>
            </w14:solidFill>
          </w14:textFill>
        </w:rPr>
        <w:t>17</w:t>
      </w:r>
      <w:r>
        <w:rPr>
          <w:b/>
          <w:color w:val="000000" w:themeColor="text1"/>
          <w14:textFill>
            <w14:solidFill>
              <w14:schemeClr w14:val="tx1"/>
            </w14:solidFill>
          </w14:textFill>
        </w:rPr>
        <w:t xml:space="preserve">.1.1 </w:t>
      </w:r>
      <w:r>
        <w:rPr>
          <w:rFonts w:hint="eastAsia" w:hAnsi="宋体"/>
          <w:color w:val="000000" w:themeColor="text1"/>
          <w:szCs w:val="21"/>
          <w14:textFill>
            <w14:solidFill>
              <w14:schemeClr w14:val="tx1"/>
            </w14:solidFill>
          </w14:textFill>
        </w:rPr>
        <w:t>轨道交通施工时，一般将空压机集中安设在竖井口的空气压缩机站内。为了方便施工，车站导洞开挖时，可采用移动式空压机。</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b/>
          <w:color w:val="000000" w:themeColor="text1"/>
          <w14:textFill>
            <w14:solidFill>
              <w14:schemeClr w14:val="tx1"/>
            </w14:solidFill>
          </w14:textFill>
        </w:rPr>
        <w:t>17</w:t>
      </w:r>
      <w:r>
        <w:rPr>
          <w:b/>
          <w:color w:val="000000" w:themeColor="text1"/>
          <w14:textFill>
            <w14:solidFill>
              <w14:schemeClr w14:val="tx1"/>
            </w14:solidFill>
          </w14:textFill>
        </w:rPr>
        <w:t>.1.2</w:t>
      </w:r>
      <w:r>
        <w:rPr>
          <w:rFonts w:hint="eastAsia"/>
          <w:b/>
          <w:color w:val="000000" w:themeColor="text1"/>
          <w14:textFill>
            <w14:solidFill>
              <w14:schemeClr w14:val="tx1"/>
            </w14:solidFill>
          </w14:textFill>
        </w:rPr>
        <w:t xml:space="preserve"> </w:t>
      </w:r>
      <w:r>
        <w:rPr>
          <w:rFonts w:hint="eastAsia" w:hAnsi="宋体"/>
          <w:color w:val="000000" w:themeColor="text1"/>
          <w:szCs w:val="21"/>
          <w14:textFill>
            <w14:solidFill>
              <w14:schemeClr w14:val="tx1"/>
            </w14:solidFill>
          </w14:textFill>
        </w:rPr>
        <w:t>轨道交通暗挖隧道、车站一般在城区施工，距离居民、单位较近，噪声、振动对环境影响较大，需要采取措施。</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 xml:space="preserve">.1.4 </w:t>
      </w:r>
      <w:r>
        <w:rPr>
          <w:rFonts w:hint="eastAsia" w:hAnsi="宋体"/>
          <w:color w:val="000000" w:themeColor="text1"/>
          <w:szCs w:val="21"/>
          <w14:textFill>
            <w14:solidFill>
              <w14:schemeClr w14:val="tx1"/>
            </w14:solidFill>
          </w14:textFill>
        </w:rPr>
        <w:t>压缩空气在输送过程中，由于管壁摩擦、接头、阀门等产生沿程阻力，会产生压力损失。钢管的风压损失</w:t>
      </w:r>
      <m:oMath>
        <m:r>
          <m:rPr>
            <m:sty m:val="p"/>
          </m:rPr>
          <w:rPr>
            <w:rFonts w:ascii="Cambria Math" w:hAnsi="Cambria Math"/>
            <w:color w:val="000000" w:themeColor="text1"/>
            <w:szCs w:val="21"/>
            <w14:textFill>
              <w14:solidFill>
                <w14:schemeClr w14:val="tx1"/>
              </w14:solidFill>
            </w14:textFill>
          </w:rPr>
          <m:t>∆</m:t>
        </m:r>
        <m:r>
          <m:rPr/>
          <w:rPr>
            <w:rFonts w:ascii="Cambria Math" w:hAnsi="Cambria Math" w:eastAsiaTheme="minorEastAsia"/>
            <w:color w:val="000000" w:themeColor="text1"/>
            <w:szCs w:val="21"/>
            <w14:textFill>
              <w14:solidFill>
                <w14:schemeClr w14:val="tx1"/>
              </w14:solidFill>
            </w14:textFill>
          </w:rPr>
          <m:t>p</m:t>
        </m:r>
      </m:oMath>
      <w:r>
        <w:rPr>
          <w:rFonts w:hint="eastAsia" w:hAnsi="宋体"/>
          <w:color w:val="000000" w:themeColor="text1"/>
          <w:szCs w:val="21"/>
          <w14:textFill>
            <w14:solidFill>
              <w14:schemeClr w14:val="tx1"/>
            </w14:solidFill>
          </w14:textFill>
        </w:rPr>
        <w:t>可由下式估算：</w:t>
      </w:r>
    </w:p>
    <w:p>
      <w:pPr>
        <w:pStyle w:val="22"/>
        <w:tabs>
          <w:tab w:val="left" w:pos="851"/>
          <w:tab w:val="left" w:pos="5835"/>
        </w:tabs>
        <w:snapToGrid w:val="0"/>
        <w:spacing w:line="360" w:lineRule="auto"/>
        <w:ind w:firstLine="0" w:firstLineChars="0"/>
        <w:jc w:val="left"/>
        <w:rPr>
          <w:rFonts w:ascii="宋体" w:hAnsi="宋体"/>
          <w:color w:val="000000" w:themeColor="text1"/>
          <w:szCs w:val="21"/>
          <w14:textFill>
            <w14:solidFill>
              <w14:schemeClr w14:val="tx1"/>
            </w14:solidFill>
          </w14:textFill>
        </w:rPr>
      </w:pPr>
      <m:oMathPara>
        <m:oMath>
          <m:r>
            <m:rPr>
              <m:sty m:val="p"/>
            </m:rPr>
            <w:rPr>
              <w:rFonts w:ascii="Cambria Math" w:hAnsi="Cambria Math"/>
              <w:color w:val="000000" w:themeColor="text1"/>
              <w:szCs w:val="21"/>
              <w14:textFill>
                <w14:solidFill>
                  <w14:schemeClr w14:val="tx1"/>
                </w14:solidFill>
              </w14:textFill>
            </w:rPr>
            <m:t>∆</m:t>
          </m:r>
          <m:r>
            <m:rPr/>
            <w:rPr>
              <w:rFonts w:ascii="Cambria Math" w:hAnsi="Cambria Math" w:eastAsiaTheme="minorEastAsia"/>
              <w:color w:val="000000" w:themeColor="text1"/>
              <w:szCs w:val="21"/>
              <w14:textFill>
                <w14:solidFill>
                  <w14:schemeClr w14:val="tx1"/>
                </w14:solidFill>
              </w14:textFill>
            </w:rPr>
            <m:t>p</m:t>
          </m:r>
          <m:r>
            <m:rPr>
              <m:sty m:val="p"/>
            </m:rPr>
            <w:rPr>
              <w:rFonts w:ascii="Cambria Math" w:hAnsi="Cambria Math"/>
              <w:color w:val="000000" w:themeColor="text1"/>
              <w:szCs w:val="21"/>
              <w14:textFill>
                <w14:solidFill>
                  <w14:schemeClr w14:val="tx1"/>
                </w14:solidFill>
              </w14:textFill>
            </w:rPr>
            <m:t>=λ∙</m:t>
          </m:r>
          <m:f>
            <m:fPr>
              <m:ctrlPr>
                <w:rPr>
                  <w:rFonts w:ascii="Cambria Math" w:hAnsi="Cambria Math"/>
                  <w:color w:val="000000" w:themeColor="text1"/>
                  <w:szCs w:val="21"/>
                  <w14:textFill>
                    <w14:solidFill>
                      <w14:schemeClr w14:val="tx1"/>
                    </w14:solidFill>
                  </w14:textFill>
                </w:rPr>
              </m:ctrlPr>
            </m:fPr>
            <m:num>
              <m:r>
                <m:rPr>
                  <m:sty m:val="p"/>
                </m:rPr>
                <w:rPr>
                  <w:rFonts w:ascii="Cambria Math" w:hAnsi="Cambria Math"/>
                  <w:color w:val="000000" w:themeColor="text1"/>
                  <w:szCs w:val="21"/>
                  <w14:textFill>
                    <w14:solidFill>
                      <w14:schemeClr w14:val="tx1"/>
                    </w14:solidFill>
                  </w14:textFill>
                </w:rPr>
                <m:t>L</m:t>
              </m:r>
              <m:ctrlPr>
                <w:rPr>
                  <w:rFonts w:ascii="Cambria Math" w:hAnsi="Cambria Math"/>
                  <w:color w:val="000000" w:themeColor="text1"/>
                  <w:szCs w:val="21"/>
                  <w14:textFill>
                    <w14:solidFill>
                      <w14:schemeClr w14:val="tx1"/>
                    </w14:solidFill>
                  </w14:textFill>
                </w:rPr>
              </m:ctrlPr>
            </m:num>
            <m:den>
              <m:r>
                <m:rPr>
                  <m:sty m:val="p"/>
                </m:rPr>
                <w:rPr>
                  <w:rFonts w:ascii="Cambria Math" w:hAnsi="Cambria Math"/>
                  <w:color w:val="000000" w:themeColor="text1"/>
                  <w:szCs w:val="21"/>
                  <w14:textFill>
                    <w14:solidFill>
                      <w14:schemeClr w14:val="tx1"/>
                    </w14:solidFill>
                  </w14:textFill>
                </w:rPr>
                <m:t>d</m:t>
              </m:r>
              <m:ctrlPr>
                <w:rPr>
                  <w:rFonts w:ascii="Cambria Math" w:hAnsi="Cambria Math"/>
                  <w:color w:val="000000" w:themeColor="text1"/>
                  <w:szCs w:val="21"/>
                  <w14:textFill>
                    <w14:solidFill>
                      <w14:schemeClr w14:val="tx1"/>
                    </w14:solidFill>
                  </w14:textFill>
                </w:rPr>
              </m:ctrlPr>
            </m:den>
          </m:f>
          <m:r>
            <m:rPr>
              <m:sty m:val="p"/>
            </m:rPr>
            <w:rPr>
              <w:rFonts w:ascii="Cambria Math" w:hAnsi="Cambria Math"/>
              <w:color w:val="000000" w:themeColor="text1"/>
              <w:szCs w:val="21"/>
              <w14:textFill>
                <w14:solidFill>
                  <w14:schemeClr w14:val="tx1"/>
                </w14:solidFill>
              </w14:textFill>
            </w:rPr>
            <m:t>∙</m:t>
          </m:r>
          <m:f>
            <m:fPr>
              <m:ctrlPr>
                <w:rPr>
                  <w:rFonts w:ascii="Cambria Math" w:hAnsi="Cambria Math"/>
                  <w:color w:val="000000" w:themeColor="text1"/>
                  <w:szCs w:val="21"/>
                  <w14:textFill>
                    <w14:solidFill>
                      <w14:schemeClr w14:val="tx1"/>
                    </w14:solidFill>
                  </w14:textFill>
                </w:rPr>
              </m:ctrlPr>
            </m:fPr>
            <m:num>
              <m:sSup>
                <m:sSupPr>
                  <m:ctrlPr>
                    <w:rPr>
                      <w:rFonts w:ascii="Cambria Math" w:hAnsi="Cambria Math"/>
                      <w:color w:val="000000" w:themeColor="text1"/>
                      <w:szCs w:val="21"/>
                      <w14:textFill>
                        <w14:solidFill>
                          <w14:schemeClr w14:val="tx1"/>
                        </w14:solidFill>
                      </w14:textFill>
                    </w:rPr>
                  </m:ctrlPr>
                </m:sSupPr>
                <m:e>
                  <m:r>
                    <m:rPr/>
                    <w:rPr>
                      <w:rFonts w:ascii="Cambria Math" w:hAnsi="Cambria Math"/>
                      <w:color w:val="000000" w:themeColor="text1"/>
                      <w:szCs w:val="21"/>
                      <w14:textFill>
                        <w14:solidFill>
                          <w14:schemeClr w14:val="tx1"/>
                        </w14:solidFill>
                      </w14:textFill>
                    </w:rPr>
                    <m:t>ν</m:t>
                  </m:r>
                  <m:ctrlPr>
                    <w:rPr>
                      <w:rFonts w:ascii="Cambria Math" w:hAnsi="Cambria Math"/>
                      <w:color w:val="000000" w:themeColor="text1"/>
                      <w:szCs w:val="21"/>
                      <w14:textFill>
                        <w14:solidFill>
                          <w14:schemeClr w14:val="tx1"/>
                        </w14:solidFill>
                      </w14:textFill>
                    </w:rPr>
                  </m:ctrlPr>
                </m:e>
                <m:sup>
                  <m:r>
                    <m:rPr/>
                    <w:rPr>
                      <w:rFonts w:ascii="Cambria Math" w:hAnsi="Cambria Math"/>
                      <w:color w:val="000000" w:themeColor="text1"/>
                      <w:szCs w:val="21"/>
                      <w14:textFill>
                        <w14:solidFill>
                          <w14:schemeClr w14:val="tx1"/>
                        </w14:solidFill>
                      </w14:textFill>
                    </w:rPr>
                    <m:t>2</m:t>
                  </m:r>
                  <m:ctrlPr>
                    <w:rPr>
                      <w:rFonts w:ascii="Cambria Math" w:hAnsi="Cambria Math"/>
                      <w:color w:val="000000" w:themeColor="text1"/>
                      <w:szCs w:val="21"/>
                      <w14:textFill>
                        <w14:solidFill>
                          <w14:schemeClr w14:val="tx1"/>
                        </w14:solidFill>
                      </w14:textFill>
                    </w:rPr>
                  </m:ctrlPr>
                </m:sup>
              </m:sSup>
              <m:ctrlPr>
                <w:rPr>
                  <w:rFonts w:ascii="Cambria Math" w:hAnsi="Cambria Math"/>
                  <w:color w:val="000000" w:themeColor="text1"/>
                  <w:szCs w:val="21"/>
                  <w14:textFill>
                    <w14:solidFill>
                      <w14:schemeClr w14:val="tx1"/>
                    </w14:solidFill>
                  </w14:textFill>
                </w:rPr>
              </m:ctrlPr>
            </m:num>
            <m:den>
              <m:r>
                <m:rPr>
                  <m:sty m:val="p"/>
                </m:rPr>
                <w:rPr>
                  <w:rFonts w:ascii="Cambria Math" w:hAnsi="Cambria Math"/>
                  <w:color w:val="000000" w:themeColor="text1"/>
                  <w:szCs w:val="21"/>
                  <w14:textFill>
                    <w14:solidFill>
                      <w14:schemeClr w14:val="tx1"/>
                    </w14:solidFill>
                  </w14:textFill>
                </w:rPr>
                <m:t>2g</m:t>
              </m:r>
              <m:ctrlPr>
                <w:rPr>
                  <w:rFonts w:ascii="Cambria Math" w:hAnsi="Cambria Math"/>
                  <w:color w:val="000000" w:themeColor="text1"/>
                  <w:szCs w:val="21"/>
                  <w14:textFill>
                    <w14:solidFill>
                      <w14:schemeClr w14:val="tx1"/>
                    </w14:solidFill>
                  </w14:textFill>
                </w:rPr>
              </m:ctrlPr>
            </m:den>
          </m:f>
          <m:r>
            <m:rPr>
              <m:sty m:val="p"/>
            </m:rPr>
            <w:rPr>
              <w:rFonts w:ascii="Cambria Math" w:hAnsi="Cambria Math"/>
              <w:color w:val="000000" w:themeColor="text1"/>
              <w:szCs w:val="21"/>
              <w14:textFill>
                <w14:solidFill>
                  <w14:schemeClr w14:val="tx1"/>
                </w14:solidFill>
              </w14:textFill>
            </w:rPr>
            <m:t>∙γ∙</m:t>
          </m:r>
          <m:sSup>
            <m:sSupPr>
              <m:ctrlPr>
                <w:rPr>
                  <w:rFonts w:ascii="Cambria Math" w:hAnsi="Cambria Math"/>
                  <w:color w:val="000000" w:themeColor="text1"/>
                  <w:szCs w:val="21"/>
                  <w14:textFill>
                    <w14:solidFill>
                      <w14:schemeClr w14:val="tx1"/>
                    </w14:solidFill>
                  </w14:textFill>
                </w:rPr>
              </m:ctrlPr>
            </m:sSupPr>
            <m:e>
              <m:r>
                <m:rPr>
                  <m:sty m:val="p"/>
                </m:rPr>
                <w:rPr>
                  <w:rFonts w:ascii="Cambria Math" w:hAnsi="Cambria Math"/>
                  <w:color w:val="000000" w:themeColor="text1"/>
                  <w:szCs w:val="21"/>
                  <w14:textFill>
                    <w14:solidFill>
                      <w14:schemeClr w14:val="tx1"/>
                    </w14:solidFill>
                  </w14:textFill>
                </w:rPr>
                <m:t>10</m:t>
              </m:r>
              <m:ctrlPr>
                <w:rPr>
                  <w:rFonts w:ascii="Cambria Math" w:hAnsi="Cambria Math"/>
                  <w:color w:val="000000" w:themeColor="text1"/>
                  <w:szCs w:val="21"/>
                  <w14:textFill>
                    <w14:solidFill>
                      <w14:schemeClr w14:val="tx1"/>
                    </w14:solidFill>
                  </w14:textFill>
                </w:rPr>
              </m:ctrlPr>
            </m:e>
            <m:sup>
              <m:r>
                <m:rPr>
                  <m:sty m:val="p"/>
                </m:rPr>
                <w:rPr>
                  <w:rFonts w:ascii="Cambria Math" w:hAnsi="Cambria Math"/>
                  <w:color w:val="000000" w:themeColor="text1"/>
                  <w:szCs w:val="21"/>
                  <w14:textFill>
                    <w14:solidFill>
                      <w14:schemeClr w14:val="tx1"/>
                    </w14:solidFill>
                  </w14:textFill>
                </w:rPr>
                <m:t>−6</m:t>
              </m:r>
              <m:ctrlPr>
                <w:rPr>
                  <w:rFonts w:ascii="Cambria Math" w:hAnsi="Cambria Math"/>
                  <w:color w:val="000000" w:themeColor="text1"/>
                  <w:szCs w:val="21"/>
                  <w14:textFill>
                    <w14:solidFill>
                      <w14:schemeClr w14:val="tx1"/>
                    </w14:solidFill>
                  </w14:textFill>
                </w:rPr>
              </m:ctrlPr>
            </m:sup>
          </m:sSup>
          <m:r>
            <m:rPr>
              <m:sty m:val="p"/>
            </m:rPr>
            <w:rPr>
              <w:rFonts w:ascii="Cambria Math" w:hAnsi="Cambria Math"/>
              <w:color w:val="000000" w:themeColor="text1"/>
              <w:szCs w:val="21"/>
              <w14:textFill>
                <w14:solidFill>
                  <w14:schemeClr w14:val="tx1"/>
                </w14:solidFill>
              </w14:textFill>
            </w:rPr>
            <m:t xml:space="preserve">   (MPa)</m:t>
          </m:r>
        </m:oMath>
      </m:oMathPara>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 xml:space="preserve">式中： </w:t>
      </w:r>
      <w:r>
        <w:rPr>
          <w:rFonts w:hAnsi="宋体"/>
          <w:color w:val="000000" w:themeColor="text1"/>
          <w:szCs w:val="21"/>
          <w14:textFill>
            <w14:solidFill>
              <w14:schemeClr w14:val="tx1"/>
            </w14:solidFill>
          </w14:textFill>
        </w:rPr>
        <w:t xml:space="preserve"> </w:t>
      </w:r>
      <m:oMath>
        <m:r>
          <m:rPr>
            <m:sty m:val="p"/>
          </m:rPr>
          <w:rPr>
            <w:rFonts w:ascii="Cambria Math" w:hAnsi="Cambria Math"/>
            <w:color w:val="000000" w:themeColor="text1"/>
            <w:szCs w:val="21"/>
            <w14:textFill>
              <w14:solidFill>
                <w14:schemeClr w14:val="tx1"/>
              </w14:solidFill>
            </w14:textFill>
          </w:rPr>
          <m:t>λ</m:t>
        </m:r>
      </m:oMath>
      <w:r>
        <w:rPr>
          <w:rFonts w:hAnsi="宋体"/>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w:t>
      </w:r>
      <w:r>
        <w:rPr>
          <w:rFonts w:hAnsi="宋体"/>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摩阻系数，根据表</w:t>
      </w:r>
      <w:r>
        <w:rPr>
          <w:rFonts w:hAnsi="宋体"/>
          <w:color w:val="000000" w:themeColor="text1"/>
          <w:szCs w:val="21"/>
          <w14:textFill>
            <w14:solidFill>
              <w14:schemeClr w14:val="tx1"/>
            </w14:solidFill>
          </w14:textFill>
        </w:rPr>
        <w:t>4-5-1</w:t>
      </w:r>
      <w:r>
        <w:rPr>
          <w:rFonts w:hint="eastAsia" w:hAnsi="宋体"/>
          <w:color w:val="000000" w:themeColor="text1"/>
          <w:szCs w:val="21"/>
          <w14:textFill>
            <w14:solidFill>
              <w14:schemeClr w14:val="tx1"/>
            </w14:solidFill>
          </w14:textFill>
        </w:rPr>
        <w:t>取值；</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 xml:space="preserve">    </w:t>
      </w:r>
      <w:r>
        <w:rPr>
          <w:rFonts w:hAnsi="宋体"/>
          <w:color w:val="000000" w:themeColor="text1"/>
          <w:szCs w:val="21"/>
          <w14:textFill>
            <w14:solidFill>
              <w14:schemeClr w14:val="tx1"/>
            </w14:solidFill>
          </w14:textFill>
        </w:rPr>
        <w:t xml:space="preserve">L </w:t>
      </w:r>
      <w:r>
        <w:rPr>
          <w:rFonts w:hint="eastAsia" w:hAnsi="宋体"/>
          <w:color w:val="000000" w:themeColor="text1"/>
          <w:szCs w:val="21"/>
          <w14:textFill>
            <w14:solidFill>
              <w14:schemeClr w14:val="tx1"/>
            </w14:solidFill>
          </w14:textFill>
        </w:rPr>
        <w:t>—</w:t>
      </w:r>
      <w:r>
        <w:rPr>
          <w:rFonts w:hAnsi="宋体"/>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输送高压风管路长度（</w:t>
      </w:r>
      <w:r>
        <w:rPr>
          <w:rFonts w:hAnsi="宋体"/>
          <w:color w:val="000000" w:themeColor="text1"/>
          <w:szCs w:val="21"/>
          <w14:textFill>
            <w14:solidFill>
              <w14:schemeClr w14:val="tx1"/>
            </w14:solidFill>
          </w14:textFill>
        </w:rPr>
        <w:t>m</w:t>
      </w:r>
      <w:r>
        <w:rPr>
          <w:rFonts w:hint="eastAsia" w:hAnsi="宋体"/>
          <w:color w:val="000000" w:themeColor="text1"/>
          <w:szCs w:val="21"/>
          <w14:textFill>
            <w14:solidFill>
              <w14:schemeClr w14:val="tx1"/>
            </w14:solidFill>
          </w14:textFill>
        </w:rPr>
        <w:t>）；</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 xml:space="preserve">    </w:t>
      </w:r>
      <w:r>
        <w:rPr>
          <w:rFonts w:hAnsi="宋体"/>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d</w:t>
      </w:r>
      <w:r>
        <w:rPr>
          <w:rFonts w:hAnsi="宋体"/>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w:t>
      </w:r>
      <w:r>
        <w:rPr>
          <w:rFonts w:hAnsi="宋体"/>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风管内径（</w:t>
      </w:r>
      <w:r>
        <w:rPr>
          <w:rFonts w:hAnsi="宋体"/>
          <w:color w:val="000000" w:themeColor="text1"/>
          <w:szCs w:val="21"/>
          <w14:textFill>
            <w14:solidFill>
              <w14:schemeClr w14:val="tx1"/>
            </w14:solidFill>
          </w14:textFill>
        </w:rPr>
        <w:t>m</w:t>
      </w:r>
      <w:r>
        <w:rPr>
          <w:rFonts w:hint="eastAsia" w:hAnsi="宋体"/>
          <w:color w:val="000000" w:themeColor="text1"/>
          <w:szCs w:val="21"/>
          <w14:textFill>
            <w14:solidFill>
              <w14:schemeClr w14:val="tx1"/>
            </w14:solidFill>
          </w14:textFill>
        </w:rPr>
        <w:t>）；</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 xml:space="preserve">    </w:t>
      </w:r>
      <w:r>
        <w:rPr>
          <w:rFonts w:hAnsi="宋体"/>
          <w:color w:val="000000" w:themeColor="text1"/>
          <w:szCs w:val="21"/>
          <w14:textFill>
            <w14:solidFill>
              <w14:schemeClr w14:val="tx1"/>
            </w14:solidFill>
          </w14:textFill>
        </w:rPr>
        <w:t xml:space="preserve">g </w:t>
      </w:r>
      <w:r>
        <w:rPr>
          <w:rFonts w:hint="eastAsia" w:hAnsi="宋体"/>
          <w:color w:val="000000" w:themeColor="text1"/>
          <w:szCs w:val="21"/>
          <w14:textFill>
            <w14:solidFill>
              <w14:schemeClr w14:val="tx1"/>
            </w14:solidFill>
          </w14:textFill>
        </w:rPr>
        <w:t>—</w:t>
      </w:r>
      <w:r>
        <w:rPr>
          <w:rFonts w:hAnsi="宋体"/>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重力加速度，取</w:t>
      </w:r>
      <w:r>
        <w:rPr>
          <w:rFonts w:hAnsi="宋体"/>
          <w:color w:val="000000" w:themeColor="text1"/>
          <w:szCs w:val="21"/>
          <w14:textFill>
            <w14:solidFill>
              <w14:schemeClr w14:val="tx1"/>
            </w14:solidFill>
          </w14:textFill>
        </w:rPr>
        <w:t>9.81m/s</w:t>
      </w:r>
      <w:r>
        <w:rPr>
          <w:rFonts w:hAnsi="宋体"/>
          <w:color w:val="000000" w:themeColor="text1"/>
          <w:szCs w:val="21"/>
          <w:vertAlign w:val="superscript"/>
          <w14:textFill>
            <w14:solidFill>
              <w14:schemeClr w14:val="tx1"/>
            </w14:solidFill>
          </w14:textFill>
        </w:rPr>
        <w:t>2</w:t>
      </w:r>
      <w:r>
        <w:rPr>
          <w:rFonts w:hint="eastAsia" w:hAnsi="宋体"/>
          <w:color w:val="000000" w:themeColor="text1"/>
          <w:szCs w:val="21"/>
          <w14:textFill>
            <w14:solidFill>
              <w14:schemeClr w14:val="tx1"/>
            </w14:solidFill>
          </w14:textFill>
        </w:rPr>
        <w:t>；</w:t>
      </w:r>
    </w:p>
    <w:p>
      <w:pPr>
        <w:pStyle w:val="22"/>
        <w:tabs>
          <w:tab w:val="left" w:pos="851"/>
          <w:tab w:val="left" w:pos="5835"/>
        </w:tabs>
        <w:snapToGrid w:val="0"/>
        <w:spacing w:line="360" w:lineRule="auto"/>
        <w:ind w:firstLine="840" w:firstLineChars="400"/>
        <w:jc w:val="left"/>
        <w:rPr>
          <w:rFonts w:hAnsi="宋体"/>
          <w:color w:val="000000" w:themeColor="text1"/>
          <w:szCs w:val="21"/>
          <w14:textFill>
            <w14:solidFill>
              <w14:schemeClr w14:val="tx1"/>
            </w14:solidFill>
          </w14:textFill>
        </w:rPr>
      </w:pPr>
      <m:oMath>
        <m:r>
          <m:rPr>
            <m:sty m:val="p"/>
          </m:rPr>
          <w:rPr>
            <w:rFonts w:ascii="Cambria Math" w:hAnsi="Cambria Math"/>
            <w:color w:val="000000" w:themeColor="text1"/>
            <w:szCs w:val="21"/>
            <w14:textFill>
              <w14:solidFill>
                <w14:schemeClr w14:val="tx1"/>
              </w14:solidFill>
            </w14:textFill>
          </w:rPr>
          <m:t>γ</m:t>
        </m:r>
      </m:oMath>
      <w:r>
        <w:rPr>
          <w:rFonts w:hint="eastAsia" w:hAnsi="Cambria Math"/>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w:t>
      </w:r>
      <w:r>
        <w:rPr>
          <w:rFonts w:hAnsi="宋体"/>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压缩空气重度（</w:t>
      </w:r>
      <w:r>
        <w:rPr>
          <w:rFonts w:hAnsi="宋体"/>
          <w:color w:val="000000" w:themeColor="text1"/>
          <w:szCs w:val="21"/>
          <w14:textFill>
            <w14:solidFill>
              <w14:schemeClr w14:val="tx1"/>
            </w14:solidFill>
          </w14:textFill>
        </w:rPr>
        <w:t>N/m</w:t>
      </w:r>
      <w:r>
        <w:rPr>
          <w:rFonts w:hAnsi="宋体"/>
          <w:color w:val="000000" w:themeColor="text1"/>
          <w:szCs w:val="21"/>
          <w:vertAlign w:val="superscript"/>
          <w14:textFill>
            <w14:solidFill>
              <w14:schemeClr w14:val="tx1"/>
            </w14:solidFill>
          </w14:textFill>
        </w:rPr>
        <w:t>3</w:t>
      </w:r>
      <w:r>
        <w:rPr>
          <w:rFonts w:hint="eastAsia" w:hAnsi="宋体"/>
          <w:color w:val="000000" w:themeColor="text1"/>
          <w:szCs w:val="21"/>
          <w14:textFill>
            <w14:solidFill>
              <w14:schemeClr w14:val="tx1"/>
            </w14:solidFill>
          </w14:textFill>
        </w:rPr>
        <w:t>）；</w:t>
      </w:r>
    </w:p>
    <w:p>
      <w:pPr>
        <w:pStyle w:val="22"/>
        <w:tabs>
          <w:tab w:val="left" w:pos="851"/>
          <w:tab w:val="left" w:pos="5835"/>
        </w:tabs>
        <w:snapToGrid w:val="0"/>
        <w:spacing w:line="360" w:lineRule="auto"/>
        <w:ind w:firstLine="840" w:firstLineChars="400"/>
        <w:jc w:val="left"/>
        <w:rPr>
          <w:rFonts w:hAnsi="宋体"/>
          <w:color w:val="000000" w:themeColor="text1"/>
          <w:szCs w:val="21"/>
          <w14:textFill>
            <w14:solidFill>
              <w14:schemeClr w14:val="tx1"/>
            </w14:solidFill>
          </w14:textFill>
        </w:rPr>
      </w:pPr>
      <m:oMath>
        <m:r>
          <m:rPr/>
          <w:rPr>
            <w:rFonts w:ascii="Cambria Math" w:hAnsi="Cambria Math"/>
            <w:color w:val="000000" w:themeColor="text1"/>
            <w:szCs w:val="21"/>
            <w14:textFill>
              <w14:solidFill>
                <w14:schemeClr w14:val="tx1"/>
              </w14:solidFill>
            </w14:textFill>
          </w:rPr>
          <m:t>ν</m:t>
        </m:r>
      </m:oMath>
      <w:r>
        <w:rPr>
          <w:rFonts w:hAnsi="宋体"/>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w:t>
      </w:r>
      <w:r>
        <w:rPr>
          <w:rFonts w:hAnsi="宋体"/>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压缩空气在风管中的速度（</w:t>
      </w:r>
      <w:r>
        <w:rPr>
          <w:rFonts w:hAnsi="宋体"/>
          <w:color w:val="000000" w:themeColor="text1"/>
          <w:szCs w:val="21"/>
          <w14:textFill>
            <w14:solidFill>
              <w14:schemeClr w14:val="tx1"/>
            </w14:solidFill>
          </w14:textFill>
        </w:rPr>
        <w:t>m/s</w:t>
      </w:r>
      <w:r>
        <w:rPr>
          <w:rFonts w:hint="eastAsia" w:hAnsi="宋体"/>
          <w:color w:val="000000" w:themeColor="text1"/>
          <w:szCs w:val="21"/>
          <w14:textFill>
            <w14:solidFill>
              <w14:schemeClr w14:val="tx1"/>
            </w14:solidFill>
          </w14:textFill>
        </w:rPr>
        <w:t>）。</w:t>
      </w:r>
    </w:p>
    <w:p>
      <w:pPr>
        <w:snapToGrid w:val="0"/>
        <w:spacing w:line="360" w:lineRule="auto"/>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 xml:space="preserve">风管摩阻系数 </w:t>
      </w:r>
      <m:oMath>
        <m:r>
          <m:rPr>
            <m:sty m:val="p"/>
          </m:rPr>
          <w:rPr>
            <w:rFonts w:ascii="Cambria Math" w:hAnsi="Cambria Math"/>
            <w:color w:val="000000" w:themeColor="text1"/>
            <w:szCs w:val="21"/>
            <w14:textFill>
              <w14:solidFill>
                <w14:schemeClr w14:val="tx1"/>
              </w14:solidFill>
            </w14:textFill>
          </w:rPr>
          <m:t>λ</m:t>
        </m:r>
      </m:oMath>
      <w:r>
        <w:rPr>
          <w:rFonts w:hAnsi="宋体"/>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值</w:t>
      </w:r>
    </w:p>
    <w:tbl>
      <w:tblPr>
        <w:tblStyle w:val="1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6"/>
        <w:gridCol w:w="1818"/>
        <w:gridCol w:w="1867"/>
        <w:gridCol w:w="18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6" w:type="dxa"/>
            <w:vAlign w:val="center"/>
          </w:tcPr>
          <w:p>
            <w:pPr>
              <w:tabs>
                <w:tab w:val="left" w:pos="851"/>
                <w:tab w:val="left" w:pos="5835"/>
              </w:tabs>
              <w:snapToGrid w:val="0"/>
              <w:spacing w:line="440" w:lineRule="exact"/>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风管内径（</w:t>
            </w:r>
            <w:r>
              <w:rPr>
                <w:rFonts w:hAnsi="宋体"/>
                <w:color w:val="000000" w:themeColor="text1"/>
                <w:szCs w:val="21"/>
                <w14:textFill>
                  <w14:solidFill>
                    <w14:schemeClr w14:val="tx1"/>
                  </w14:solidFill>
                </w14:textFill>
              </w:rPr>
              <w:t>mm</w:t>
            </w:r>
            <w:r>
              <w:rPr>
                <w:rFonts w:hint="eastAsia" w:hAnsi="宋体"/>
                <w:color w:val="000000" w:themeColor="text1"/>
                <w:szCs w:val="21"/>
                <w14:textFill>
                  <w14:solidFill>
                    <w14:schemeClr w14:val="tx1"/>
                  </w14:solidFill>
                </w14:textFill>
              </w:rPr>
              <w:t>）</w:t>
            </w:r>
          </w:p>
        </w:tc>
        <w:tc>
          <w:tcPr>
            <w:tcW w:w="1818" w:type="dxa"/>
            <w:vAlign w:val="center"/>
          </w:tcPr>
          <w:p>
            <w:pPr>
              <w:tabs>
                <w:tab w:val="left" w:pos="851"/>
                <w:tab w:val="left" w:pos="5835"/>
              </w:tabs>
              <w:snapToGrid w:val="0"/>
              <w:spacing w:line="440" w:lineRule="exact"/>
              <w:jc w:val="center"/>
              <w:rPr>
                <w:rFonts w:hAnsi="宋体"/>
                <w:color w:val="000000" w:themeColor="text1"/>
                <w:szCs w:val="21"/>
                <w14:textFill>
                  <w14:solidFill>
                    <w14:schemeClr w14:val="tx1"/>
                  </w14:solidFill>
                </w14:textFill>
              </w:rPr>
            </w:pPr>
            <m:oMath>
              <m:r>
                <m:rPr>
                  <m:sty m:val="p"/>
                </m:rPr>
                <w:rPr>
                  <w:rFonts w:ascii="Cambria Math" w:hAnsi="Cambria Math"/>
                  <w:color w:val="000000" w:themeColor="text1"/>
                  <w:szCs w:val="21"/>
                  <w14:textFill>
                    <w14:solidFill>
                      <w14:schemeClr w14:val="tx1"/>
                    </w14:solidFill>
                  </w14:textFill>
                </w:rPr>
                <m:t>λ</m:t>
              </m:r>
            </m:oMath>
            <w:r>
              <w:rPr>
                <w:rFonts w:hAnsi="宋体"/>
                <w:color w:val="000000" w:themeColor="text1"/>
                <w:szCs w:val="21"/>
                <w14:textFill>
                  <w14:solidFill>
                    <w14:schemeClr w14:val="tx1"/>
                  </w14:solidFill>
                </w14:textFill>
              </w:rPr>
              <w:t xml:space="preserve"> </w:t>
            </w:r>
          </w:p>
        </w:tc>
        <w:tc>
          <w:tcPr>
            <w:tcW w:w="1867" w:type="dxa"/>
            <w:vAlign w:val="center"/>
          </w:tcPr>
          <w:p>
            <w:pPr>
              <w:tabs>
                <w:tab w:val="left" w:pos="851"/>
                <w:tab w:val="left" w:pos="5835"/>
              </w:tabs>
              <w:snapToGrid w:val="0"/>
              <w:spacing w:line="440" w:lineRule="exact"/>
              <w:jc w:val="center"/>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风管内径（</w:t>
            </w:r>
            <w:r>
              <w:rPr>
                <w:rFonts w:hAnsi="宋体"/>
                <w:color w:val="000000" w:themeColor="text1"/>
                <w:szCs w:val="21"/>
                <w14:textFill>
                  <w14:solidFill>
                    <w14:schemeClr w14:val="tx1"/>
                  </w14:solidFill>
                </w14:textFill>
              </w:rPr>
              <w:t>mm</w:t>
            </w:r>
            <w:r>
              <w:rPr>
                <w:rFonts w:hint="eastAsia" w:hAnsi="宋体"/>
                <w:color w:val="000000" w:themeColor="text1"/>
                <w:szCs w:val="21"/>
                <w14:textFill>
                  <w14:solidFill>
                    <w14:schemeClr w14:val="tx1"/>
                  </w14:solidFill>
                </w14:textFill>
              </w:rPr>
              <w:t>）</w:t>
            </w:r>
          </w:p>
        </w:tc>
        <w:tc>
          <w:tcPr>
            <w:tcW w:w="1843" w:type="dxa"/>
            <w:vAlign w:val="center"/>
          </w:tcPr>
          <w:p>
            <w:pPr>
              <w:tabs>
                <w:tab w:val="left" w:pos="851"/>
                <w:tab w:val="left" w:pos="5835"/>
              </w:tabs>
              <w:snapToGrid w:val="0"/>
              <w:spacing w:line="440" w:lineRule="exact"/>
              <w:jc w:val="center"/>
              <w:rPr>
                <w:rFonts w:hAnsi="宋体"/>
                <w:color w:val="000000" w:themeColor="text1"/>
                <w:szCs w:val="21"/>
                <w14:textFill>
                  <w14:solidFill>
                    <w14:schemeClr w14:val="tx1"/>
                  </w14:solidFill>
                </w14:textFill>
              </w:rPr>
            </w:pPr>
            <m:oMath>
              <m:r>
                <m:rPr>
                  <m:sty m:val="p"/>
                </m:rPr>
                <w:rPr>
                  <w:rFonts w:ascii="Cambria Math" w:hAnsi="Cambria Math"/>
                  <w:color w:val="000000" w:themeColor="text1"/>
                  <w:szCs w:val="21"/>
                  <w14:textFill>
                    <w14:solidFill>
                      <w14:schemeClr w14:val="tx1"/>
                    </w14:solidFill>
                  </w14:textFill>
                </w:rPr>
                <m:t>λ</m:t>
              </m:r>
            </m:oMath>
            <w:r>
              <w:rPr>
                <w:rFonts w:hAnsi="宋体"/>
                <w:color w:val="000000" w:themeColor="text1"/>
                <w:szCs w:val="21"/>
                <w14:textFill>
                  <w14:solidFill>
                    <w14:schemeClr w14:val="tx1"/>
                  </w14:solidFill>
                </w14:textFill>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6" w:type="dxa"/>
            <w:vAlign w:val="center"/>
          </w:tcPr>
          <w:p>
            <w:pPr>
              <w:tabs>
                <w:tab w:val="left" w:pos="851"/>
                <w:tab w:val="left" w:pos="5835"/>
              </w:tabs>
              <w:snapToGrid w:val="0"/>
              <w:spacing w:line="440" w:lineRule="exact"/>
              <w:jc w:val="center"/>
              <w:rPr>
                <w:rFonts w:hAnsi="宋体"/>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50</w:t>
            </w:r>
          </w:p>
        </w:tc>
        <w:tc>
          <w:tcPr>
            <w:tcW w:w="1818" w:type="dxa"/>
            <w:vAlign w:val="center"/>
          </w:tcPr>
          <w:p>
            <w:pPr>
              <w:tabs>
                <w:tab w:val="left" w:pos="851"/>
                <w:tab w:val="left" w:pos="5835"/>
              </w:tabs>
              <w:snapToGrid w:val="0"/>
              <w:spacing w:line="440" w:lineRule="exact"/>
              <w:jc w:val="center"/>
              <w:rPr>
                <w:rFonts w:hAnsi="宋体"/>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0.0371</w:t>
            </w:r>
          </w:p>
        </w:tc>
        <w:tc>
          <w:tcPr>
            <w:tcW w:w="1867" w:type="dxa"/>
            <w:vAlign w:val="center"/>
          </w:tcPr>
          <w:p>
            <w:pPr>
              <w:tabs>
                <w:tab w:val="left" w:pos="851"/>
                <w:tab w:val="left" w:pos="5835"/>
              </w:tabs>
              <w:snapToGrid w:val="0"/>
              <w:spacing w:line="440" w:lineRule="exact"/>
              <w:jc w:val="center"/>
              <w:rPr>
                <w:rFonts w:hAnsi="宋体"/>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150</w:t>
            </w:r>
          </w:p>
        </w:tc>
        <w:tc>
          <w:tcPr>
            <w:tcW w:w="1843" w:type="dxa"/>
            <w:vAlign w:val="center"/>
          </w:tcPr>
          <w:p>
            <w:pPr>
              <w:tabs>
                <w:tab w:val="left" w:pos="851"/>
                <w:tab w:val="left" w:pos="5835"/>
              </w:tabs>
              <w:snapToGrid w:val="0"/>
              <w:spacing w:line="440" w:lineRule="exact"/>
              <w:jc w:val="center"/>
              <w:rPr>
                <w:rFonts w:hAnsi="宋体"/>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0.0264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6" w:type="dxa"/>
            <w:vAlign w:val="center"/>
          </w:tcPr>
          <w:p>
            <w:pPr>
              <w:tabs>
                <w:tab w:val="left" w:pos="851"/>
                <w:tab w:val="left" w:pos="5835"/>
              </w:tabs>
              <w:snapToGrid w:val="0"/>
              <w:spacing w:line="440" w:lineRule="exact"/>
              <w:jc w:val="center"/>
              <w:rPr>
                <w:rFonts w:hAnsi="宋体"/>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75</w:t>
            </w:r>
          </w:p>
        </w:tc>
        <w:tc>
          <w:tcPr>
            <w:tcW w:w="1818" w:type="dxa"/>
            <w:vAlign w:val="center"/>
          </w:tcPr>
          <w:p>
            <w:pPr>
              <w:tabs>
                <w:tab w:val="left" w:pos="851"/>
                <w:tab w:val="left" w:pos="5835"/>
              </w:tabs>
              <w:snapToGrid w:val="0"/>
              <w:spacing w:line="440" w:lineRule="exact"/>
              <w:jc w:val="center"/>
              <w:rPr>
                <w:rFonts w:hAnsi="宋体"/>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0.0324</w:t>
            </w:r>
          </w:p>
        </w:tc>
        <w:tc>
          <w:tcPr>
            <w:tcW w:w="1867" w:type="dxa"/>
            <w:vAlign w:val="center"/>
          </w:tcPr>
          <w:p>
            <w:pPr>
              <w:tabs>
                <w:tab w:val="left" w:pos="851"/>
                <w:tab w:val="left" w:pos="5835"/>
              </w:tabs>
              <w:snapToGrid w:val="0"/>
              <w:spacing w:line="440" w:lineRule="exact"/>
              <w:jc w:val="center"/>
              <w:rPr>
                <w:rFonts w:hAnsi="宋体"/>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200</w:t>
            </w:r>
          </w:p>
        </w:tc>
        <w:tc>
          <w:tcPr>
            <w:tcW w:w="1843" w:type="dxa"/>
            <w:vAlign w:val="center"/>
          </w:tcPr>
          <w:p>
            <w:pPr>
              <w:tabs>
                <w:tab w:val="left" w:pos="851"/>
                <w:tab w:val="left" w:pos="5835"/>
              </w:tabs>
              <w:snapToGrid w:val="0"/>
              <w:spacing w:line="440" w:lineRule="exact"/>
              <w:jc w:val="center"/>
              <w:rPr>
                <w:rFonts w:hAnsi="宋体"/>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0.0245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6" w:type="dxa"/>
            <w:vAlign w:val="center"/>
          </w:tcPr>
          <w:p>
            <w:pPr>
              <w:tabs>
                <w:tab w:val="left" w:pos="851"/>
                <w:tab w:val="left" w:pos="5835"/>
              </w:tabs>
              <w:snapToGrid w:val="0"/>
              <w:spacing w:line="440" w:lineRule="exact"/>
              <w:jc w:val="center"/>
              <w:rPr>
                <w:rFonts w:hAnsi="宋体"/>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100</w:t>
            </w:r>
          </w:p>
        </w:tc>
        <w:tc>
          <w:tcPr>
            <w:tcW w:w="1818" w:type="dxa"/>
            <w:vAlign w:val="center"/>
          </w:tcPr>
          <w:p>
            <w:pPr>
              <w:tabs>
                <w:tab w:val="left" w:pos="851"/>
                <w:tab w:val="left" w:pos="5835"/>
              </w:tabs>
              <w:snapToGrid w:val="0"/>
              <w:spacing w:line="440" w:lineRule="exact"/>
              <w:jc w:val="center"/>
              <w:rPr>
                <w:rFonts w:hAnsi="宋体"/>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0.0298</w:t>
            </w:r>
          </w:p>
        </w:tc>
        <w:tc>
          <w:tcPr>
            <w:tcW w:w="1867" w:type="dxa"/>
            <w:vAlign w:val="center"/>
          </w:tcPr>
          <w:p>
            <w:pPr>
              <w:tabs>
                <w:tab w:val="left" w:pos="851"/>
                <w:tab w:val="left" w:pos="5835"/>
              </w:tabs>
              <w:snapToGrid w:val="0"/>
              <w:spacing w:line="440" w:lineRule="exact"/>
              <w:jc w:val="center"/>
              <w:rPr>
                <w:rFonts w:hAnsi="宋体"/>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250</w:t>
            </w:r>
          </w:p>
        </w:tc>
        <w:tc>
          <w:tcPr>
            <w:tcW w:w="1843" w:type="dxa"/>
            <w:vAlign w:val="center"/>
          </w:tcPr>
          <w:p>
            <w:pPr>
              <w:tabs>
                <w:tab w:val="left" w:pos="851"/>
                <w:tab w:val="left" w:pos="5835"/>
              </w:tabs>
              <w:snapToGrid w:val="0"/>
              <w:spacing w:line="440" w:lineRule="exact"/>
              <w:jc w:val="center"/>
              <w:rPr>
                <w:rFonts w:hAnsi="宋体"/>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0.0234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126" w:type="dxa"/>
            <w:vAlign w:val="center"/>
          </w:tcPr>
          <w:p>
            <w:pPr>
              <w:tabs>
                <w:tab w:val="left" w:pos="851"/>
                <w:tab w:val="left" w:pos="5835"/>
              </w:tabs>
              <w:snapToGrid w:val="0"/>
              <w:spacing w:line="440" w:lineRule="exact"/>
              <w:jc w:val="center"/>
              <w:rPr>
                <w:rFonts w:hAnsi="宋体"/>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125</w:t>
            </w:r>
          </w:p>
        </w:tc>
        <w:tc>
          <w:tcPr>
            <w:tcW w:w="1818" w:type="dxa"/>
            <w:vAlign w:val="center"/>
          </w:tcPr>
          <w:p>
            <w:pPr>
              <w:tabs>
                <w:tab w:val="left" w:pos="851"/>
                <w:tab w:val="left" w:pos="5835"/>
              </w:tabs>
              <w:snapToGrid w:val="0"/>
              <w:spacing w:line="440" w:lineRule="exact"/>
              <w:jc w:val="center"/>
              <w:rPr>
                <w:rFonts w:hAnsi="宋体"/>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0.0282</w:t>
            </w:r>
          </w:p>
        </w:tc>
        <w:tc>
          <w:tcPr>
            <w:tcW w:w="1867" w:type="dxa"/>
            <w:vAlign w:val="center"/>
          </w:tcPr>
          <w:p>
            <w:pPr>
              <w:tabs>
                <w:tab w:val="left" w:pos="851"/>
                <w:tab w:val="left" w:pos="5835"/>
              </w:tabs>
              <w:snapToGrid w:val="0"/>
              <w:spacing w:line="440" w:lineRule="exact"/>
              <w:jc w:val="center"/>
              <w:rPr>
                <w:rFonts w:hAnsi="宋体"/>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300</w:t>
            </w:r>
          </w:p>
        </w:tc>
        <w:tc>
          <w:tcPr>
            <w:tcW w:w="1843" w:type="dxa"/>
            <w:vAlign w:val="center"/>
          </w:tcPr>
          <w:p>
            <w:pPr>
              <w:tabs>
                <w:tab w:val="left" w:pos="851"/>
                <w:tab w:val="left" w:pos="5835"/>
              </w:tabs>
              <w:snapToGrid w:val="0"/>
              <w:spacing w:line="440" w:lineRule="exact"/>
              <w:jc w:val="center"/>
              <w:rPr>
                <w:rFonts w:hAnsi="宋体"/>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0.0221</w:t>
            </w:r>
          </w:p>
        </w:tc>
      </w:tr>
    </w:tbl>
    <w:p>
      <w:pPr>
        <w:tabs>
          <w:tab w:val="left" w:pos="3270"/>
          <w:tab w:val="left" w:pos="5835"/>
        </w:tabs>
        <w:adjustRightInd w:val="0"/>
        <w:snapToGrid w:val="0"/>
        <w:spacing w:before="312" w:beforeLines="100" w:after="312" w:afterLines="100"/>
        <w:ind w:firstLine="482" w:firstLineChars="200"/>
        <w:jc w:val="center"/>
        <w:outlineLvl w:val="1"/>
        <w:rPr>
          <w:rFonts w:hAnsi="宋体"/>
          <w:b/>
          <w:color w:val="000000" w:themeColor="text1"/>
          <w:sz w:val="24"/>
          <w14:textFill>
            <w14:solidFill>
              <w14:schemeClr w14:val="tx1"/>
            </w14:solidFill>
          </w14:textFill>
        </w:rPr>
      </w:pPr>
      <w:bookmarkStart w:id="615" w:name="_Toc20243"/>
      <w:r>
        <w:rPr>
          <w:rFonts w:hint="eastAsia" w:hAnsi="宋体"/>
          <w:b/>
          <w:color w:val="000000" w:themeColor="text1"/>
          <w:sz w:val="24"/>
          <w14:textFill>
            <w14:solidFill>
              <w14:schemeClr w14:val="tx1"/>
            </w14:solidFill>
          </w14:textFill>
        </w:rPr>
        <w:t>17.2 供水系统</w:t>
      </w:r>
      <w:bookmarkEnd w:id="615"/>
    </w:p>
    <w:p>
      <w:pPr>
        <w:pStyle w:val="22"/>
        <w:tabs>
          <w:tab w:val="left" w:pos="851"/>
          <w:tab w:val="left" w:pos="4275"/>
        </w:tabs>
        <w:snapToGrid w:val="0"/>
        <w:spacing w:line="360" w:lineRule="auto"/>
        <w:ind w:firstLine="0" w:firstLineChars="0"/>
        <w:jc w:val="left"/>
        <w:rPr>
          <w:rFonts w:ascii="宋体" w:hAnsi="宋体" w:cstheme="minorEastAsia"/>
          <w:color w:val="000000" w:themeColor="text1"/>
          <w:kern w:val="0"/>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 xml:space="preserve">.2.1 </w:t>
      </w:r>
      <w:r>
        <w:rPr>
          <w:rFonts w:hint="eastAsia" w:ascii="宋体" w:hAnsi="宋体" w:cstheme="minorEastAsia"/>
          <w:color w:val="000000" w:themeColor="text1"/>
          <w:kern w:val="0"/>
          <w:szCs w:val="21"/>
          <w14:textFill>
            <w14:solidFill>
              <w14:schemeClr w14:val="tx1"/>
            </w14:solidFill>
          </w14:textFill>
        </w:rPr>
        <w:t>生活饮用水关系到施工人员的身体健康，应严格控制。</w:t>
      </w:r>
    </w:p>
    <w:p>
      <w:pPr>
        <w:pStyle w:val="22"/>
        <w:tabs>
          <w:tab w:val="left" w:pos="851"/>
          <w:tab w:val="left" w:pos="4275"/>
        </w:tabs>
        <w:snapToGrid w:val="0"/>
        <w:spacing w:line="360" w:lineRule="auto"/>
        <w:ind w:firstLine="0" w:firstLineChars="0"/>
        <w:jc w:val="left"/>
        <w:rPr>
          <w:rFonts w:ascii="宋体" w:hAnsi="宋体" w:cstheme="minorEastAsia"/>
          <w:color w:val="000000" w:themeColor="text1"/>
          <w:kern w:val="0"/>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.2.2</w:t>
      </w:r>
      <w:r>
        <w:rPr>
          <w:rFonts w:hint="eastAsia" w:hAnsi="宋体"/>
          <w:b/>
          <w:color w:val="000000" w:themeColor="text1"/>
          <w:szCs w:val="21"/>
          <w14:textFill>
            <w14:solidFill>
              <w14:schemeClr w14:val="tx1"/>
            </w14:solidFill>
          </w14:textFill>
        </w:rPr>
        <w:t xml:space="preserve"> </w:t>
      </w:r>
      <w:r>
        <w:rPr>
          <w:rFonts w:hint="eastAsia" w:ascii="宋体" w:hAnsi="宋体" w:cstheme="minorEastAsia"/>
          <w:color w:val="000000" w:themeColor="text1"/>
          <w:kern w:val="0"/>
          <w:szCs w:val="21"/>
          <w14:textFill>
            <w14:solidFill>
              <w14:schemeClr w14:val="tx1"/>
            </w14:solidFill>
          </w14:textFill>
        </w:rPr>
        <w:t>施工用水量一般根据工程规模大小、机械用水量、施工进度、施工人员数量和气候条件确定。</w:t>
      </w:r>
    </w:p>
    <w:p>
      <w:pPr>
        <w:tabs>
          <w:tab w:val="left" w:pos="3270"/>
          <w:tab w:val="left" w:pos="5835"/>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616" w:name="_Toc5263"/>
      <w:r>
        <w:rPr>
          <w:rFonts w:hint="eastAsia" w:hAnsi="宋体"/>
          <w:b/>
          <w:color w:val="000000" w:themeColor="text1"/>
          <w:sz w:val="24"/>
          <w14:textFill>
            <w14:solidFill>
              <w14:schemeClr w14:val="tx1"/>
            </w14:solidFill>
          </w14:textFill>
        </w:rPr>
        <w:t>17.3 供电和照明系统</w:t>
      </w:r>
      <w:bookmarkEnd w:id="616"/>
    </w:p>
    <w:p>
      <w:pPr>
        <w:pStyle w:val="22"/>
        <w:tabs>
          <w:tab w:val="left" w:pos="851"/>
          <w:tab w:val="left" w:pos="427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.3.2</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为保证施工连续供电，现场备用电源可采用发电机，有条件的区域可采用双路供电。</w:t>
      </w:r>
    </w:p>
    <w:p>
      <w:pPr>
        <w:pStyle w:val="22"/>
        <w:tabs>
          <w:tab w:val="left" w:pos="851"/>
          <w:tab w:val="left" w:pos="427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.3.3</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接地是指由高压电缆外皮、低压电缆接地芯线、照明线路的中性线连接起来的接地网络。</w:t>
      </w:r>
    </w:p>
    <w:p>
      <w:pPr>
        <w:tabs>
          <w:tab w:val="left" w:pos="3270"/>
          <w:tab w:val="left" w:pos="5835"/>
        </w:tabs>
        <w:adjustRightInd w:val="0"/>
        <w:snapToGrid w:val="0"/>
        <w:spacing w:before="312" w:beforeLines="100" w:after="312" w:afterLines="100"/>
        <w:jc w:val="center"/>
        <w:outlineLvl w:val="1"/>
        <w:rPr>
          <w:rFonts w:hAnsi="宋体"/>
          <w:b/>
          <w:color w:val="000000" w:themeColor="text1"/>
          <w:sz w:val="24"/>
          <w14:textFill>
            <w14:solidFill>
              <w14:schemeClr w14:val="tx1"/>
            </w14:solidFill>
          </w14:textFill>
        </w:rPr>
      </w:pPr>
      <w:bookmarkStart w:id="617" w:name="_Toc24305"/>
      <w:r>
        <w:rPr>
          <w:rFonts w:hint="eastAsia" w:hAnsi="宋体"/>
          <w:b/>
          <w:color w:val="000000" w:themeColor="text1"/>
          <w:sz w:val="24"/>
          <w14:textFill>
            <w14:solidFill>
              <w14:schemeClr w14:val="tx1"/>
            </w14:solidFill>
          </w14:textFill>
        </w:rPr>
        <w:t>17.4 通风系统和扬尘控制</w:t>
      </w:r>
      <w:bookmarkEnd w:id="617"/>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.4.1</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压入式通风是指通风机将新鲜空气经过风管压入工作面，污浊空气沿隧道流出，具有有效射程大、排除粉尘作用强等特点。抽出式是指通风井经风管将工作面的污浊空气抽出，新鲜风流眼隧道流入，具有在有效吸程内排除粉尘效果好，所需风量小，回流风不污染隧道的特点。混合式是上述两种方法的综合利用，其中抽出式风机功率大，是主风机，压入式风机作为辅助风机，将工作面粉尘搅匀排除。</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.4.2</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通风机位置的要求，是为了防止污浊空气进入洞内，形成恶性循环。压入式风管与工作面的距离主要针对小断面、小风量、小直径风管，对于大断面、大风量、大直径风管，该距离可控制在45</w:t>
      </w:r>
      <w:r>
        <w:rPr>
          <w:rFonts w:hint="eastAsia" w:ascii="宋体" w:hAnsi="宋体"/>
          <w:color w:val="000000" w:themeColor="text1"/>
          <w:szCs w:val="21"/>
          <w14:textFill>
            <w14:solidFill>
              <w14:schemeClr w14:val="tx1"/>
            </w14:solidFill>
          </w14:textFill>
        </w:rPr>
        <w:t>～</w:t>
      </w:r>
      <w:r>
        <w:rPr>
          <w:rFonts w:hint="eastAsia" w:hAnsi="宋体"/>
          <w:color w:val="000000" w:themeColor="text1"/>
          <w:szCs w:val="21"/>
          <w14:textFill>
            <w14:solidFill>
              <w14:schemeClr w14:val="tx1"/>
            </w14:solidFill>
          </w14:textFill>
        </w:rPr>
        <w:t>60m的范围内。</w:t>
      </w:r>
    </w:p>
    <w:p>
      <w:pPr>
        <w:pStyle w:val="22"/>
        <w:tabs>
          <w:tab w:val="left" w:pos="851"/>
          <w:tab w:val="left" w:pos="5835"/>
        </w:tabs>
        <w:snapToGrid w:val="0"/>
        <w:spacing w:line="360" w:lineRule="auto"/>
        <w:ind w:firstLine="840" w:firstLineChars="40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压入式风管有效射程（</w:t>
      </w:r>
      <w:r>
        <w:rPr>
          <w:rFonts w:hint="eastAsia" w:hAnsi="宋体"/>
          <w:color w:val="000000" w:themeColor="text1"/>
          <w:szCs w:val="21"/>
          <w:vertAlign w:val="superscript"/>
          <w14:textFill>
            <w14:solidFill>
              <w14:schemeClr w14:val="tx1"/>
            </w14:solidFill>
          </w14:textFill>
        </w:rPr>
        <w:t xml:space="preserve"> </w:t>
      </w:r>
      <m:oMath>
        <m:sSub>
          <m:sSubPr>
            <m:ctrlPr>
              <w:rPr>
                <w:rFonts w:ascii="Cambria Math" w:hAnsi="Cambria Math"/>
                <w:i/>
                <w:color w:val="000000" w:themeColor="text1"/>
                <w:szCs w:val="21"/>
                <w:vertAlign w:val="superscript"/>
                <w14:textFill>
                  <w14:solidFill>
                    <w14:schemeClr w14:val="tx1"/>
                  </w14:solidFill>
                </w14:textFill>
              </w:rPr>
            </m:ctrlPr>
          </m:sSubPr>
          <m:e>
            <m:r>
              <m:rPr/>
              <w:rPr>
                <w:rFonts w:ascii="Cambria Math" w:hAnsi="Cambria Math"/>
                <w:color w:val="000000" w:themeColor="text1"/>
                <w:szCs w:val="21"/>
                <w:vertAlign w:val="superscript"/>
                <w14:textFill>
                  <w14:solidFill>
                    <w14:schemeClr w14:val="tx1"/>
                  </w14:solidFill>
                </w14:textFill>
              </w:rPr>
              <m:t>L</m:t>
            </m:r>
            <m:ctrlPr>
              <w:rPr>
                <w:rFonts w:ascii="Cambria Math" w:hAnsi="Cambria Math"/>
                <w:i/>
                <w:color w:val="000000" w:themeColor="text1"/>
                <w:szCs w:val="21"/>
                <w:vertAlign w:val="superscript"/>
                <w14:textFill>
                  <w14:solidFill>
                    <w14:schemeClr w14:val="tx1"/>
                  </w14:solidFill>
                </w14:textFill>
              </w:rPr>
            </m:ctrlPr>
          </m:e>
          <m:sub>
            <m:r>
              <m:rPr/>
              <w:rPr>
                <w:rFonts w:ascii="Cambria Math" w:hAnsi="Cambria Math"/>
                <w:color w:val="000000" w:themeColor="text1"/>
                <w:szCs w:val="21"/>
                <w:vertAlign w:val="superscript"/>
                <w14:textFill>
                  <w14:solidFill>
                    <w14:schemeClr w14:val="tx1"/>
                  </w14:solidFill>
                </w14:textFill>
              </w:rPr>
              <m:t>1</m:t>
            </m:r>
            <m:ctrlPr>
              <w:rPr>
                <w:rFonts w:ascii="Cambria Math" w:hAnsi="Cambria Math"/>
                <w:i/>
                <w:color w:val="000000" w:themeColor="text1"/>
                <w:szCs w:val="21"/>
                <w:vertAlign w:val="superscript"/>
                <w14:textFill>
                  <w14:solidFill>
                    <w14:schemeClr w14:val="tx1"/>
                  </w14:solidFill>
                </w14:textFill>
              </w:rPr>
            </m:ctrlPr>
          </m:sub>
        </m:sSub>
      </m:oMath>
      <w:r>
        <w:rPr>
          <w:rFonts w:hint="eastAsia" w:hAnsi="宋体"/>
          <w:color w:val="000000" w:themeColor="text1"/>
          <w:szCs w:val="21"/>
          <w14:textFill>
            <w14:solidFill>
              <w14:schemeClr w14:val="tx1"/>
            </w14:solidFill>
          </w14:textFill>
        </w:rPr>
        <w:t>）可按下式计算</w:t>
      </w:r>
    </w:p>
    <w:p>
      <w:pPr>
        <w:pStyle w:val="22"/>
        <w:tabs>
          <w:tab w:val="left" w:pos="851"/>
          <w:tab w:val="left" w:pos="5835"/>
        </w:tabs>
        <w:snapToGrid w:val="0"/>
        <w:spacing w:line="360" w:lineRule="auto"/>
        <w:ind w:firstLine="1260" w:firstLineChars="600"/>
        <w:jc w:val="left"/>
        <w:rPr>
          <w:rFonts w:hAnsi="宋体"/>
          <w:color w:val="000000" w:themeColor="text1"/>
          <w:szCs w:val="21"/>
          <w14:textFill>
            <w14:solidFill>
              <w14:schemeClr w14:val="tx1"/>
            </w14:solidFill>
          </w14:textFill>
        </w:rPr>
      </w:pPr>
      <w:r>
        <w:rPr>
          <w:rFonts w:hint="eastAsia" w:hAnsi="宋体"/>
          <w:color w:val="000000" w:themeColor="text1"/>
          <w:szCs w:val="21"/>
          <w:vertAlign w:val="superscript"/>
          <w14:textFill>
            <w14:solidFill>
              <w14:schemeClr w14:val="tx1"/>
            </w14:solidFill>
          </w14:textFill>
        </w:rPr>
        <w:t xml:space="preserve"> </w:t>
      </w:r>
      <m:oMath>
        <m:sSub>
          <m:sSubPr>
            <m:ctrlPr>
              <w:rPr>
                <w:rFonts w:ascii="Cambria Math" w:hAnsi="Cambria Math"/>
                <w:i/>
                <w:color w:val="000000" w:themeColor="text1"/>
                <w:szCs w:val="21"/>
                <w:vertAlign w:val="superscript"/>
                <w14:textFill>
                  <w14:solidFill>
                    <w14:schemeClr w14:val="tx1"/>
                  </w14:solidFill>
                </w14:textFill>
              </w:rPr>
            </m:ctrlPr>
          </m:sSubPr>
          <m:e>
            <m:r>
              <m:rPr/>
              <w:rPr>
                <w:rFonts w:ascii="Cambria Math" w:hAnsi="Cambria Math"/>
                <w:color w:val="000000" w:themeColor="text1"/>
                <w:szCs w:val="21"/>
                <w:vertAlign w:val="superscript"/>
                <w14:textFill>
                  <w14:solidFill>
                    <w14:schemeClr w14:val="tx1"/>
                  </w14:solidFill>
                </w14:textFill>
              </w:rPr>
              <m:t>L</m:t>
            </m:r>
            <m:ctrlPr>
              <w:rPr>
                <w:rFonts w:ascii="Cambria Math" w:hAnsi="Cambria Math"/>
                <w:i/>
                <w:color w:val="000000" w:themeColor="text1"/>
                <w:szCs w:val="21"/>
                <w:vertAlign w:val="superscript"/>
                <w14:textFill>
                  <w14:solidFill>
                    <w14:schemeClr w14:val="tx1"/>
                  </w14:solidFill>
                </w14:textFill>
              </w:rPr>
            </m:ctrlPr>
          </m:e>
          <m:sub>
            <m:r>
              <m:rPr/>
              <w:rPr>
                <w:rFonts w:ascii="Cambria Math" w:hAnsi="Cambria Math"/>
                <w:color w:val="000000" w:themeColor="text1"/>
                <w:szCs w:val="21"/>
                <w:vertAlign w:val="superscript"/>
                <w14:textFill>
                  <w14:solidFill>
                    <w14:schemeClr w14:val="tx1"/>
                  </w14:solidFill>
                </w14:textFill>
              </w:rPr>
              <m:t>1</m:t>
            </m:r>
            <m:ctrlPr>
              <w:rPr>
                <w:rFonts w:ascii="Cambria Math" w:hAnsi="Cambria Math"/>
                <w:i/>
                <w:color w:val="000000" w:themeColor="text1"/>
                <w:szCs w:val="21"/>
                <w:vertAlign w:val="superscript"/>
                <w14:textFill>
                  <w14:solidFill>
                    <w14:schemeClr w14:val="tx1"/>
                  </w14:solidFill>
                </w14:textFill>
              </w:rPr>
            </m:ctrlPr>
          </m:sub>
        </m:sSub>
        <m:r>
          <m:rPr/>
          <w:rPr>
            <w:rFonts w:ascii="Cambria Math" w:hAnsi="Cambria Math"/>
            <w:color w:val="000000" w:themeColor="text1"/>
            <w:szCs w:val="21"/>
            <w:vertAlign w:val="superscript"/>
            <w14:textFill>
              <w14:solidFill>
                <w14:schemeClr w14:val="tx1"/>
              </w14:solidFill>
            </w14:textFill>
          </w:rPr>
          <m:t>=</m:t>
        </m:r>
        <m:d>
          <m:dPr>
            <m:ctrlPr>
              <w:rPr>
                <w:rFonts w:ascii="Cambria Math" w:hAnsi="Cambria Math"/>
                <w:i/>
                <w:color w:val="000000" w:themeColor="text1"/>
                <w:szCs w:val="21"/>
                <w:vertAlign w:val="superscript"/>
                <w14:textFill>
                  <w14:solidFill>
                    <w14:schemeClr w14:val="tx1"/>
                  </w14:solidFill>
                </w14:textFill>
              </w:rPr>
            </m:ctrlPr>
          </m:dPr>
          <m:e>
            <m:r>
              <m:rPr/>
              <w:rPr>
                <w:rFonts w:ascii="Cambria Math" w:hAnsi="Cambria Math"/>
                <w:color w:val="000000" w:themeColor="text1"/>
                <w:szCs w:val="21"/>
                <w:vertAlign w:val="superscript"/>
                <w14:textFill>
                  <w14:solidFill>
                    <w14:schemeClr w14:val="tx1"/>
                  </w14:solidFill>
                </w14:textFill>
              </w:rPr>
              <m:t>4~5</m:t>
            </m:r>
            <m:ctrlPr>
              <w:rPr>
                <w:rFonts w:ascii="Cambria Math" w:hAnsi="Cambria Math"/>
                <w:i/>
                <w:color w:val="000000" w:themeColor="text1"/>
                <w:szCs w:val="21"/>
                <w:vertAlign w:val="superscript"/>
                <w14:textFill>
                  <w14:solidFill>
                    <w14:schemeClr w14:val="tx1"/>
                  </w14:solidFill>
                </w14:textFill>
              </w:rPr>
            </m:ctrlPr>
          </m:e>
        </m:d>
        <m:rad>
          <m:radPr>
            <m:degHide m:val="1"/>
            <m:ctrlPr>
              <w:rPr>
                <w:rFonts w:ascii="Cambria Math" w:hAnsi="Cambria Math"/>
                <w:i/>
                <w:color w:val="000000" w:themeColor="text1"/>
                <w:szCs w:val="21"/>
                <w:vertAlign w:val="superscript"/>
                <w14:textFill>
                  <w14:solidFill>
                    <w14:schemeClr w14:val="tx1"/>
                  </w14:solidFill>
                </w14:textFill>
              </w:rPr>
            </m:ctrlPr>
          </m:radPr>
          <m:deg>
            <m:ctrlPr>
              <w:rPr>
                <w:rFonts w:ascii="Cambria Math" w:hAnsi="Cambria Math"/>
                <w:i/>
                <w:color w:val="000000" w:themeColor="text1"/>
                <w:szCs w:val="21"/>
                <w:vertAlign w:val="superscript"/>
                <w14:textFill>
                  <w14:solidFill>
                    <w14:schemeClr w14:val="tx1"/>
                  </w14:solidFill>
                </w14:textFill>
              </w:rPr>
            </m:ctrlPr>
          </m:deg>
          <m:e>
            <m:r>
              <m:rPr/>
              <w:rPr>
                <w:rFonts w:ascii="Cambria Math" w:hAnsi="Cambria Math"/>
                <w:color w:val="000000" w:themeColor="text1"/>
                <w:szCs w:val="21"/>
                <w:vertAlign w:val="superscript"/>
                <w14:textFill>
                  <w14:solidFill>
                    <w14:schemeClr w14:val="tx1"/>
                  </w14:solidFill>
                </w14:textFill>
              </w:rPr>
              <m:t>A</m:t>
            </m:r>
            <m:ctrlPr>
              <w:rPr>
                <w:rFonts w:ascii="Cambria Math" w:hAnsi="Cambria Math"/>
                <w:i/>
                <w:color w:val="000000" w:themeColor="text1"/>
                <w:szCs w:val="21"/>
                <w:vertAlign w:val="superscript"/>
                <w14:textFill>
                  <w14:solidFill>
                    <w14:schemeClr w14:val="tx1"/>
                  </w14:solidFill>
                </w14:textFill>
              </w:rPr>
            </m:ctrlPr>
          </m:e>
        </m:rad>
      </m:oMath>
    </w:p>
    <w:p>
      <w:pPr>
        <w:pStyle w:val="22"/>
        <w:tabs>
          <w:tab w:val="left" w:pos="851"/>
          <w:tab w:val="left" w:pos="5835"/>
        </w:tabs>
        <w:snapToGrid w:val="0"/>
        <w:spacing w:line="360" w:lineRule="auto"/>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 xml:space="preserve">        </w:t>
      </w:r>
      <w:r>
        <w:rPr>
          <w:rFonts w:hint="eastAsia" w:hAnsi="宋体"/>
          <w:color w:val="000000" w:themeColor="text1"/>
          <w:szCs w:val="21"/>
          <w:vertAlign w:val="superscript"/>
          <w14:textFill>
            <w14:solidFill>
              <w14:schemeClr w14:val="tx1"/>
            </w14:solidFill>
          </w14:textFill>
        </w:rPr>
        <w:t xml:space="preserve"> </w:t>
      </w:r>
      <m:oMath>
        <m:sSub>
          <m:sSubPr>
            <m:ctrlPr>
              <w:rPr>
                <w:rFonts w:ascii="Cambria Math" w:hAnsi="Cambria Math"/>
                <w:i/>
                <w:color w:val="000000" w:themeColor="text1"/>
                <w:szCs w:val="21"/>
                <w:vertAlign w:val="superscript"/>
                <w14:textFill>
                  <w14:solidFill>
                    <w14:schemeClr w14:val="tx1"/>
                  </w14:solidFill>
                </w14:textFill>
              </w:rPr>
            </m:ctrlPr>
          </m:sSubPr>
          <m:e>
            <m:r>
              <m:rPr/>
              <w:rPr>
                <w:rFonts w:ascii="Cambria Math" w:hAnsi="Cambria Math"/>
                <w:color w:val="000000" w:themeColor="text1"/>
                <w:szCs w:val="21"/>
                <w:vertAlign w:val="superscript"/>
                <w14:textFill>
                  <w14:solidFill>
                    <w14:schemeClr w14:val="tx1"/>
                  </w14:solidFill>
                </w14:textFill>
              </w:rPr>
              <m:t>L</m:t>
            </m:r>
            <m:ctrlPr>
              <w:rPr>
                <w:rFonts w:ascii="Cambria Math" w:hAnsi="Cambria Math"/>
                <w:i/>
                <w:color w:val="000000" w:themeColor="text1"/>
                <w:szCs w:val="21"/>
                <w:vertAlign w:val="superscript"/>
                <w14:textFill>
                  <w14:solidFill>
                    <w14:schemeClr w14:val="tx1"/>
                  </w14:solidFill>
                </w14:textFill>
              </w:rPr>
            </m:ctrlPr>
          </m:e>
          <m:sub>
            <m:r>
              <m:rPr/>
              <w:rPr>
                <w:rFonts w:ascii="Cambria Math" w:hAnsi="Cambria Math"/>
                <w:color w:val="000000" w:themeColor="text1"/>
                <w:szCs w:val="21"/>
                <w:vertAlign w:val="superscript"/>
                <w14:textFill>
                  <w14:solidFill>
                    <w14:schemeClr w14:val="tx1"/>
                  </w14:solidFill>
                </w14:textFill>
              </w:rPr>
              <m:t>1</m:t>
            </m:r>
            <m:ctrlPr>
              <w:rPr>
                <w:rFonts w:ascii="Cambria Math" w:hAnsi="Cambria Math"/>
                <w:i/>
                <w:color w:val="000000" w:themeColor="text1"/>
                <w:szCs w:val="21"/>
                <w:vertAlign w:val="superscript"/>
                <w14:textFill>
                  <w14:solidFill>
                    <w14:schemeClr w14:val="tx1"/>
                  </w14:solidFill>
                </w14:textFill>
              </w:rPr>
            </m:ctrlPr>
          </m:sub>
        </m:sSub>
      </m:oMath>
      <w:r>
        <w:rPr>
          <w:rFonts w:hint="eastAsia" w:hAnsi="宋体"/>
          <w:color w:val="000000" w:themeColor="text1"/>
          <w:szCs w:val="21"/>
          <w14:textFill>
            <w14:solidFill>
              <w14:schemeClr w14:val="tx1"/>
            </w14:solidFill>
          </w14:textFill>
        </w:rPr>
        <w:t xml:space="preserve"> — 效射程（m）</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 xml:space="preserve">             </w:t>
      </w:r>
      <m:oMath>
        <m:r>
          <m:rPr/>
          <w:rPr>
            <w:rFonts w:ascii="Cambria Math" w:hAnsi="Cambria Math"/>
            <w:color w:val="000000" w:themeColor="text1"/>
            <w:szCs w:val="21"/>
            <w:vertAlign w:val="superscript"/>
            <w14:textFill>
              <w14:solidFill>
                <w14:schemeClr w14:val="tx1"/>
              </w14:solidFill>
            </w14:textFill>
          </w:rPr>
          <m:t>A</m:t>
        </m:r>
      </m:oMath>
      <w:r>
        <w:rPr>
          <w:rFonts w:hint="eastAsia" w:hAnsi="Cambria Math"/>
          <w:color w:val="000000" w:themeColor="text1"/>
          <w:szCs w:val="21"/>
          <w:vertAlign w:val="superscript"/>
          <w14:textFill>
            <w14:solidFill>
              <w14:schemeClr w14:val="tx1"/>
            </w14:solidFill>
          </w14:textFill>
        </w:rPr>
        <w:t xml:space="preserve"> </w:t>
      </w:r>
      <w:r>
        <w:rPr>
          <w:rFonts w:hint="eastAsia" w:hAnsi="宋体"/>
          <w:color w:val="000000" w:themeColor="text1"/>
          <w:szCs w:val="21"/>
          <w14:textFill>
            <w14:solidFill>
              <w14:schemeClr w14:val="tx1"/>
            </w14:solidFill>
          </w14:textFill>
        </w:rPr>
        <w:t>— 隧道的断面面积（m</w:t>
      </w:r>
      <w:r>
        <w:rPr>
          <w:rFonts w:hint="eastAsia" w:hAnsi="宋体"/>
          <w:color w:val="000000" w:themeColor="text1"/>
          <w:szCs w:val="21"/>
          <w:vertAlign w:val="superscript"/>
          <w14:textFill>
            <w14:solidFill>
              <w14:schemeClr w14:val="tx1"/>
            </w14:solidFill>
          </w14:textFill>
        </w:rPr>
        <w:t>2</w:t>
      </w:r>
      <w:r>
        <w:rPr>
          <w:rFonts w:hint="eastAsia" w:hAnsi="宋体"/>
          <w:color w:val="000000" w:themeColor="text1"/>
          <w:szCs w:val="21"/>
          <w14:textFill>
            <w14:solidFill>
              <w14:schemeClr w14:val="tx1"/>
            </w14:solidFill>
          </w14:textFill>
        </w:rPr>
        <w:t>）</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.4.</w:t>
      </w:r>
      <w:r>
        <w:rPr>
          <w:rFonts w:hint="eastAsia" w:hAnsi="宋体"/>
          <w:b/>
          <w:color w:val="000000" w:themeColor="text1"/>
          <w:szCs w:val="21"/>
          <w14:textFill>
            <w14:solidFill>
              <w14:schemeClr w14:val="tx1"/>
            </w14:solidFill>
          </w14:textFill>
        </w:rPr>
        <w:t>3</w:t>
      </w:r>
      <w:r>
        <w:rPr>
          <w:rFonts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抽出式风管端头与工作面的距离一般根据风管的有效吸程，根据现场实际条件确定。抽出式风管有效吸程（</w:t>
      </w:r>
      <m:oMath>
        <m:sSub>
          <m:sSubPr>
            <m:ctrlPr>
              <w:rPr>
                <w:rFonts w:ascii="Cambria Math" w:hAnsi="Cambria Math"/>
                <w:i/>
                <w:color w:val="000000" w:themeColor="text1"/>
                <w:szCs w:val="21"/>
                <w:vertAlign w:val="superscript"/>
                <w14:textFill>
                  <w14:solidFill>
                    <w14:schemeClr w14:val="tx1"/>
                  </w14:solidFill>
                </w14:textFill>
              </w:rPr>
            </m:ctrlPr>
          </m:sSubPr>
          <m:e>
            <m:r>
              <m:rPr/>
              <w:rPr>
                <w:rFonts w:ascii="Cambria Math" w:hAnsi="Cambria Math"/>
                <w:color w:val="000000" w:themeColor="text1"/>
                <w:szCs w:val="21"/>
                <w:vertAlign w:val="superscript"/>
                <w14:textFill>
                  <w14:solidFill>
                    <w14:schemeClr w14:val="tx1"/>
                  </w14:solidFill>
                </w14:textFill>
              </w:rPr>
              <m:t>L</m:t>
            </m:r>
            <m:ctrlPr>
              <w:rPr>
                <w:rFonts w:ascii="Cambria Math" w:hAnsi="Cambria Math"/>
                <w:i/>
                <w:color w:val="000000" w:themeColor="text1"/>
                <w:szCs w:val="21"/>
                <w:vertAlign w:val="superscript"/>
                <w14:textFill>
                  <w14:solidFill>
                    <w14:schemeClr w14:val="tx1"/>
                  </w14:solidFill>
                </w14:textFill>
              </w:rPr>
            </m:ctrlPr>
          </m:e>
          <m:sub>
            <m:r>
              <m:rPr/>
              <w:rPr>
                <w:rFonts w:ascii="Cambria Math" w:hAnsi="Cambria Math"/>
                <w:color w:val="000000" w:themeColor="text1"/>
                <w:szCs w:val="21"/>
                <w:vertAlign w:val="superscript"/>
                <w14:textFill>
                  <w14:solidFill>
                    <w14:schemeClr w14:val="tx1"/>
                  </w14:solidFill>
                </w14:textFill>
              </w:rPr>
              <m:t>2</m:t>
            </m:r>
            <m:ctrlPr>
              <w:rPr>
                <w:rFonts w:ascii="Cambria Math" w:hAnsi="Cambria Math"/>
                <w:i/>
                <w:color w:val="000000" w:themeColor="text1"/>
                <w:szCs w:val="21"/>
                <w:vertAlign w:val="superscript"/>
                <w14:textFill>
                  <w14:solidFill>
                    <w14:schemeClr w14:val="tx1"/>
                  </w14:solidFill>
                </w14:textFill>
              </w:rPr>
            </m:ctrlPr>
          </m:sub>
        </m:sSub>
      </m:oMath>
      <w:r>
        <w:rPr>
          <w:rFonts w:hint="eastAsia" w:hAnsi="宋体"/>
          <w:color w:val="000000" w:themeColor="text1"/>
          <w:szCs w:val="21"/>
          <w14:textFill>
            <w14:solidFill>
              <w14:schemeClr w14:val="tx1"/>
            </w14:solidFill>
          </w14:textFill>
        </w:rPr>
        <w:t>）可按下式计算</w:t>
      </w:r>
    </w:p>
    <w:p>
      <w:pPr>
        <w:pStyle w:val="22"/>
        <w:tabs>
          <w:tab w:val="left" w:pos="851"/>
          <w:tab w:val="left" w:pos="5835"/>
        </w:tabs>
        <w:snapToGrid w:val="0"/>
        <w:spacing w:line="360" w:lineRule="auto"/>
        <w:ind w:firstLine="1260" w:firstLineChars="60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 xml:space="preserve">       </w:t>
      </w:r>
      <w:r>
        <w:rPr>
          <w:rFonts w:hint="eastAsia" w:hAnsi="宋体"/>
          <w:color w:val="000000" w:themeColor="text1"/>
          <w:szCs w:val="21"/>
          <w:vertAlign w:val="superscript"/>
          <w14:textFill>
            <w14:solidFill>
              <w14:schemeClr w14:val="tx1"/>
            </w14:solidFill>
          </w14:textFill>
        </w:rPr>
        <w:t xml:space="preserve"> </w:t>
      </w:r>
      <m:oMath>
        <m:sSub>
          <m:sSubPr>
            <m:ctrlPr>
              <w:rPr>
                <w:rFonts w:ascii="Cambria Math" w:hAnsi="Cambria Math"/>
                <w:i/>
                <w:color w:val="000000" w:themeColor="text1"/>
                <w:szCs w:val="21"/>
                <w:vertAlign w:val="superscript"/>
                <w14:textFill>
                  <w14:solidFill>
                    <w14:schemeClr w14:val="tx1"/>
                  </w14:solidFill>
                </w14:textFill>
              </w:rPr>
            </m:ctrlPr>
          </m:sSubPr>
          <m:e>
            <m:r>
              <m:rPr/>
              <w:rPr>
                <w:rFonts w:ascii="Cambria Math" w:hAnsi="Cambria Math"/>
                <w:color w:val="000000" w:themeColor="text1"/>
                <w:szCs w:val="21"/>
                <w:vertAlign w:val="superscript"/>
                <w14:textFill>
                  <w14:solidFill>
                    <w14:schemeClr w14:val="tx1"/>
                  </w14:solidFill>
                </w14:textFill>
              </w:rPr>
              <m:t>L</m:t>
            </m:r>
            <m:ctrlPr>
              <w:rPr>
                <w:rFonts w:ascii="Cambria Math" w:hAnsi="Cambria Math"/>
                <w:i/>
                <w:color w:val="000000" w:themeColor="text1"/>
                <w:szCs w:val="21"/>
                <w:vertAlign w:val="superscript"/>
                <w14:textFill>
                  <w14:solidFill>
                    <w14:schemeClr w14:val="tx1"/>
                  </w14:solidFill>
                </w14:textFill>
              </w:rPr>
            </m:ctrlPr>
          </m:e>
          <m:sub>
            <m:r>
              <m:rPr/>
              <w:rPr>
                <w:rFonts w:ascii="Cambria Math" w:hAnsi="Cambria Math"/>
                <w:color w:val="000000" w:themeColor="text1"/>
                <w:szCs w:val="21"/>
                <w:vertAlign w:val="superscript"/>
                <w14:textFill>
                  <w14:solidFill>
                    <w14:schemeClr w14:val="tx1"/>
                  </w14:solidFill>
                </w14:textFill>
              </w:rPr>
              <m:t>2</m:t>
            </m:r>
            <m:ctrlPr>
              <w:rPr>
                <w:rFonts w:ascii="Cambria Math" w:hAnsi="Cambria Math"/>
                <w:i/>
                <w:color w:val="000000" w:themeColor="text1"/>
                <w:szCs w:val="21"/>
                <w:vertAlign w:val="superscript"/>
                <w14:textFill>
                  <w14:solidFill>
                    <w14:schemeClr w14:val="tx1"/>
                  </w14:solidFill>
                </w14:textFill>
              </w:rPr>
            </m:ctrlPr>
          </m:sub>
        </m:sSub>
        <m:r>
          <m:rPr/>
          <w:rPr>
            <w:rFonts w:ascii="Cambria Math" w:hAnsi="Cambria Math"/>
            <w:color w:val="000000" w:themeColor="text1"/>
            <w:szCs w:val="21"/>
            <w:vertAlign w:val="superscript"/>
            <w14:textFill>
              <w14:solidFill>
                <w14:schemeClr w14:val="tx1"/>
              </w14:solidFill>
            </w14:textFill>
          </w:rPr>
          <m:t>=1.5</m:t>
        </m:r>
        <m:rad>
          <m:radPr>
            <m:degHide m:val="1"/>
            <m:ctrlPr>
              <w:rPr>
                <w:rFonts w:ascii="Cambria Math" w:hAnsi="Cambria Math"/>
                <w:i/>
                <w:color w:val="000000" w:themeColor="text1"/>
                <w:szCs w:val="21"/>
                <w:vertAlign w:val="superscript"/>
                <w14:textFill>
                  <w14:solidFill>
                    <w14:schemeClr w14:val="tx1"/>
                  </w14:solidFill>
                </w14:textFill>
              </w:rPr>
            </m:ctrlPr>
          </m:radPr>
          <m:deg>
            <m:ctrlPr>
              <w:rPr>
                <w:rFonts w:ascii="Cambria Math" w:hAnsi="Cambria Math"/>
                <w:i/>
                <w:color w:val="000000" w:themeColor="text1"/>
                <w:szCs w:val="21"/>
                <w:vertAlign w:val="superscript"/>
                <w14:textFill>
                  <w14:solidFill>
                    <w14:schemeClr w14:val="tx1"/>
                  </w14:solidFill>
                </w14:textFill>
              </w:rPr>
            </m:ctrlPr>
          </m:deg>
          <m:e>
            <m:r>
              <m:rPr/>
              <w:rPr>
                <w:rFonts w:ascii="Cambria Math" w:hAnsi="Cambria Math"/>
                <w:color w:val="000000" w:themeColor="text1"/>
                <w:szCs w:val="21"/>
                <w:vertAlign w:val="superscript"/>
                <w14:textFill>
                  <w14:solidFill>
                    <w14:schemeClr w14:val="tx1"/>
                  </w14:solidFill>
                </w14:textFill>
              </w:rPr>
              <m:t>A</m:t>
            </m:r>
            <m:ctrlPr>
              <w:rPr>
                <w:rFonts w:ascii="Cambria Math" w:hAnsi="Cambria Math"/>
                <w:i/>
                <w:color w:val="000000" w:themeColor="text1"/>
                <w:szCs w:val="21"/>
                <w:vertAlign w:val="superscript"/>
                <w14:textFill>
                  <w14:solidFill>
                    <w14:schemeClr w14:val="tx1"/>
                  </w14:solidFill>
                </w14:textFill>
              </w:rPr>
            </m:ctrlPr>
          </m:e>
        </m:rad>
      </m:oMath>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 xml:space="preserve">        </w:t>
      </w:r>
      <m:oMath>
        <m:sSub>
          <m:sSubPr>
            <m:ctrlPr>
              <w:rPr>
                <w:rFonts w:ascii="Cambria Math" w:hAnsi="Cambria Math"/>
                <w:i/>
                <w:color w:val="000000" w:themeColor="text1"/>
                <w:szCs w:val="21"/>
                <w:vertAlign w:val="superscript"/>
                <w14:textFill>
                  <w14:solidFill>
                    <w14:schemeClr w14:val="tx1"/>
                  </w14:solidFill>
                </w14:textFill>
              </w:rPr>
            </m:ctrlPr>
          </m:sSubPr>
          <m:e>
            <m:r>
              <m:rPr/>
              <w:rPr>
                <w:rFonts w:ascii="Cambria Math" w:hAnsi="Cambria Math"/>
                <w:color w:val="000000" w:themeColor="text1"/>
                <w:szCs w:val="21"/>
                <w:vertAlign w:val="superscript"/>
                <w14:textFill>
                  <w14:solidFill>
                    <w14:schemeClr w14:val="tx1"/>
                  </w14:solidFill>
                </w14:textFill>
              </w:rPr>
              <m:t>L</m:t>
            </m:r>
            <m:ctrlPr>
              <w:rPr>
                <w:rFonts w:ascii="Cambria Math" w:hAnsi="Cambria Math"/>
                <w:i/>
                <w:color w:val="000000" w:themeColor="text1"/>
                <w:szCs w:val="21"/>
                <w:vertAlign w:val="superscript"/>
                <w14:textFill>
                  <w14:solidFill>
                    <w14:schemeClr w14:val="tx1"/>
                  </w14:solidFill>
                </w14:textFill>
              </w:rPr>
            </m:ctrlPr>
          </m:e>
          <m:sub>
            <m:r>
              <m:rPr/>
              <w:rPr>
                <w:rFonts w:ascii="Cambria Math" w:hAnsi="Cambria Math"/>
                <w:color w:val="000000" w:themeColor="text1"/>
                <w:szCs w:val="21"/>
                <w:vertAlign w:val="superscript"/>
                <w14:textFill>
                  <w14:solidFill>
                    <w14:schemeClr w14:val="tx1"/>
                  </w14:solidFill>
                </w14:textFill>
              </w:rPr>
              <m:t>2</m:t>
            </m:r>
            <m:ctrlPr>
              <w:rPr>
                <w:rFonts w:ascii="Cambria Math" w:hAnsi="Cambria Math"/>
                <w:i/>
                <w:color w:val="000000" w:themeColor="text1"/>
                <w:szCs w:val="21"/>
                <w:vertAlign w:val="superscript"/>
                <w14:textFill>
                  <w14:solidFill>
                    <w14:schemeClr w14:val="tx1"/>
                  </w14:solidFill>
                </w14:textFill>
              </w:rPr>
            </m:ctrlPr>
          </m:sub>
        </m:sSub>
      </m:oMath>
      <w:r>
        <w:rPr>
          <w:rFonts w:hint="eastAsia" w:hAnsi="宋体"/>
          <w:color w:val="000000" w:themeColor="text1"/>
          <w:szCs w:val="21"/>
          <w14:textFill>
            <w14:solidFill>
              <w14:schemeClr w14:val="tx1"/>
            </w14:solidFill>
          </w14:textFill>
        </w:rPr>
        <w:t xml:space="preserve"> — 有效吸程（m）</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color w:val="000000" w:themeColor="text1"/>
          <w:szCs w:val="21"/>
          <w14:textFill>
            <w14:solidFill>
              <w14:schemeClr w14:val="tx1"/>
            </w14:solidFill>
          </w14:textFill>
        </w:rPr>
        <w:t xml:space="preserve">        </w:t>
      </w:r>
      <m:oMath>
        <m:r>
          <m:rPr/>
          <w:rPr>
            <w:rFonts w:ascii="Cambria Math" w:hAnsi="Cambria Math"/>
            <w:color w:val="000000" w:themeColor="text1"/>
            <w:szCs w:val="21"/>
            <w:vertAlign w:val="superscript"/>
            <w14:textFill>
              <w14:solidFill>
                <w14:schemeClr w14:val="tx1"/>
              </w14:solidFill>
            </w14:textFill>
          </w:rPr>
          <m:t>A</m:t>
        </m:r>
      </m:oMath>
      <w:r>
        <w:rPr>
          <w:rFonts w:hint="eastAsia" w:hAnsi="宋体"/>
          <w:color w:val="000000" w:themeColor="text1"/>
          <w:szCs w:val="21"/>
          <w14:textFill>
            <w14:solidFill>
              <w14:schemeClr w14:val="tx1"/>
            </w14:solidFill>
          </w14:textFill>
        </w:rPr>
        <w:t xml:space="preserve">  — 隧道的断面面积（m</w:t>
      </w:r>
      <w:r>
        <w:rPr>
          <w:rFonts w:hAnsi="宋体"/>
          <w:color w:val="000000" w:themeColor="text1"/>
          <w:szCs w:val="21"/>
          <w:vertAlign w:val="superscript"/>
          <w14:textFill>
            <w14:solidFill>
              <w14:schemeClr w14:val="tx1"/>
            </w14:solidFill>
          </w14:textFill>
        </w:rPr>
        <w:t>2</w:t>
      </w:r>
      <w:r>
        <w:rPr>
          <w:rFonts w:hint="eastAsia" w:hAnsi="宋体"/>
          <w:color w:val="000000" w:themeColor="text1"/>
          <w:szCs w:val="21"/>
          <w14:textFill>
            <w14:solidFill>
              <w14:schemeClr w14:val="tx1"/>
            </w14:solidFill>
          </w14:textFill>
        </w:rPr>
        <w:t>）</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.4.4</w:t>
      </w:r>
      <w:r>
        <w:rPr>
          <w:rFonts w:hint="eastAsia" w:hAnsi="宋体"/>
          <w:b/>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混合式通风系统具有压入式通风和抽出式通风的特点，适用于大断面、长距离、机械化作业，锚喷支护隧道的喷浆地点粉尘浓度高，采用混合式通风降尘效果明显。</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.4.</w:t>
      </w:r>
      <w:r>
        <w:rPr>
          <w:rFonts w:hint="eastAsia" w:hAnsi="宋体"/>
          <w:b/>
          <w:color w:val="000000" w:themeColor="text1"/>
          <w:szCs w:val="21"/>
          <w14:textFill>
            <w14:solidFill>
              <w14:schemeClr w14:val="tx1"/>
            </w14:solidFill>
          </w14:textFill>
        </w:rPr>
        <w:t xml:space="preserve">6 </w:t>
      </w:r>
      <w:r>
        <w:rPr>
          <w:rFonts w:hAnsi="宋体"/>
          <w:color w:val="000000" w:themeColor="text1"/>
          <w:szCs w:val="21"/>
          <w14:textFill>
            <w14:solidFill>
              <w14:schemeClr w14:val="tx1"/>
            </w14:solidFill>
          </w14:textFill>
        </w:rPr>
        <w:t>通风机</w:t>
      </w:r>
      <w:r>
        <w:rPr>
          <w:rFonts w:hint="eastAsia" w:hAnsi="宋体"/>
          <w:color w:val="000000" w:themeColor="text1"/>
          <w:szCs w:val="21"/>
          <w14:textFill>
            <w14:solidFill>
              <w14:schemeClr w14:val="tx1"/>
            </w14:solidFill>
          </w14:textFill>
        </w:rPr>
        <w:t>选择一般</w:t>
      </w:r>
      <w:r>
        <w:rPr>
          <w:rFonts w:hAnsi="宋体"/>
          <w:color w:val="000000" w:themeColor="text1"/>
          <w:szCs w:val="21"/>
          <w14:textFill>
            <w14:solidFill>
              <w14:schemeClr w14:val="tx1"/>
            </w14:solidFill>
          </w14:textFill>
        </w:rPr>
        <w:t>考虑一定的</w:t>
      </w:r>
      <w:r>
        <w:rPr>
          <w:rFonts w:hint="eastAsia" w:hAnsi="宋体"/>
          <w:color w:val="000000" w:themeColor="text1"/>
          <w:szCs w:val="21"/>
          <w14:textFill>
            <w14:solidFill>
              <w14:schemeClr w14:val="tx1"/>
            </w14:solidFill>
          </w14:textFill>
        </w:rPr>
        <w:t>通风裕量</w:t>
      </w:r>
      <w:r>
        <w:rPr>
          <w:rFonts w:hAnsi="宋体"/>
          <w:color w:val="000000" w:themeColor="text1"/>
          <w:szCs w:val="21"/>
          <w14:textFill>
            <w14:solidFill>
              <w14:schemeClr w14:val="tx1"/>
            </w14:solidFill>
          </w14:textFill>
        </w:rPr>
        <w:t>。</w:t>
      </w:r>
      <w:r>
        <w:rPr>
          <w:rFonts w:hint="eastAsia" w:hAnsi="宋体"/>
          <w:color w:val="000000" w:themeColor="text1"/>
          <w:szCs w:val="21"/>
          <w14:textFill>
            <w14:solidFill>
              <w14:schemeClr w14:val="tx1"/>
            </w14:solidFill>
          </w14:textFill>
        </w:rPr>
        <w:t>北京市禁止使用燃油机械，因此本计算未列数计算参数。当使用内燃机机械施工时，所需风量可以经验公式计算。</w:t>
      </w:r>
    </w:p>
    <w:p>
      <w:pPr>
        <w:pStyle w:val="22"/>
        <w:tabs>
          <w:tab w:val="left" w:pos="851"/>
          <w:tab w:val="left" w:pos="5835"/>
        </w:tabs>
        <w:snapToGrid w:val="0"/>
        <w:spacing w:line="360" w:lineRule="auto"/>
        <w:ind w:firstLineChars="0"/>
        <w:jc w:val="left"/>
        <w:rPr>
          <w:rFonts w:ascii="宋体" w:hAnsi="宋体"/>
          <w:color w:val="000000" w:themeColor="text1"/>
          <w:szCs w:val="21"/>
          <w14:textFill>
            <w14:solidFill>
              <w14:schemeClr w14:val="tx1"/>
            </w14:solidFill>
          </w14:textFill>
        </w:rPr>
      </w:pPr>
      <w:r>
        <w:rPr>
          <w:rFonts w:hAnsi="宋体"/>
          <w:color w:val="000000" w:themeColor="text1"/>
          <w:szCs w:val="21"/>
          <w14:textFill>
            <w14:solidFill>
              <w14:schemeClr w14:val="tx1"/>
            </w14:solidFill>
          </w14:textFill>
        </w:rPr>
        <w:t xml:space="preserve"> </w:t>
      </w:r>
      <w:r>
        <w:rPr>
          <w:rFonts w:hint="eastAsia" w:hAnsi="宋体"/>
          <w:color w:val="000000" w:themeColor="text1"/>
          <w:szCs w:val="21"/>
          <w14:textFill>
            <w14:solidFill>
              <w14:schemeClr w14:val="tx1"/>
            </w14:solidFill>
          </w14:textFill>
        </w:rPr>
        <w:t xml:space="preserve">   </w:t>
      </w:r>
      <w:r>
        <w:rPr>
          <w:rFonts w:hint="eastAsia" w:hAnsi="Cambria Math"/>
          <w:color w:val="000000" w:themeColor="text1"/>
          <w:szCs w:val="21"/>
          <w14:textFill>
            <w14:solidFill>
              <w14:schemeClr w14:val="tx1"/>
            </w14:solidFill>
          </w14:textFill>
        </w:rPr>
        <w:t xml:space="preserve">   </w:t>
      </w:r>
      <m:oMath>
        <m:sSub>
          <m:sSubPr>
            <m:ctrlPr>
              <w:rPr>
                <w:rFonts w:ascii="Cambria Math" w:hAnsi="Cambria Math"/>
                <w:i/>
                <w:color w:val="000000" w:themeColor="text1"/>
                <w:szCs w:val="21"/>
                <w14:textFill>
                  <w14:solidFill>
                    <w14:schemeClr w14:val="tx1"/>
                  </w14:solidFill>
                </w14:textFill>
              </w:rPr>
            </m:ctrlPr>
          </m:sSubPr>
          <m:e>
            <m:r>
              <m:rPr/>
              <w:rPr>
                <w:rFonts w:ascii="Cambria Math" w:hAnsi="Cambria Math"/>
                <w:color w:val="000000" w:themeColor="text1"/>
                <w:szCs w:val="21"/>
                <w14:textFill>
                  <w14:solidFill>
                    <w14:schemeClr w14:val="tx1"/>
                  </w14:solidFill>
                </w14:textFill>
              </w:rPr>
              <m:t>V</m:t>
            </m:r>
            <m:ctrlPr>
              <w:rPr>
                <w:rFonts w:ascii="Cambria Math" w:hAnsi="Cambria Math"/>
                <w:i/>
                <w:color w:val="000000" w:themeColor="text1"/>
                <w:szCs w:val="21"/>
                <w14:textFill>
                  <w14:solidFill>
                    <w14:schemeClr w14:val="tx1"/>
                  </w14:solidFill>
                </w14:textFill>
              </w:rPr>
            </m:ctrlPr>
          </m:e>
          <m:sub>
            <m:r>
              <m:rPr/>
              <w:rPr>
                <w:rFonts w:ascii="Cambria Math" w:hAnsi="Cambria Math"/>
                <w:color w:val="000000" w:themeColor="text1"/>
                <w:szCs w:val="21"/>
                <w14:textFill>
                  <w14:solidFill>
                    <w14:schemeClr w14:val="tx1"/>
                  </w14:solidFill>
                </w14:textFill>
              </w:rPr>
              <m:t>3</m:t>
            </m:r>
            <m:ctrlPr>
              <w:rPr>
                <w:rFonts w:ascii="Cambria Math" w:hAnsi="Cambria Math"/>
                <w:i/>
                <w:color w:val="000000" w:themeColor="text1"/>
                <w:szCs w:val="21"/>
                <w14:textFill>
                  <w14:solidFill>
                    <w14:schemeClr w14:val="tx1"/>
                  </w14:solidFill>
                </w14:textFill>
              </w:rPr>
            </m:ctrlPr>
          </m:sub>
        </m:sSub>
        <m:r>
          <m:rPr/>
          <w:rPr>
            <w:rFonts w:ascii="Cambria Math" w:hAnsi="Cambria Math"/>
            <w:color w:val="000000" w:themeColor="text1"/>
            <w:szCs w:val="21"/>
            <w14:textFill>
              <w14:solidFill>
                <w14:schemeClr w14:val="tx1"/>
              </w14:solidFill>
            </w14:textFill>
          </w:rPr>
          <m:t>=</m:t>
        </m:r>
        <m:sSub>
          <m:sSubPr>
            <m:ctrlPr>
              <w:rPr>
                <w:rFonts w:ascii="Cambria Math" w:hAnsi="Cambria Math"/>
                <w:i/>
                <w:color w:val="000000" w:themeColor="text1"/>
                <w:szCs w:val="21"/>
                <w14:textFill>
                  <w14:solidFill>
                    <w14:schemeClr w14:val="tx1"/>
                  </w14:solidFill>
                </w14:textFill>
              </w:rPr>
            </m:ctrlPr>
          </m:sSubPr>
          <m:e>
            <m:r>
              <m:rPr/>
              <w:rPr>
                <w:rFonts w:ascii="Cambria Math" w:hAnsi="Cambria Math"/>
                <w:color w:val="000000" w:themeColor="text1"/>
                <w:szCs w:val="21"/>
                <w14:textFill>
                  <w14:solidFill>
                    <w14:schemeClr w14:val="tx1"/>
                  </w14:solidFill>
                </w14:textFill>
              </w:rPr>
              <m:t>q</m:t>
            </m:r>
            <m:ctrlPr>
              <w:rPr>
                <w:rFonts w:ascii="Cambria Math" w:hAnsi="Cambria Math"/>
                <w:i/>
                <w:color w:val="000000" w:themeColor="text1"/>
                <w:szCs w:val="21"/>
                <w14:textFill>
                  <w14:solidFill>
                    <w14:schemeClr w14:val="tx1"/>
                  </w14:solidFill>
                </w14:textFill>
              </w:rPr>
            </m:ctrlPr>
          </m:e>
          <m:sub>
            <m:r>
              <m:rPr/>
              <w:rPr>
                <w:rFonts w:ascii="Cambria Math" w:hAnsi="Cambria Math"/>
                <w:color w:val="000000" w:themeColor="text1"/>
                <w:szCs w:val="21"/>
                <w14:textFill>
                  <w14:solidFill>
                    <w14:schemeClr w14:val="tx1"/>
                  </w14:solidFill>
                </w14:textFill>
              </w:rPr>
              <m:t>0</m:t>
            </m:r>
            <m:ctrlPr>
              <w:rPr>
                <w:rFonts w:ascii="Cambria Math" w:hAnsi="Cambria Math"/>
                <w:i/>
                <w:color w:val="000000" w:themeColor="text1"/>
                <w:szCs w:val="21"/>
                <w14:textFill>
                  <w14:solidFill>
                    <w14:schemeClr w14:val="tx1"/>
                  </w14:solidFill>
                </w14:textFill>
              </w:rPr>
            </m:ctrlPr>
          </m:sub>
        </m:sSub>
        <m:r>
          <m:rPr/>
          <w:rPr>
            <w:rFonts w:ascii="Cambria Math" w:hAnsi="Cambria Math"/>
            <w:color w:val="000000" w:themeColor="text1"/>
            <w:szCs w:val="21"/>
            <w14:textFill>
              <w14:solidFill>
                <w14:schemeClr w14:val="tx1"/>
              </w14:solidFill>
            </w14:textFill>
          </w:rPr>
          <m:t>∙</m:t>
        </m:r>
        <m:nary>
          <m:naryPr>
            <m:chr m:val="∑"/>
            <m:limLoc m:val="undOvr"/>
            <m:subHide m:val="1"/>
            <m:supHide m:val="1"/>
            <m:ctrlPr>
              <w:rPr>
                <w:rFonts w:ascii="Cambria Math" w:hAnsi="Cambria Math"/>
                <w:i/>
                <w:color w:val="000000" w:themeColor="text1"/>
                <w:szCs w:val="21"/>
                <w14:textFill>
                  <w14:solidFill>
                    <w14:schemeClr w14:val="tx1"/>
                  </w14:solidFill>
                </w14:textFill>
              </w:rPr>
            </m:ctrlPr>
          </m:naryPr>
          <m:sub>
            <m:ctrlPr>
              <w:rPr>
                <w:rFonts w:ascii="Cambria Math" w:hAnsi="Cambria Math"/>
                <w:i/>
                <w:color w:val="000000" w:themeColor="text1"/>
                <w:szCs w:val="21"/>
                <w14:textFill>
                  <w14:solidFill>
                    <w14:schemeClr w14:val="tx1"/>
                  </w14:solidFill>
                </w14:textFill>
              </w:rPr>
            </m:ctrlPr>
          </m:sub>
          <m:sup>
            <m:ctrlPr>
              <w:rPr>
                <w:rFonts w:ascii="Cambria Math" w:hAnsi="Cambria Math"/>
                <w:i/>
                <w:color w:val="000000" w:themeColor="text1"/>
                <w:szCs w:val="21"/>
                <w14:textFill>
                  <w14:solidFill>
                    <w14:schemeClr w14:val="tx1"/>
                  </w14:solidFill>
                </w14:textFill>
              </w:rPr>
            </m:ctrlPr>
          </m:sup>
          <m:e>
            <m:r>
              <m:rPr/>
              <w:rPr>
                <w:rFonts w:ascii="Cambria Math" w:hAnsi="Cambria Math"/>
                <w:color w:val="000000" w:themeColor="text1"/>
                <w:szCs w:val="21"/>
                <w14:textFill>
                  <w14:solidFill>
                    <w14:schemeClr w14:val="tx1"/>
                  </w14:solidFill>
                </w14:textFill>
              </w:rPr>
              <m:t>N</m:t>
            </m:r>
            <m:ctrlPr>
              <w:rPr>
                <w:rFonts w:ascii="Cambria Math" w:hAnsi="Cambria Math"/>
                <w:i/>
                <w:color w:val="000000" w:themeColor="text1"/>
                <w:szCs w:val="21"/>
                <w14:textFill>
                  <w14:solidFill>
                    <w14:schemeClr w14:val="tx1"/>
                  </w14:solidFill>
                </w14:textFill>
              </w:rPr>
            </m:ctrlPr>
          </m:e>
        </m:nary>
      </m:oMath>
    </w:p>
    <w:p>
      <w:pPr>
        <w:pStyle w:val="22"/>
        <w:tabs>
          <w:tab w:val="left" w:pos="851"/>
          <w:tab w:val="left" w:pos="5835"/>
        </w:tabs>
        <w:snapToGrid w:val="0"/>
        <w:spacing w:line="360" w:lineRule="auto"/>
        <w:ind w:firstLineChars="0"/>
        <w:jc w:val="left"/>
        <w:rPr>
          <w:rFonts w:ascii="宋体" w:hAnsi="宋体"/>
          <w:color w:val="000000" w:themeColor="text1"/>
          <w:szCs w:val="21"/>
          <w14:textFill>
            <w14:solidFill>
              <w14:schemeClr w14:val="tx1"/>
            </w14:solidFill>
          </w14:textFill>
        </w:rPr>
      </w:pPr>
      <w:r>
        <w:rPr>
          <w:rFonts w:hint="eastAsia" w:ascii="宋体" w:hAnsi="宋体"/>
          <w:color w:val="000000" w:themeColor="text1"/>
          <w:szCs w:val="21"/>
          <w14:textFill>
            <w14:solidFill>
              <w14:schemeClr w14:val="tx1"/>
            </w14:solidFill>
          </w14:textFill>
        </w:rPr>
        <w:t>式中：</w:t>
      </w:r>
      <m:oMath>
        <m:sSub>
          <m:sSubPr>
            <m:ctrlPr>
              <w:rPr>
                <w:rFonts w:ascii="Cambria Math" w:hAnsi="Cambria Math"/>
                <w:i/>
                <w:color w:val="000000" w:themeColor="text1"/>
                <w:szCs w:val="21"/>
                <w14:textFill>
                  <w14:solidFill>
                    <w14:schemeClr w14:val="tx1"/>
                  </w14:solidFill>
                </w14:textFill>
              </w:rPr>
            </m:ctrlPr>
          </m:sSubPr>
          <m:e>
            <m:r>
              <m:rPr/>
              <w:rPr>
                <w:rFonts w:ascii="Cambria Math" w:hAnsi="Cambria Math"/>
                <w:color w:val="000000" w:themeColor="text1"/>
                <w:szCs w:val="21"/>
                <w14:textFill>
                  <w14:solidFill>
                    <w14:schemeClr w14:val="tx1"/>
                  </w14:solidFill>
                </w14:textFill>
              </w:rPr>
              <m:t>V</m:t>
            </m:r>
            <m:ctrlPr>
              <w:rPr>
                <w:rFonts w:ascii="Cambria Math" w:hAnsi="Cambria Math"/>
                <w:i/>
                <w:color w:val="000000" w:themeColor="text1"/>
                <w:szCs w:val="21"/>
                <w14:textFill>
                  <w14:solidFill>
                    <w14:schemeClr w14:val="tx1"/>
                  </w14:solidFill>
                </w14:textFill>
              </w:rPr>
            </m:ctrlPr>
          </m:e>
          <m:sub>
            <m:r>
              <m:rPr/>
              <w:rPr>
                <w:rFonts w:ascii="Cambria Math" w:hAnsi="Cambria Math"/>
                <w:color w:val="000000" w:themeColor="text1"/>
                <w:szCs w:val="21"/>
                <w14:textFill>
                  <w14:solidFill>
                    <w14:schemeClr w14:val="tx1"/>
                  </w14:solidFill>
                </w14:textFill>
              </w:rPr>
              <m:t>3</m:t>
            </m:r>
            <m:ctrlPr>
              <w:rPr>
                <w:rFonts w:ascii="Cambria Math" w:hAnsi="Cambria Math"/>
                <w:i/>
                <w:color w:val="000000" w:themeColor="text1"/>
                <w:szCs w:val="21"/>
                <w14:textFill>
                  <w14:solidFill>
                    <w14:schemeClr w14:val="tx1"/>
                  </w14:solidFill>
                </w14:textFill>
              </w:rPr>
            </m:ctrlPr>
          </m:sub>
        </m:sSub>
      </m:oMath>
      <w:r>
        <w:rPr>
          <w:rFonts w:hint="eastAsia" w:ascii="宋体" w:hAnsi="宋体"/>
          <w:color w:val="000000" w:themeColor="text1"/>
          <w:szCs w:val="21"/>
          <w14:textFill>
            <w14:solidFill>
              <w14:schemeClr w14:val="tx1"/>
            </w14:solidFill>
          </w14:textFill>
        </w:rPr>
        <w:t xml:space="preserve"> —</w:t>
      </w:r>
      <w:r>
        <w:rPr>
          <w:rFonts w:ascii="宋体" w:hAnsi="宋体"/>
          <w:color w:val="000000" w:themeColor="text1"/>
          <w:szCs w:val="21"/>
          <w14:textFill>
            <w14:solidFill>
              <w14:schemeClr w14:val="tx1"/>
            </w14:solidFill>
          </w14:textFill>
        </w:rPr>
        <w:t xml:space="preserve"> </w:t>
      </w:r>
      <w:r>
        <w:rPr>
          <w:rFonts w:hint="eastAsia" w:ascii="宋体" w:hAnsi="宋体"/>
          <w:color w:val="000000" w:themeColor="text1"/>
          <w:szCs w:val="21"/>
          <w14:textFill>
            <w14:solidFill>
              <w14:schemeClr w14:val="tx1"/>
            </w14:solidFill>
          </w14:textFill>
        </w:rPr>
        <w:t>无轨运输所需的通风量（</w:t>
      </w:r>
      <w:r>
        <w:rPr>
          <w:rFonts w:ascii="宋体" w:hAnsi="宋体"/>
          <w:color w:val="000000" w:themeColor="text1"/>
          <w:szCs w:val="21"/>
          <w14:textFill>
            <w14:solidFill>
              <w14:schemeClr w14:val="tx1"/>
            </w14:solidFill>
          </w14:textFill>
        </w:rPr>
        <w:t>m</w:t>
      </w:r>
      <w:r>
        <w:rPr>
          <w:rFonts w:ascii="宋体" w:hAnsi="宋体"/>
          <w:color w:val="000000" w:themeColor="text1"/>
          <w:szCs w:val="21"/>
          <w:vertAlign w:val="superscript"/>
          <w14:textFill>
            <w14:solidFill>
              <w14:schemeClr w14:val="tx1"/>
            </w14:solidFill>
          </w14:textFill>
        </w:rPr>
        <w:t>3</w:t>
      </w:r>
      <w:r>
        <w:rPr>
          <w:rFonts w:ascii="宋体" w:hAnsi="宋体"/>
          <w:color w:val="000000" w:themeColor="text1"/>
          <w:szCs w:val="21"/>
          <w14:textFill>
            <w14:solidFill>
              <w14:schemeClr w14:val="tx1"/>
            </w14:solidFill>
          </w14:textFill>
        </w:rPr>
        <w:t>/min</w:t>
      </w:r>
      <w:r>
        <w:rPr>
          <w:rFonts w:hint="eastAsia" w:ascii="宋体" w:hAnsi="宋体"/>
          <w:color w:val="000000" w:themeColor="text1"/>
          <w:szCs w:val="21"/>
          <w14:textFill>
            <w14:solidFill>
              <w14:schemeClr w14:val="tx1"/>
            </w14:solidFill>
          </w14:textFill>
        </w:rPr>
        <w:t>）；</w:t>
      </w:r>
    </w:p>
    <w:p>
      <w:pPr>
        <w:pStyle w:val="22"/>
        <w:tabs>
          <w:tab w:val="left" w:pos="851"/>
          <w:tab w:val="left" w:pos="5835"/>
        </w:tabs>
        <w:snapToGrid w:val="0"/>
        <w:spacing w:line="360" w:lineRule="auto"/>
        <w:ind w:firstLine="1050" w:firstLineChars="500"/>
        <w:jc w:val="left"/>
        <w:rPr>
          <w:rFonts w:ascii="宋体" w:hAnsi="宋体"/>
          <w:color w:val="000000" w:themeColor="text1"/>
          <w:szCs w:val="21"/>
          <w14:textFill>
            <w14:solidFill>
              <w14:schemeClr w14:val="tx1"/>
            </w14:solidFill>
          </w14:textFill>
        </w:rPr>
      </w:pPr>
      <m:oMath>
        <m:sSub>
          <m:sSubPr>
            <m:ctrlPr>
              <w:rPr>
                <w:rFonts w:ascii="Cambria Math" w:hAnsi="Cambria Math"/>
                <w:i/>
                <w:color w:val="000000" w:themeColor="text1"/>
                <w:szCs w:val="21"/>
                <w14:textFill>
                  <w14:solidFill>
                    <w14:schemeClr w14:val="tx1"/>
                  </w14:solidFill>
                </w14:textFill>
              </w:rPr>
            </m:ctrlPr>
          </m:sSubPr>
          <m:e>
            <m:r>
              <m:rPr/>
              <w:rPr>
                <w:rFonts w:ascii="Cambria Math" w:hAnsi="Cambria Math"/>
                <w:color w:val="000000" w:themeColor="text1"/>
                <w:szCs w:val="21"/>
                <w14:textFill>
                  <w14:solidFill>
                    <w14:schemeClr w14:val="tx1"/>
                  </w14:solidFill>
                </w14:textFill>
              </w:rPr>
              <m:t>q</m:t>
            </m:r>
            <m:ctrlPr>
              <w:rPr>
                <w:rFonts w:ascii="Cambria Math" w:hAnsi="Cambria Math"/>
                <w:i/>
                <w:color w:val="000000" w:themeColor="text1"/>
                <w:szCs w:val="21"/>
                <w14:textFill>
                  <w14:solidFill>
                    <w14:schemeClr w14:val="tx1"/>
                  </w14:solidFill>
                </w14:textFill>
              </w:rPr>
            </m:ctrlPr>
          </m:e>
          <m:sub>
            <m:r>
              <m:rPr/>
              <w:rPr>
                <w:rFonts w:ascii="Cambria Math" w:hAnsi="Cambria Math"/>
                <w:color w:val="000000" w:themeColor="text1"/>
                <w:szCs w:val="21"/>
                <w14:textFill>
                  <w14:solidFill>
                    <w14:schemeClr w14:val="tx1"/>
                  </w14:solidFill>
                </w14:textFill>
              </w:rPr>
              <m:t>0</m:t>
            </m:r>
            <m:ctrlPr>
              <w:rPr>
                <w:rFonts w:ascii="Cambria Math" w:hAnsi="Cambria Math"/>
                <w:i/>
                <w:color w:val="000000" w:themeColor="text1"/>
                <w:szCs w:val="21"/>
                <w14:textFill>
                  <w14:solidFill>
                    <w14:schemeClr w14:val="tx1"/>
                  </w14:solidFill>
                </w14:textFill>
              </w:rPr>
            </m:ctrlPr>
          </m:sub>
        </m:sSub>
      </m:oMath>
      <w:r>
        <w:rPr>
          <w:rFonts w:hint="eastAsia" w:ascii="宋体" w:hAnsi="宋体"/>
          <w:color w:val="000000" w:themeColor="text1"/>
          <w:szCs w:val="21"/>
          <w14:textFill>
            <w14:solidFill>
              <w14:schemeClr w14:val="tx1"/>
            </w14:solidFill>
          </w14:textFill>
        </w:rPr>
        <w:t xml:space="preserve"> </w:t>
      </w:r>
      <w:r>
        <w:rPr>
          <w:rFonts w:ascii="宋体" w:hAnsi="宋体"/>
          <w:color w:val="000000" w:themeColor="text1"/>
          <w:szCs w:val="21"/>
          <w14:textFill>
            <w14:solidFill>
              <w14:schemeClr w14:val="tx1"/>
            </w14:solidFill>
          </w14:textFill>
        </w:rPr>
        <w:t>— 单位功率的通风量[m</w:t>
      </w:r>
      <w:r>
        <w:rPr>
          <w:rFonts w:ascii="宋体" w:hAnsi="宋体"/>
          <w:color w:val="000000" w:themeColor="text1"/>
          <w:szCs w:val="21"/>
          <w:vertAlign w:val="superscript"/>
          <w14:textFill>
            <w14:solidFill>
              <w14:schemeClr w14:val="tx1"/>
            </w14:solidFill>
          </w14:textFill>
        </w:rPr>
        <w:t>3</w:t>
      </w:r>
      <w:r>
        <w:rPr>
          <w:rFonts w:ascii="宋体" w:hAnsi="宋体"/>
          <w:color w:val="000000" w:themeColor="text1"/>
          <w:szCs w:val="21"/>
          <w14:textFill>
            <w14:solidFill>
              <w14:schemeClr w14:val="tx1"/>
            </w14:solidFill>
          </w14:textFill>
        </w:rPr>
        <w:t>/(min</w:t>
      </w:r>
      <w:r>
        <w:rPr>
          <w:rFonts w:hint="eastAsia" w:ascii="宋体" w:hAnsi="宋体"/>
          <w:color w:val="000000" w:themeColor="text1"/>
          <w:szCs w:val="21"/>
          <w14:textFill>
            <w14:solidFill>
              <w14:schemeClr w14:val="tx1"/>
            </w14:solidFill>
          </w14:textFill>
        </w:rPr>
        <w:t>•</w:t>
      </w:r>
      <w:r>
        <w:rPr>
          <w:rFonts w:ascii="宋体" w:hAnsi="宋体"/>
          <w:color w:val="000000" w:themeColor="text1"/>
          <w:szCs w:val="21"/>
          <w14:textFill>
            <w14:solidFill>
              <w14:schemeClr w14:val="tx1"/>
            </w14:solidFill>
          </w14:textFill>
        </w:rPr>
        <w:t>kW)]；</w:t>
      </w:r>
      <w:r>
        <w:rPr>
          <w:rFonts w:hint="eastAsia" w:ascii="宋体" w:hAnsi="宋体"/>
          <w:color w:val="000000" w:themeColor="text1"/>
          <w:szCs w:val="21"/>
          <w14:textFill>
            <w14:solidFill>
              <w14:schemeClr w14:val="tx1"/>
            </w14:solidFill>
          </w14:textFill>
        </w:rPr>
        <w:t>是一个统计数字，各国取值范围为</w:t>
      </w:r>
      <w:r>
        <w:rPr>
          <w:rFonts w:ascii="宋体" w:hAnsi="宋体"/>
          <w:color w:val="000000" w:themeColor="text1"/>
          <w:szCs w:val="21"/>
          <w14:textFill>
            <w14:solidFill>
              <w14:schemeClr w14:val="tx1"/>
            </w14:solidFill>
          </w14:textFill>
        </w:rPr>
        <w:t>2.1～7.0</w:t>
      </w:r>
      <w:r>
        <w:rPr>
          <w:color w:val="000000" w:themeColor="text1"/>
          <w14:textFill>
            <w14:solidFill>
              <w14:schemeClr w14:val="tx1"/>
            </w14:solidFill>
          </w14:textFill>
        </w:rPr>
        <w:t xml:space="preserve"> </w:t>
      </w:r>
      <w:r>
        <w:rPr>
          <w:rFonts w:ascii="宋体" w:hAnsi="宋体"/>
          <w:color w:val="000000" w:themeColor="text1"/>
          <w:szCs w:val="21"/>
          <w14:textFill>
            <w14:solidFill>
              <w14:schemeClr w14:val="tx1"/>
            </w14:solidFill>
          </w14:textFill>
        </w:rPr>
        <w:t>m</w:t>
      </w:r>
      <w:r>
        <w:rPr>
          <w:rFonts w:ascii="宋体" w:hAnsi="宋体"/>
          <w:color w:val="000000" w:themeColor="text1"/>
          <w:szCs w:val="21"/>
          <w:vertAlign w:val="superscript"/>
          <w14:textFill>
            <w14:solidFill>
              <w14:schemeClr w14:val="tx1"/>
            </w14:solidFill>
          </w14:textFill>
        </w:rPr>
        <w:t>3</w:t>
      </w:r>
      <w:r>
        <w:rPr>
          <w:rFonts w:ascii="宋体" w:hAnsi="宋体"/>
          <w:color w:val="000000" w:themeColor="text1"/>
          <w:szCs w:val="21"/>
          <w14:textFill>
            <w14:solidFill>
              <w14:schemeClr w14:val="tx1"/>
            </w14:solidFill>
          </w14:textFill>
        </w:rPr>
        <w:t>/(min•kW)，一般取值3.0m</w:t>
      </w:r>
      <w:r>
        <w:rPr>
          <w:rFonts w:ascii="宋体" w:hAnsi="宋体"/>
          <w:color w:val="000000" w:themeColor="text1"/>
          <w:szCs w:val="21"/>
          <w:vertAlign w:val="superscript"/>
          <w14:textFill>
            <w14:solidFill>
              <w14:schemeClr w14:val="tx1"/>
            </w14:solidFill>
          </w14:textFill>
        </w:rPr>
        <w:t>3</w:t>
      </w:r>
      <w:r>
        <w:rPr>
          <w:rFonts w:ascii="宋体" w:hAnsi="宋体"/>
          <w:color w:val="000000" w:themeColor="text1"/>
          <w:szCs w:val="21"/>
          <w14:textFill>
            <w14:solidFill>
              <w14:schemeClr w14:val="tx1"/>
            </w14:solidFill>
          </w14:textFill>
        </w:rPr>
        <w:t>/(min•kW)；</w:t>
      </w:r>
    </w:p>
    <w:p>
      <w:pPr>
        <w:pStyle w:val="22"/>
        <w:tabs>
          <w:tab w:val="left" w:pos="851"/>
          <w:tab w:val="left" w:pos="5835"/>
        </w:tabs>
        <w:snapToGrid w:val="0"/>
        <w:spacing w:line="360" w:lineRule="auto"/>
        <w:ind w:firstLine="1050" w:firstLineChars="500"/>
        <w:jc w:val="left"/>
        <w:rPr>
          <w:rFonts w:ascii="宋体" w:hAnsi="宋体"/>
          <w:color w:val="000000" w:themeColor="text1"/>
          <w:szCs w:val="21"/>
          <w14:textFill>
            <w14:solidFill>
              <w14:schemeClr w14:val="tx1"/>
            </w14:solidFill>
          </w14:textFill>
        </w:rPr>
      </w:pPr>
      <m:oMath>
        <m:nary>
          <m:naryPr>
            <m:chr m:val="∑"/>
            <m:limLoc m:val="undOvr"/>
            <m:subHide m:val="1"/>
            <m:supHide m:val="1"/>
            <m:ctrlPr>
              <w:rPr>
                <w:rFonts w:ascii="Cambria Math" w:hAnsi="Cambria Math"/>
                <w:color w:val="000000" w:themeColor="text1"/>
                <w:szCs w:val="21"/>
                <w14:textFill>
                  <w14:solidFill>
                    <w14:schemeClr w14:val="tx1"/>
                  </w14:solidFill>
                </w14:textFill>
              </w:rPr>
            </m:ctrlPr>
          </m:naryPr>
          <m:sub>
            <m:ctrlPr>
              <w:rPr>
                <w:rFonts w:ascii="Cambria Math" w:hAnsi="Cambria Math"/>
                <w:color w:val="000000" w:themeColor="text1"/>
                <w:szCs w:val="21"/>
                <w14:textFill>
                  <w14:solidFill>
                    <w14:schemeClr w14:val="tx1"/>
                  </w14:solidFill>
                </w14:textFill>
              </w:rPr>
            </m:ctrlPr>
          </m:sub>
          <m:sup>
            <m:ctrlPr>
              <w:rPr>
                <w:rFonts w:ascii="Cambria Math" w:hAnsi="Cambria Math"/>
                <w:color w:val="000000" w:themeColor="text1"/>
                <w:szCs w:val="21"/>
                <w14:textFill>
                  <w14:solidFill>
                    <w14:schemeClr w14:val="tx1"/>
                  </w14:solidFill>
                </w14:textFill>
              </w:rPr>
            </m:ctrlPr>
          </m:sup>
          <m:e>
            <m:r>
              <m:rPr/>
              <w:rPr>
                <w:rFonts w:ascii="Cambria Math" w:hAnsi="Cambria Math"/>
                <w:color w:val="000000" w:themeColor="text1"/>
                <w:szCs w:val="21"/>
                <w14:textFill>
                  <w14:solidFill>
                    <w14:schemeClr w14:val="tx1"/>
                  </w14:solidFill>
                </w14:textFill>
              </w:rPr>
              <m:t>N</m:t>
            </m:r>
            <m:ctrlPr>
              <w:rPr>
                <w:rFonts w:ascii="Cambria Math" w:hAnsi="Cambria Math"/>
                <w:color w:val="000000" w:themeColor="text1"/>
                <w:szCs w:val="21"/>
                <w14:textFill>
                  <w14:solidFill>
                    <w14:schemeClr w14:val="tx1"/>
                  </w14:solidFill>
                </w14:textFill>
              </w:rPr>
            </m:ctrlPr>
          </m:e>
        </m:nary>
      </m:oMath>
      <w:r>
        <w:rPr>
          <w:rFonts w:ascii="宋体" w:hAnsi="宋体"/>
          <w:color w:val="000000" w:themeColor="text1"/>
          <w:szCs w:val="21"/>
          <w14:textFill>
            <w14:solidFill>
              <w14:schemeClr w14:val="tx1"/>
            </w14:solidFill>
          </w14:textFill>
        </w:rPr>
        <w:t xml:space="preserve"> — 洞内作业柴油机功率的总和（kW）。</w:t>
      </w:r>
    </w:p>
    <w:p>
      <w:pPr>
        <w:pStyle w:val="22"/>
        <w:tabs>
          <w:tab w:val="left" w:pos="851"/>
          <w:tab w:val="left" w:pos="5835"/>
        </w:tabs>
        <w:snapToGrid w:val="0"/>
        <w:spacing w:line="360" w:lineRule="auto"/>
        <w:ind w:firstLine="0" w:firstLineChars="0"/>
        <w:jc w:val="left"/>
        <w:rPr>
          <w:rFonts w:hAnsi="宋体"/>
          <w:color w:val="000000" w:themeColor="text1"/>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.4.7</w:t>
      </w:r>
      <w:r>
        <w:rPr>
          <w:rFonts w:hint="eastAsia" w:hAnsi="宋体"/>
          <w:color w:val="000000" w:themeColor="text1"/>
          <w:szCs w:val="21"/>
          <w14:textFill>
            <w14:solidFill>
              <w14:schemeClr w14:val="tx1"/>
            </w14:solidFill>
          </w14:textFill>
        </w:rPr>
        <w:t xml:space="preserve"> 送风量越大、通风距离越长，选择风管直径就相应增大。但是必须考虑隧道断面情况，保证风管能够在洞内布置，而不容易被施工机械、车辆撞坏、</w:t>
      </w:r>
      <w:r>
        <w:rPr>
          <w:rFonts w:hint="eastAsia" w:hAnsi="宋体"/>
          <w:color w:val="000000" w:themeColor="text1"/>
          <w:szCs w:val="21"/>
          <w:lang w:eastAsia="zh-CN"/>
          <w14:textFill>
            <w14:solidFill>
              <w14:schemeClr w14:val="tx1"/>
            </w14:solidFill>
          </w14:textFill>
        </w:rPr>
        <w:t>剐蹭</w:t>
      </w:r>
      <w:r>
        <w:rPr>
          <w:rFonts w:hint="eastAsia" w:hAnsi="宋体"/>
          <w:color w:val="000000" w:themeColor="text1"/>
          <w:szCs w:val="21"/>
          <w14:textFill>
            <w14:solidFill>
              <w14:schemeClr w14:val="tx1"/>
            </w14:solidFill>
          </w14:textFill>
        </w:rPr>
        <w:t>。通风机的功率一般考虑</w:t>
      </w:r>
      <w:r>
        <w:rPr>
          <w:rFonts w:hAnsi="宋体"/>
          <w:color w:val="000000" w:themeColor="text1"/>
          <w:szCs w:val="21"/>
          <w14:textFill>
            <w14:solidFill>
              <w14:schemeClr w14:val="tx1"/>
            </w14:solidFill>
          </w14:textFill>
        </w:rPr>
        <w:t>50%</w:t>
      </w:r>
      <w:r>
        <w:rPr>
          <w:rFonts w:hint="eastAsia" w:hAnsi="宋体"/>
          <w:color w:val="000000" w:themeColor="text1"/>
          <w:szCs w:val="21"/>
          <w14:textFill>
            <w14:solidFill>
              <w14:schemeClr w14:val="tx1"/>
            </w14:solidFill>
          </w14:textFill>
        </w:rPr>
        <w:t xml:space="preserve">的裕量。                                                                                                                                                                                                    </w:t>
      </w: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.4.</w:t>
      </w:r>
      <w:r>
        <w:rPr>
          <w:rFonts w:hint="eastAsia" w:hAnsi="宋体"/>
          <w:b/>
          <w:color w:val="000000" w:themeColor="text1"/>
          <w:szCs w:val="21"/>
          <w14:textFill>
            <w14:solidFill>
              <w14:schemeClr w14:val="tx1"/>
            </w14:solidFill>
          </w14:textFill>
        </w:rPr>
        <w:t>9</w:t>
      </w:r>
      <w:r>
        <w:rPr>
          <w:rFonts w:hint="eastAsia" w:hAnsi="宋体"/>
          <w:color w:val="000000" w:themeColor="text1"/>
          <w:szCs w:val="21"/>
          <w14:textFill>
            <w14:solidFill>
              <w14:schemeClr w14:val="tx1"/>
            </w14:solidFill>
          </w14:textFill>
        </w:rPr>
        <w:t xml:space="preserve"> 软管容易被钢筋、锚杆挂坏，因此安装时应采取保护措施。控制软风管单根长度，主要减少接头漏损，增加刚性连接，主要是减少接头漏风和降低局部阻力。</w:t>
      </w:r>
    </w:p>
    <w:p>
      <w:pPr>
        <w:tabs>
          <w:tab w:val="left" w:pos="851"/>
          <w:tab w:val="left" w:pos="5835"/>
        </w:tabs>
        <w:snapToGrid w:val="0"/>
        <w:spacing w:line="360" w:lineRule="auto"/>
        <w:jc w:val="left"/>
        <w:rPr>
          <w:rFonts w:ascii="宋体" w:hAnsi="宋体" w:cstheme="minorEastAsia"/>
          <w:color w:val="000000" w:themeColor="text1"/>
          <w:kern w:val="0"/>
          <w:szCs w:val="21"/>
          <w14:textFill>
            <w14:solidFill>
              <w14:schemeClr w14:val="tx1"/>
            </w14:solidFill>
          </w14:textFill>
        </w:rPr>
      </w:pPr>
      <w:r>
        <w:rPr>
          <w:rFonts w:hint="eastAsia" w:hAnsi="宋体"/>
          <w:b/>
          <w:color w:val="000000" w:themeColor="text1"/>
          <w:szCs w:val="21"/>
          <w14:textFill>
            <w14:solidFill>
              <w14:schemeClr w14:val="tx1"/>
            </w14:solidFill>
          </w14:textFill>
        </w:rPr>
        <w:t>17</w:t>
      </w:r>
      <w:r>
        <w:rPr>
          <w:rFonts w:hAnsi="宋体"/>
          <w:b/>
          <w:color w:val="000000" w:themeColor="text1"/>
          <w:szCs w:val="21"/>
          <w14:textFill>
            <w14:solidFill>
              <w14:schemeClr w14:val="tx1"/>
            </w14:solidFill>
          </w14:textFill>
        </w:rPr>
        <w:t>.4.</w:t>
      </w:r>
      <w:r>
        <w:rPr>
          <w:rFonts w:hint="eastAsia" w:hAnsi="宋体"/>
          <w:b/>
          <w:color w:val="000000" w:themeColor="text1"/>
          <w:szCs w:val="21"/>
          <w14:textFill>
            <w14:solidFill>
              <w14:schemeClr w14:val="tx1"/>
            </w14:solidFill>
          </w14:textFill>
        </w:rPr>
        <w:t xml:space="preserve">11 </w:t>
      </w:r>
      <w:r>
        <w:rPr>
          <w:rFonts w:hint="eastAsia" w:hAnsi="宋体"/>
          <w:color w:val="000000" w:themeColor="text1"/>
          <w:szCs w:val="21"/>
          <w14:textFill>
            <w14:solidFill>
              <w14:schemeClr w14:val="tx1"/>
            </w14:solidFill>
          </w14:textFill>
        </w:rPr>
        <w:t>隧道通风，主要是强制排除各类机械排出的废气及喷射混凝土产生的大量粉尘，保证洞内的空气新鲜。</w:t>
      </w:r>
      <w:bookmarkEnd w:id="546"/>
      <w:bookmarkEnd w:id="547"/>
      <w:bookmarkEnd w:id="548"/>
      <w:bookmarkEnd w:id="549"/>
      <w:bookmarkEnd w:id="550"/>
      <w:bookmarkEnd w:id="551"/>
    </w:p>
    <w:p>
      <w:pPr>
        <w:widowControl/>
        <w:jc w:val="left"/>
        <w:rPr>
          <w:rFonts w:eastAsia="黑体"/>
          <w:b/>
          <w:color w:val="000000" w:themeColor="text1"/>
          <w:kern w:val="44"/>
          <w:sz w:val="24"/>
          <w14:textFill>
            <w14:solidFill>
              <w14:schemeClr w14:val="tx1"/>
            </w14:solidFill>
          </w14:textFill>
        </w:rPr>
      </w:pPr>
    </w:p>
    <w:p>
      <w:pPr>
        <w:rPr>
          <w:color w:val="000000" w:themeColor="text1"/>
          <w14:textFill>
            <w14:solidFill>
              <w14:schemeClr w14:val="tx1"/>
            </w14:solidFill>
          </w14:textFill>
        </w:rPr>
      </w:pPr>
    </w:p>
    <w:sectPr>
      <w:footerReference r:id="rId6"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0000000000000000000"/>
    <w:charset w:val="86"/>
    <w:family w:val="modern"/>
    <w:pitch w:val="default"/>
    <w:sig w:usb0="00000000" w:usb1="00000000" w:usb2="00000000" w:usb3="00000000" w:csb0="00040000" w:csb1="00000000"/>
  </w:font>
  <w:font w:name="Adobe 黑体 Std R">
    <w:panose1 w:val="020B0400000000000000"/>
    <w:charset w:val="86"/>
    <w:family w:val="swiss"/>
    <w:pitch w:val="default"/>
    <w:sig w:usb0="00000001" w:usb1="0A0F1810" w:usb2="00000016" w:usb3="00000000" w:csb0="00060007" w:csb1="00000000"/>
  </w:font>
  <w:font w:name="Plotter">
    <w:altName w:val="DejaVu Math TeX Gyre"/>
    <w:panose1 w:val="00000000000000000000"/>
    <w:charset w:val="00"/>
    <w:family w:val="modern"/>
    <w:pitch w:val="default"/>
    <w:sig w:usb0="00000000" w:usb1="00000000" w:usb2="00000000" w:usb3="00000000" w:csb0="00000001" w:csb1="00000000"/>
  </w:font>
  <w:font w:name="Cambria Math">
    <w:panose1 w:val="02040503050406030204"/>
    <w:charset w:val="00"/>
    <w:family w:val="roman"/>
    <w:pitch w:val="default"/>
    <w:sig w:usb0="E00006FF" w:usb1="420024FF" w:usb2="02000000" w:usb3="00000000" w:csb0="2000019F" w:csb1="00000000"/>
  </w:font>
  <w:font w:name="DejaVu Math TeX Gyre">
    <w:panose1 w:val="02000503000000000000"/>
    <w:charset w:val="00"/>
    <w:family w:val="auto"/>
    <w:pitch w:val="default"/>
    <w:sig w:usb0="A10000EF" w:usb1="4201F9EE" w:usb2="02000000" w:usb3="00000000" w:csb0="60000193" w:csb1="0DD4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rPr>
                              <w:rFonts w:hint="eastAsia"/>
                            </w:rPr>
                            <w:fldChar w:fldCharType="begin"/>
                          </w:r>
                          <w:r>
                            <w:rPr>
                              <w:rFonts w:hint="eastAsia"/>
                            </w:rPr>
                            <w:instrText xml:space="preserve"> PAGE  \* MERGEFORMAT </w:instrText>
                          </w:r>
                          <w:r>
                            <w:rPr>
                              <w:rFonts w:hint="eastAsia"/>
                            </w:rPr>
                            <w:fldChar w:fldCharType="separate"/>
                          </w:r>
                          <w:r>
                            <w:t>4</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cMibgsAgAAV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FwyJuCwCAABVBAAADgAAAAAAAAABACAAAAAfAQAAZHJzL2Uyb0RvYy54bWxQSwUGAAAAAAYA&#10;BgBZAQAAvQUAAAAA&#10;">
              <v:fill on="f" focussize="0,0"/>
              <v:stroke on="f" weight="0.5pt"/>
              <v:imagedata o:title=""/>
              <o:lock v:ext="edit" aspectratio="f"/>
              <v:textbox inset="0mm,0mm,0mm,0mm" style="mso-fit-shape-to-text:t;">
                <w:txbxContent>
                  <w:p>
                    <w:pPr>
                      <w:pStyle w:val="8"/>
                    </w:pPr>
                    <w:r>
                      <w:rPr>
                        <w:rFonts w:hint="eastAsia"/>
                      </w:rPr>
                      <w:fldChar w:fldCharType="begin"/>
                    </w:r>
                    <w:r>
                      <w:rPr>
                        <w:rFonts w:hint="eastAsia"/>
                      </w:rPr>
                      <w:instrText xml:space="preserve"> PAGE  \* MERGEFORMAT </w:instrText>
                    </w:r>
                    <w:r>
                      <w:rPr>
                        <w:rFonts w:hint="eastAsia"/>
                      </w:rPr>
                      <w:fldChar w:fldCharType="separate"/>
                    </w:r>
                    <w:r>
                      <w:t>4</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mc:AlternateContent>
        <mc:Choice Requires="wps">
          <w:drawing>
            <wp:anchor distT="0" distB="0" distL="114300" distR="114300" simplePos="0" relativeHeight="251676672" behindDoc="0" locked="0" layoutInCell="1" allowOverlap="1">
              <wp:simplePos x="0" y="0"/>
              <wp:positionH relativeFrom="margin">
                <wp:align>center</wp:align>
              </wp:positionH>
              <wp:positionV relativeFrom="paragraph">
                <wp:posOffset>0</wp:posOffset>
              </wp:positionV>
              <wp:extent cx="1828800" cy="1828800"/>
              <wp:effectExtent l="0" t="0" r="0" b="0"/>
              <wp:wrapNone/>
              <wp:docPr id="16" name="文本框 1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rPr>
                              <w:rFonts w:hint="eastAsia"/>
                            </w:rPr>
                            <w:fldChar w:fldCharType="begin"/>
                          </w:r>
                          <w:r>
                            <w:rPr>
                              <w:rFonts w:hint="eastAsia"/>
                            </w:rPr>
                            <w:instrText xml:space="preserve"> PAGE  \* MERGEFORMAT </w:instrText>
                          </w:r>
                          <w:r>
                            <w:rPr>
                              <w:rFonts w:hint="eastAsia"/>
                            </w:rPr>
                            <w:fldChar w:fldCharType="separate"/>
                          </w:r>
                          <w:r>
                            <w:t>4</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667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t2TVYr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7dk1WKwIAAFcEAAAOAAAAAAAAAAEAIAAAAB8BAABkcnMvZTJvRG9jLnhtbFBLBQYAAAAABgAG&#10;AFkBAAC8BQAAAAA=&#10;">
              <v:fill on="f" focussize="0,0"/>
              <v:stroke on="f" weight="0.5pt"/>
              <v:imagedata o:title=""/>
              <o:lock v:ext="edit" aspectratio="f"/>
              <v:textbox inset="0mm,0mm,0mm,0mm" style="mso-fit-shape-to-text:t;">
                <w:txbxContent>
                  <w:p>
                    <w:pPr>
                      <w:pStyle w:val="8"/>
                    </w:pPr>
                    <w:r>
                      <w:rPr>
                        <w:rFonts w:hint="eastAsia"/>
                      </w:rPr>
                      <w:fldChar w:fldCharType="begin"/>
                    </w:r>
                    <w:r>
                      <w:rPr>
                        <w:rFonts w:hint="eastAsia"/>
                      </w:rPr>
                      <w:instrText xml:space="preserve"> PAGE  \* MERGEFORMAT </w:instrText>
                    </w:r>
                    <w:r>
                      <w:rPr>
                        <w:rFonts w:hint="eastAsia"/>
                      </w:rPr>
                      <w:fldChar w:fldCharType="separate"/>
                    </w:r>
                    <w:r>
                      <w:t>4</w:t>
                    </w:r>
                    <w:r>
                      <w:rPr>
                        <w:rFonts w:hint="eastAsia"/>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mc:AlternateContent>
        <mc:Choice Requires="wps">
          <w:drawing>
            <wp:anchor distT="0" distB="0" distL="114300" distR="114300" simplePos="0" relativeHeight="251674624" behindDoc="0" locked="0" layoutInCell="1" allowOverlap="1">
              <wp:simplePos x="0" y="0"/>
              <wp:positionH relativeFrom="margin">
                <wp:align>center</wp:align>
              </wp:positionH>
              <wp:positionV relativeFrom="paragraph">
                <wp:posOffset>0</wp:posOffset>
              </wp:positionV>
              <wp:extent cx="1828800" cy="1828800"/>
              <wp:effectExtent l="0" t="0" r="0" b="0"/>
              <wp:wrapNone/>
              <wp:docPr id="33" name="文本框 3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rPr>
                              <w:rFonts w:hint="eastAsia"/>
                            </w:rPr>
                            <w:fldChar w:fldCharType="begin"/>
                          </w:r>
                          <w:r>
                            <w:rPr>
                              <w:rFonts w:hint="eastAsia"/>
                            </w:rPr>
                            <w:instrText xml:space="preserve"> PAGE  \* MERGEFORMAT </w:instrText>
                          </w:r>
                          <w:r>
                            <w:rPr>
                              <w:rFonts w:hint="eastAsia"/>
                            </w:rPr>
                            <w:fldChar w:fldCharType="separate"/>
                          </w:r>
                          <w:r>
                            <w:t>4</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46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38yactAgAAVw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F38yactAgAAVwQAAA4AAAAAAAAAAQAgAAAAHwEAAGRycy9lMm9Eb2MueG1sUEsFBgAAAAAG&#10;AAYAWQEAAL4FAAAAAA==&#10;">
              <v:fill on="f" focussize="0,0"/>
              <v:stroke on="f" weight="0.5pt"/>
              <v:imagedata o:title=""/>
              <o:lock v:ext="edit" aspectratio="f"/>
              <v:textbox inset="0mm,0mm,0mm,0mm" style="mso-fit-shape-to-text:t;">
                <w:txbxContent>
                  <w:p>
                    <w:pPr>
                      <w:pStyle w:val="8"/>
                    </w:pPr>
                    <w:r>
                      <w:rPr>
                        <w:rFonts w:hint="eastAsia"/>
                      </w:rPr>
                      <w:fldChar w:fldCharType="begin"/>
                    </w:r>
                    <w:r>
                      <w:rPr>
                        <w:rFonts w:hint="eastAsia"/>
                      </w:rPr>
                      <w:instrText xml:space="preserve"> PAGE  \* MERGEFORMAT </w:instrText>
                    </w:r>
                    <w:r>
                      <w:rPr>
                        <w:rFonts w:hint="eastAsia"/>
                      </w:rPr>
                      <w:fldChar w:fldCharType="separate"/>
                    </w:r>
                    <w:r>
                      <w:t>4</w:t>
                    </w:r>
                    <w:r>
                      <w:rPr>
                        <w:rFonts w:hint="eastAsia"/>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mc:AlternateContent>
        <mc:Choice Requires="wps">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rPr>
                              <w:rFonts w:hint="eastAsia"/>
                            </w:rPr>
                            <w:fldChar w:fldCharType="begin"/>
                          </w:r>
                          <w:r>
                            <w:rPr>
                              <w:rFonts w:hint="eastAsia"/>
                            </w:rPr>
                            <w:instrText xml:space="preserve"> PAGE  \* MERGEFORMAT </w:instrText>
                          </w:r>
                          <w:r>
                            <w:rPr>
                              <w:rFonts w:hint="eastAsia"/>
                            </w:rPr>
                            <w:fldChar w:fldCharType="separate"/>
                          </w:r>
                          <w:r>
                            <w:t>4</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7360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zXDnwqAgAAV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CLNmWdjqneUROirm&#10;7eoYIGCnaxSlV2LQCtPWdWZ4GXGc/9x3UY9/g+Vv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IzXDnwqAgAAVQQAAA4AAAAAAAAAAQAgAAAAHwEAAGRycy9lMm9Eb2MueG1sUEsFBgAAAAAGAAYA&#10;WQEAALsFAAAAAA==&#10;">
              <v:fill on="f" focussize="0,0"/>
              <v:stroke on="f" weight="0.5pt"/>
              <v:imagedata o:title=""/>
              <o:lock v:ext="edit" aspectratio="f"/>
              <v:textbox inset="0mm,0mm,0mm,0mm" style="mso-fit-shape-to-text:t;">
                <w:txbxContent>
                  <w:p>
                    <w:pPr>
                      <w:pStyle w:val="8"/>
                    </w:pPr>
                    <w:r>
                      <w:rPr>
                        <w:rFonts w:hint="eastAsia"/>
                      </w:rPr>
                      <w:fldChar w:fldCharType="begin"/>
                    </w:r>
                    <w:r>
                      <w:rPr>
                        <w:rFonts w:hint="eastAsia"/>
                      </w:rPr>
                      <w:instrText xml:space="preserve"> PAGE  \* MERGEFORMAT </w:instrText>
                    </w:r>
                    <w:r>
                      <w:rPr>
                        <w:rFonts w:hint="eastAsia"/>
                      </w:rPr>
                      <w:fldChar w:fldCharType="separate"/>
                    </w:r>
                    <w:r>
                      <w:t>4</w:t>
                    </w:r>
                    <w:r>
                      <w:rPr>
                        <w:rFonts w:hint="eastAsia"/>
                      </w:rP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14"/>
    <w:multiLevelType w:val="multilevel"/>
    <w:tmpl w:val="00000014"/>
    <w:lvl w:ilvl="0" w:tentative="0">
      <w:start w:val="1"/>
      <w:numFmt w:val="decimal"/>
      <w:suff w:val="nothing"/>
      <w:lvlText w:val="%1　"/>
      <w:lvlJc w:val="left"/>
      <w:pPr>
        <w:ind w:left="0" w:firstLine="0"/>
      </w:pPr>
      <w:rPr>
        <w:rFonts w:hint="eastAsia" w:ascii="黑体" w:hAnsi="Times New Roman" w:eastAsia="黑体"/>
        <w:b w:val="0"/>
        <w:i w:val="0"/>
        <w:sz w:val="21"/>
        <w:szCs w:val="21"/>
      </w:rPr>
    </w:lvl>
    <w:lvl w:ilvl="1" w:tentative="0">
      <w:start w:val="1"/>
      <w:numFmt w:val="decimal"/>
      <w:pStyle w:val="33"/>
      <w:suff w:val="nothing"/>
      <w:lvlText w:val="%1.%2　"/>
      <w:lvlJc w:val="left"/>
      <w:pPr>
        <w:ind w:left="210" w:firstLine="0"/>
      </w:pPr>
      <w:rPr>
        <w:rFonts w:hint="eastAsia" w:ascii="黑体" w:hAnsi="Times New Roman" w:eastAsia="黑体" w:cs="Times New Roman"/>
        <w:b w:val="0"/>
        <w:bCs w:val="0"/>
        <w:i w:val="0"/>
        <w:iCs w:val="0"/>
        <w:caps w:val="0"/>
        <w:strike w:val="0"/>
        <w:dstrike w:val="0"/>
        <w:vanish w:val="0"/>
        <w:spacing w:val="0"/>
        <w:kern w:val="0"/>
        <w:position w:val="0"/>
        <w:sz w:val="21"/>
        <w:szCs w:val="21"/>
        <w:u w:val="none"/>
        <w:vertAlign w:val="baseline"/>
      </w:rPr>
    </w:lvl>
    <w:lvl w:ilvl="2" w:tentative="0">
      <w:start w:val="1"/>
      <w:numFmt w:val="decimal"/>
      <w:suff w:val="nothing"/>
      <w:lvlText w:val="%1.%2.%3　"/>
      <w:lvlJc w:val="left"/>
      <w:pPr>
        <w:ind w:left="0"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1">
    <w:nsid w:val="19F16BFE"/>
    <w:multiLevelType w:val="multilevel"/>
    <w:tmpl w:val="19F16BFE"/>
    <w:lvl w:ilvl="0" w:tentative="0">
      <w:start w:val="1"/>
      <w:numFmt w:val="decimal"/>
      <w:lvlText w:val="%1"/>
      <w:lvlJc w:val="left"/>
      <w:pPr>
        <w:tabs>
          <w:tab w:val="left" w:pos="5835"/>
        </w:tabs>
        <w:ind w:left="4827" w:hanging="432"/>
      </w:pPr>
      <w:rPr>
        <w:rFonts w:hint="default" w:ascii="Times New Roman" w:hAnsi="Times New Roman" w:cs="Times New Roman"/>
        <w:sz w:val="28"/>
        <w:szCs w:val="28"/>
      </w:rPr>
    </w:lvl>
    <w:lvl w:ilvl="1" w:tentative="0">
      <w:start w:val="1"/>
      <w:numFmt w:val="decimal"/>
      <w:lvlText w:val="%1.%2"/>
      <w:lvlJc w:val="left"/>
      <w:pPr>
        <w:tabs>
          <w:tab w:val="left" w:pos="576"/>
        </w:tabs>
        <w:ind w:left="576" w:hanging="576"/>
      </w:pPr>
      <w:rPr>
        <w:rFonts w:hint="default" w:ascii="Times New Roman" w:hAnsi="Times New Roman" w:eastAsia="仿宋_GB2312" w:cs="Times New Roman"/>
        <w:b/>
        <w:i w:val="0"/>
        <w:color w:val="auto"/>
        <w:sz w:val="24"/>
        <w:szCs w:val="24"/>
      </w:rPr>
    </w:lvl>
    <w:lvl w:ilvl="2" w:tentative="0">
      <w:start w:val="1"/>
      <w:numFmt w:val="decimal"/>
      <w:lvlText w:val="%1.%2.%3"/>
      <w:lvlJc w:val="left"/>
      <w:pPr>
        <w:tabs>
          <w:tab w:val="left" w:pos="1364"/>
        </w:tabs>
        <w:ind w:left="1078" w:hanging="794"/>
      </w:pPr>
      <w:rPr>
        <w:rFonts w:hint="default" w:ascii="Times New Roman" w:hAnsi="Times New Roman" w:eastAsia="仿宋_GB2312" w:cs="Times New Roman"/>
        <w:b w:val="0"/>
        <w:i w:val="0"/>
        <w:caps w:val="0"/>
        <w:strike w:val="0"/>
        <w:dstrike w:val="0"/>
        <w:vanish w:val="0"/>
        <w:color w:val="auto"/>
        <w:sz w:val="21"/>
        <w:szCs w:val="21"/>
        <w:vertAlign w:val="baseline"/>
      </w:rPr>
    </w:lvl>
    <w:lvl w:ilvl="3" w:tentative="0">
      <w:start w:val="1"/>
      <w:numFmt w:val="decimal"/>
      <w:suff w:val="space"/>
      <w:lvlText w:val="%1.%2.%3.%4"/>
      <w:lvlJc w:val="left"/>
      <w:pPr>
        <w:ind w:left="1021" w:hanging="1021"/>
      </w:pPr>
      <w:rPr>
        <w:rFonts w:hint="default" w:ascii="黑体" w:hAnsi="黑体" w:eastAsia="仿宋_GB2312" w:cs="黑体"/>
        <w:b w:val="0"/>
        <w:i w:val="0"/>
        <w:sz w:val="24"/>
        <w:szCs w:val="24"/>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2">
    <w:nsid w:val="3AFC07F9"/>
    <w:multiLevelType w:val="multilevel"/>
    <w:tmpl w:val="3AFC07F9"/>
    <w:lvl w:ilvl="0" w:tentative="0">
      <w:start w:val="2"/>
      <w:numFmt w:val="decimal"/>
      <w:lvlText w:val="%1、"/>
      <w:lvlJc w:val="left"/>
      <w:pPr>
        <w:ind w:left="1080" w:hanging="360"/>
      </w:pPr>
      <w:rPr>
        <w:rFonts w:hint="default"/>
      </w:rPr>
    </w:lvl>
    <w:lvl w:ilvl="1" w:tentative="0">
      <w:start w:val="4"/>
      <w:numFmt w:val="decimal"/>
      <w:lvlText w:val="%2"/>
      <w:lvlJc w:val="left"/>
      <w:pPr>
        <w:ind w:left="1500" w:hanging="360"/>
      </w:pPr>
      <w:rPr>
        <w:rFonts w:hint="default" w:ascii="Times New Roman" w:cs="Times New Roman"/>
        <w:b/>
      </w:rPr>
    </w:lvl>
    <w:lvl w:ilvl="2" w:tentative="0">
      <w:start w:val="1"/>
      <w:numFmt w:val="lowerRoman"/>
      <w:lvlText w:val="%3."/>
      <w:lvlJc w:val="right"/>
      <w:pPr>
        <w:ind w:left="1980" w:hanging="420"/>
      </w:pPr>
    </w:lvl>
    <w:lvl w:ilvl="3" w:tentative="0">
      <w:start w:val="1"/>
      <w:numFmt w:val="decimal"/>
      <w:lvlText w:val="%4."/>
      <w:lvlJc w:val="left"/>
      <w:pPr>
        <w:ind w:left="2400" w:hanging="420"/>
      </w:pPr>
    </w:lvl>
    <w:lvl w:ilvl="4" w:tentative="0">
      <w:start w:val="1"/>
      <w:numFmt w:val="lowerLetter"/>
      <w:lvlText w:val="%5)"/>
      <w:lvlJc w:val="left"/>
      <w:pPr>
        <w:ind w:left="2820" w:hanging="420"/>
      </w:pPr>
    </w:lvl>
    <w:lvl w:ilvl="5" w:tentative="0">
      <w:start w:val="1"/>
      <w:numFmt w:val="lowerRoman"/>
      <w:lvlText w:val="%6."/>
      <w:lvlJc w:val="right"/>
      <w:pPr>
        <w:ind w:left="3240" w:hanging="420"/>
      </w:pPr>
    </w:lvl>
    <w:lvl w:ilvl="6" w:tentative="0">
      <w:start w:val="1"/>
      <w:numFmt w:val="decimal"/>
      <w:lvlText w:val="%7."/>
      <w:lvlJc w:val="left"/>
      <w:pPr>
        <w:ind w:left="3660" w:hanging="420"/>
      </w:pPr>
    </w:lvl>
    <w:lvl w:ilvl="7" w:tentative="0">
      <w:start w:val="1"/>
      <w:numFmt w:val="lowerLetter"/>
      <w:lvlText w:val="%8)"/>
      <w:lvlJc w:val="left"/>
      <w:pPr>
        <w:ind w:left="4080" w:hanging="420"/>
      </w:pPr>
    </w:lvl>
    <w:lvl w:ilvl="8" w:tentative="0">
      <w:start w:val="1"/>
      <w:numFmt w:val="lowerRoman"/>
      <w:lvlText w:val="%9."/>
      <w:lvlJc w:val="right"/>
      <w:pPr>
        <w:ind w:left="4500" w:hanging="42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hideSpellingError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RjOTkyZDM5NmMyZWYwOWQ1OGQ5YmVkYzNmMDY4YjMifQ=="/>
  </w:docVars>
  <w:rsids>
    <w:rsidRoot w:val="02D56403"/>
    <w:rsid w:val="0000180A"/>
    <w:rsid w:val="00011E1F"/>
    <w:rsid w:val="00013270"/>
    <w:rsid w:val="00015C4D"/>
    <w:rsid w:val="00015D0C"/>
    <w:rsid w:val="000161F4"/>
    <w:rsid w:val="0001628C"/>
    <w:rsid w:val="00016433"/>
    <w:rsid w:val="00016807"/>
    <w:rsid w:val="00017E86"/>
    <w:rsid w:val="00023CC5"/>
    <w:rsid w:val="000250B4"/>
    <w:rsid w:val="00026260"/>
    <w:rsid w:val="00027ABF"/>
    <w:rsid w:val="00036A35"/>
    <w:rsid w:val="00036B70"/>
    <w:rsid w:val="00043201"/>
    <w:rsid w:val="00047CA4"/>
    <w:rsid w:val="000639FB"/>
    <w:rsid w:val="0006699F"/>
    <w:rsid w:val="00067809"/>
    <w:rsid w:val="000679C2"/>
    <w:rsid w:val="00073DEA"/>
    <w:rsid w:val="00080E19"/>
    <w:rsid w:val="000939F1"/>
    <w:rsid w:val="00094A42"/>
    <w:rsid w:val="0009641A"/>
    <w:rsid w:val="000A491A"/>
    <w:rsid w:val="000A71BB"/>
    <w:rsid w:val="000B2031"/>
    <w:rsid w:val="000B2ECE"/>
    <w:rsid w:val="000B7256"/>
    <w:rsid w:val="000C3410"/>
    <w:rsid w:val="000C3FCB"/>
    <w:rsid w:val="000C6E23"/>
    <w:rsid w:val="000D2BAA"/>
    <w:rsid w:val="000D4563"/>
    <w:rsid w:val="000D59C2"/>
    <w:rsid w:val="000E2A46"/>
    <w:rsid w:val="000E64C4"/>
    <w:rsid w:val="000F0B5D"/>
    <w:rsid w:val="000F1EB4"/>
    <w:rsid w:val="000F6AD6"/>
    <w:rsid w:val="000F712D"/>
    <w:rsid w:val="000F7DDA"/>
    <w:rsid w:val="001027B5"/>
    <w:rsid w:val="00105319"/>
    <w:rsid w:val="001114A8"/>
    <w:rsid w:val="00112D02"/>
    <w:rsid w:val="0011506B"/>
    <w:rsid w:val="0012085F"/>
    <w:rsid w:val="00122566"/>
    <w:rsid w:val="00126190"/>
    <w:rsid w:val="001309CE"/>
    <w:rsid w:val="0013337C"/>
    <w:rsid w:val="00137EBF"/>
    <w:rsid w:val="00141ED8"/>
    <w:rsid w:val="0014260F"/>
    <w:rsid w:val="00145A34"/>
    <w:rsid w:val="001478F1"/>
    <w:rsid w:val="001516C2"/>
    <w:rsid w:val="001555C2"/>
    <w:rsid w:val="0015719D"/>
    <w:rsid w:val="00172507"/>
    <w:rsid w:val="00176087"/>
    <w:rsid w:val="0018586A"/>
    <w:rsid w:val="00185AEB"/>
    <w:rsid w:val="001908BA"/>
    <w:rsid w:val="0019096E"/>
    <w:rsid w:val="0019672B"/>
    <w:rsid w:val="001968D0"/>
    <w:rsid w:val="001A2702"/>
    <w:rsid w:val="001A74F5"/>
    <w:rsid w:val="001B14F1"/>
    <w:rsid w:val="001B3DAB"/>
    <w:rsid w:val="001B3DC1"/>
    <w:rsid w:val="001B50D6"/>
    <w:rsid w:val="001B521F"/>
    <w:rsid w:val="001B78F3"/>
    <w:rsid w:val="001C0899"/>
    <w:rsid w:val="001C150C"/>
    <w:rsid w:val="001C26C5"/>
    <w:rsid w:val="001D6363"/>
    <w:rsid w:val="001E4395"/>
    <w:rsid w:val="001E4696"/>
    <w:rsid w:val="001E4910"/>
    <w:rsid w:val="001F0681"/>
    <w:rsid w:val="001F0B0C"/>
    <w:rsid w:val="001F52F3"/>
    <w:rsid w:val="002008BA"/>
    <w:rsid w:val="00201500"/>
    <w:rsid w:val="00211D44"/>
    <w:rsid w:val="00220A82"/>
    <w:rsid w:val="00221E38"/>
    <w:rsid w:val="0022428F"/>
    <w:rsid w:val="00224E44"/>
    <w:rsid w:val="00226407"/>
    <w:rsid w:val="00236B0B"/>
    <w:rsid w:val="00237562"/>
    <w:rsid w:val="00243B19"/>
    <w:rsid w:val="002519CE"/>
    <w:rsid w:val="002567CF"/>
    <w:rsid w:val="00261D0E"/>
    <w:rsid w:val="00263B23"/>
    <w:rsid w:val="002646DC"/>
    <w:rsid w:val="002662CC"/>
    <w:rsid w:val="002672BA"/>
    <w:rsid w:val="002709F0"/>
    <w:rsid w:val="002716D6"/>
    <w:rsid w:val="00275A14"/>
    <w:rsid w:val="0028115D"/>
    <w:rsid w:val="0028195E"/>
    <w:rsid w:val="00283EAF"/>
    <w:rsid w:val="00287A89"/>
    <w:rsid w:val="00292DD3"/>
    <w:rsid w:val="0029485C"/>
    <w:rsid w:val="002971AC"/>
    <w:rsid w:val="002974AC"/>
    <w:rsid w:val="002A1B41"/>
    <w:rsid w:val="002A26F3"/>
    <w:rsid w:val="002A2704"/>
    <w:rsid w:val="002A5E4E"/>
    <w:rsid w:val="002C112B"/>
    <w:rsid w:val="002D2322"/>
    <w:rsid w:val="002D265C"/>
    <w:rsid w:val="002D300D"/>
    <w:rsid w:val="002D37D0"/>
    <w:rsid w:val="002D3E09"/>
    <w:rsid w:val="002E26E7"/>
    <w:rsid w:val="002E7D04"/>
    <w:rsid w:val="002F2043"/>
    <w:rsid w:val="002F4D64"/>
    <w:rsid w:val="002F6F47"/>
    <w:rsid w:val="00300571"/>
    <w:rsid w:val="00302289"/>
    <w:rsid w:val="003026A1"/>
    <w:rsid w:val="003037D8"/>
    <w:rsid w:val="00305978"/>
    <w:rsid w:val="003066F3"/>
    <w:rsid w:val="00310060"/>
    <w:rsid w:val="00315860"/>
    <w:rsid w:val="00323C48"/>
    <w:rsid w:val="00325C58"/>
    <w:rsid w:val="00331075"/>
    <w:rsid w:val="00331E82"/>
    <w:rsid w:val="0033291F"/>
    <w:rsid w:val="003374FE"/>
    <w:rsid w:val="00343C04"/>
    <w:rsid w:val="0034548A"/>
    <w:rsid w:val="003504CA"/>
    <w:rsid w:val="00353639"/>
    <w:rsid w:val="00354D32"/>
    <w:rsid w:val="00355678"/>
    <w:rsid w:val="00361EBC"/>
    <w:rsid w:val="00363735"/>
    <w:rsid w:val="00366C39"/>
    <w:rsid w:val="00377B65"/>
    <w:rsid w:val="0038008D"/>
    <w:rsid w:val="00380896"/>
    <w:rsid w:val="00382F89"/>
    <w:rsid w:val="00383C2A"/>
    <w:rsid w:val="00387F9C"/>
    <w:rsid w:val="003901C5"/>
    <w:rsid w:val="003909FD"/>
    <w:rsid w:val="003921FF"/>
    <w:rsid w:val="00392774"/>
    <w:rsid w:val="00393A06"/>
    <w:rsid w:val="003A5ADF"/>
    <w:rsid w:val="003A5F2D"/>
    <w:rsid w:val="003A6D8F"/>
    <w:rsid w:val="003B00AF"/>
    <w:rsid w:val="003B0B1F"/>
    <w:rsid w:val="003B128C"/>
    <w:rsid w:val="003B12D2"/>
    <w:rsid w:val="003B31AA"/>
    <w:rsid w:val="003B4E8E"/>
    <w:rsid w:val="003C36AB"/>
    <w:rsid w:val="003C7633"/>
    <w:rsid w:val="003D50DB"/>
    <w:rsid w:val="003D6BE7"/>
    <w:rsid w:val="003E0FE6"/>
    <w:rsid w:val="003F11DF"/>
    <w:rsid w:val="003F27F7"/>
    <w:rsid w:val="003F7CCC"/>
    <w:rsid w:val="00401DDF"/>
    <w:rsid w:val="00402083"/>
    <w:rsid w:val="00404F2C"/>
    <w:rsid w:val="00411310"/>
    <w:rsid w:val="00422813"/>
    <w:rsid w:val="0042387E"/>
    <w:rsid w:val="0043017E"/>
    <w:rsid w:val="0043505C"/>
    <w:rsid w:val="00437546"/>
    <w:rsid w:val="004403F5"/>
    <w:rsid w:val="004416E1"/>
    <w:rsid w:val="0044391B"/>
    <w:rsid w:val="00443E3E"/>
    <w:rsid w:val="00445716"/>
    <w:rsid w:val="00454723"/>
    <w:rsid w:val="00464236"/>
    <w:rsid w:val="00466562"/>
    <w:rsid w:val="0046699A"/>
    <w:rsid w:val="0047011D"/>
    <w:rsid w:val="00473E63"/>
    <w:rsid w:val="00473F22"/>
    <w:rsid w:val="00474CAF"/>
    <w:rsid w:val="0047740B"/>
    <w:rsid w:val="00484928"/>
    <w:rsid w:val="00490663"/>
    <w:rsid w:val="00493469"/>
    <w:rsid w:val="004A00A7"/>
    <w:rsid w:val="004A4144"/>
    <w:rsid w:val="004B0DE2"/>
    <w:rsid w:val="004B0FDB"/>
    <w:rsid w:val="004B6DB0"/>
    <w:rsid w:val="004C1E43"/>
    <w:rsid w:val="004C3441"/>
    <w:rsid w:val="004C457F"/>
    <w:rsid w:val="004C58D0"/>
    <w:rsid w:val="004D282C"/>
    <w:rsid w:val="004D66B5"/>
    <w:rsid w:val="004E73F6"/>
    <w:rsid w:val="004F25BC"/>
    <w:rsid w:val="004F3034"/>
    <w:rsid w:val="004F37E9"/>
    <w:rsid w:val="00503E25"/>
    <w:rsid w:val="00507668"/>
    <w:rsid w:val="005147B5"/>
    <w:rsid w:val="00521E04"/>
    <w:rsid w:val="00530B74"/>
    <w:rsid w:val="00533D2E"/>
    <w:rsid w:val="0053578D"/>
    <w:rsid w:val="00547D0F"/>
    <w:rsid w:val="00547DB9"/>
    <w:rsid w:val="00547E5C"/>
    <w:rsid w:val="00550B7E"/>
    <w:rsid w:val="005557C1"/>
    <w:rsid w:val="00557E2F"/>
    <w:rsid w:val="00557E65"/>
    <w:rsid w:val="00560F01"/>
    <w:rsid w:val="00567B34"/>
    <w:rsid w:val="00567C3B"/>
    <w:rsid w:val="0057578E"/>
    <w:rsid w:val="00580651"/>
    <w:rsid w:val="005840AA"/>
    <w:rsid w:val="00595F2F"/>
    <w:rsid w:val="005A0315"/>
    <w:rsid w:val="005A3068"/>
    <w:rsid w:val="005A6BD0"/>
    <w:rsid w:val="005A70C2"/>
    <w:rsid w:val="005C0BEB"/>
    <w:rsid w:val="005C7828"/>
    <w:rsid w:val="005D1A14"/>
    <w:rsid w:val="005D381A"/>
    <w:rsid w:val="005E087E"/>
    <w:rsid w:val="005E1217"/>
    <w:rsid w:val="005E18EF"/>
    <w:rsid w:val="005E20C5"/>
    <w:rsid w:val="005E30B9"/>
    <w:rsid w:val="005E70A4"/>
    <w:rsid w:val="005F483C"/>
    <w:rsid w:val="00605C09"/>
    <w:rsid w:val="0061088A"/>
    <w:rsid w:val="006159FC"/>
    <w:rsid w:val="00624993"/>
    <w:rsid w:val="0062528E"/>
    <w:rsid w:val="00637931"/>
    <w:rsid w:val="006405F1"/>
    <w:rsid w:val="00643487"/>
    <w:rsid w:val="00643E3B"/>
    <w:rsid w:val="006458B9"/>
    <w:rsid w:val="006507A2"/>
    <w:rsid w:val="00654129"/>
    <w:rsid w:val="00660CAC"/>
    <w:rsid w:val="00661D54"/>
    <w:rsid w:val="00664B71"/>
    <w:rsid w:val="006752AA"/>
    <w:rsid w:val="00676470"/>
    <w:rsid w:val="00680312"/>
    <w:rsid w:val="0068094E"/>
    <w:rsid w:val="00683286"/>
    <w:rsid w:val="006B5463"/>
    <w:rsid w:val="006C008C"/>
    <w:rsid w:val="006C0F75"/>
    <w:rsid w:val="006C202A"/>
    <w:rsid w:val="006C2FDE"/>
    <w:rsid w:val="006C46E1"/>
    <w:rsid w:val="006C6550"/>
    <w:rsid w:val="006D0D54"/>
    <w:rsid w:val="006D58CF"/>
    <w:rsid w:val="006E1FB2"/>
    <w:rsid w:val="006E393C"/>
    <w:rsid w:val="006E6F92"/>
    <w:rsid w:val="006E743E"/>
    <w:rsid w:val="006E78A0"/>
    <w:rsid w:val="006F0907"/>
    <w:rsid w:val="006F2AF2"/>
    <w:rsid w:val="006F48BB"/>
    <w:rsid w:val="006F647B"/>
    <w:rsid w:val="006F6CBF"/>
    <w:rsid w:val="007029DC"/>
    <w:rsid w:val="00705B9D"/>
    <w:rsid w:val="007062FE"/>
    <w:rsid w:val="00712440"/>
    <w:rsid w:val="007223AD"/>
    <w:rsid w:val="0072581B"/>
    <w:rsid w:val="0072705A"/>
    <w:rsid w:val="00730690"/>
    <w:rsid w:val="00732C13"/>
    <w:rsid w:val="00733300"/>
    <w:rsid w:val="00733EEA"/>
    <w:rsid w:val="00753D53"/>
    <w:rsid w:val="0075435C"/>
    <w:rsid w:val="00756E56"/>
    <w:rsid w:val="007577B7"/>
    <w:rsid w:val="00761682"/>
    <w:rsid w:val="00763203"/>
    <w:rsid w:val="00765CB7"/>
    <w:rsid w:val="00766590"/>
    <w:rsid w:val="00771928"/>
    <w:rsid w:val="00772E42"/>
    <w:rsid w:val="00773956"/>
    <w:rsid w:val="00776863"/>
    <w:rsid w:val="00781A5B"/>
    <w:rsid w:val="007845DC"/>
    <w:rsid w:val="007970D3"/>
    <w:rsid w:val="007A318C"/>
    <w:rsid w:val="007A3343"/>
    <w:rsid w:val="007A513C"/>
    <w:rsid w:val="007B1B77"/>
    <w:rsid w:val="007B256F"/>
    <w:rsid w:val="007C063F"/>
    <w:rsid w:val="007C0ADB"/>
    <w:rsid w:val="007C2B5B"/>
    <w:rsid w:val="007C59D7"/>
    <w:rsid w:val="007C5C65"/>
    <w:rsid w:val="007C697A"/>
    <w:rsid w:val="007D50DD"/>
    <w:rsid w:val="007D5323"/>
    <w:rsid w:val="007E25F4"/>
    <w:rsid w:val="007E78CE"/>
    <w:rsid w:val="007E7FD7"/>
    <w:rsid w:val="007F026D"/>
    <w:rsid w:val="007F1897"/>
    <w:rsid w:val="007F1CF1"/>
    <w:rsid w:val="007F274F"/>
    <w:rsid w:val="007F47DA"/>
    <w:rsid w:val="007F6DBF"/>
    <w:rsid w:val="008011CB"/>
    <w:rsid w:val="00802388"/>
    <w:rsid w:val="00813E8C"/>
    <w:rsid w:val="00824FB4"/>
    <w:rsid w:val="00826D5D"/>
    <w:rsid w:val="0083057D"/>
    <w:rsid w:val="00841588"/>
    <w:rsid w:val="0084430A"/>
    <w:rsid w:val="00844C82"/>
    <w:rsid w:val="00845FF7"/>
    <w:rsid w:val="008478D0"/>
    <w:rsid w:val="00850302"/>
    <w:rsid w:val="008634A0"/>
    <w:rsid w:val="008666C5"/>
    <w:rsid w:val="00876D13"/>
    <w:rsid w:val="00877DCC"/>
    <w:rsid w:val="00883E0E"/>
    <w:rsid w:val="008850E8"/>
    <w:rsid w:val="00885669"/>
    <w:rsid w:val="0089061B"/>
    <w:rsid w:val="00890E8D"/>
    <w:rsid w:val="008924E8"/>
    <w:rsid w:val="00893AA7"/>
    <w:rsid w:val="008946E6"/>
    <w:rsid w:val="00897152"/>
    <w:rsid w:val="008A0DA2"/>
    <w:rsid w:val="008A3ED2"/>
    <w:rsid w:val="008C3ED1"/>
    <w:rsid w:val="008E0EB7"/>
    <w:rsid w:val="008E2B45"/>
    <w:rsid w:val="008F5BF7"/>
    <w:rsid w:val="008F7DC4"/>
    <w:rsid w:val="00900A83"/>
    <w:rsid w:val="00902A4B"/>
    <w:rsid w:val="0091440A"/>
    <w:rsid w:val="00914C9F"/>
    <w:rsid w:val="00920319"/>
    <w:rsid w:val="009269FB"/>
    <w:rsid w:val="00927D55"/>
    <w:rsid w:val="00935039"/>
    <w:rsid w:val="00936182"/>
    <w:rsid w:val="009372FE"/>
    <w:rsid w:val="00943F8B"/>
    <w:rsid w:val="00945401"/>
    <w:rsid w:val="009457A4"/>
    <w:rsid w:val="009534B4"/>
    <w:rsid w:val="00962346"/>
    <w:rsid w:val="00967768"/>
    <w:rsid w:val="0096798E"/>
    <w:rsid w:val="009701B4"/>
    <w:rsid w:val="009723F9"/>
    <w:rsid w:val="00977115"/>
    <w:rsid w:val="00980F10"/>
    <w:rsid w:val="009972D4"/>
    <w:rsid w:val="009A5BAA"/>
    <w:rsid w:val="009A6D8B"/>
    <w:rsid w:val="009A7AA6"/>
    <w:rsid w:val="009B3651"/>
    <w:rsid w:val="009B375C"/>
    <w:rsid w:val="009C12E7"/>
    <w:rsid w:val="009C5F96"/>
    <w:rsid w:val="009C68E9"/>
    <w:rsid w:val="009C78DC"/>
    <w:rsid w:val="009D2DD0"/>
    <w:rsid w:val="009E4F7F"/>
    <w:rsid w:val="009F1824"/>
    <w:rsid w:val="009F1DFE"/>
    <w:rsid w:val="009F2881"/>
    <w:rsid w:val="009F6687"/>
    <w:rsid w:val="00A05AAE"/>
    <w:rsid w:val="00A0762C"/>
    <w:rsid w:val="00A07C9D"/>
    <w:rsid w:val="00A1033F"/>
    <w:rsid w:val="00A16DD5"/>
    <w:rsid w:val="00A174A1"/>
    <w:rsid w:val="00A20194"/>
    <w:rsid w:val="00A23094"/>
    <w:rsid w:val="00A23574"/>
    <w:rsid w:val="00A2365A"/>
    <w:rsid w:val="00A26A69"/>
    <w:rsid w:val="00A3383C"/>
    <w:rsid w:val="00A3540E"/>
    <w:rsid w:val="00A47396"/>
    <w:rsid w:val="00A62167"/>
    <w:rsid w:val="00A63429"/>
    <w:rsid w:val="00A6666A"/>
    <w:rsid w:val="00A7471D"/>
    <w:rsid w:val="00A76466"/>
    <w:rsid w:val="00A86D97"/>
    <w:rsid w:val="00A92320"/>
    <w:rsid w:val="00A94686"/>
    <w:rsid w:val="00A95134"/>
    <w:rsid w:val="00A9536C"/>
    <w:rsid w:val="00AA0557"/>
    <w:rsid w:val="00AA2334"/>
    <w:rsid w:val="00AB2B8E"/>
    <w:rsid w:val="00AC2C62"/>
    <w:rsid w:val="00AC398E"/>
    <w:rsid w:val="00AC5CA3"/>
    <w:rsid w:val="00AD663B"/>
    <w:rsid w:val="00AD7675"/>
    <w:rsid w:val="00AE0C43"/>
    <w:rsid w:val="00AE2D37"/>
    <w:rsid w:val="00AE665D"/>
    <w:rsid w:val="00AF579D"/>
    <w:rsid w:val="00AF649D"/>
    <w:rsid w:val="00AF64FF"/>
    <w:rsid w:val="00AF7D4E"/>
    <w:rsid w:val="00B070FE"/>
    <w:rsid w:val="00B076F3"/>
    <w:rsid w:val="00B1458D"/>
    <w:rsid w:val="00B15F73"/>
    <w:rsid w:val="00B161A0"/>
    <w:rsid w:val="00B220F4"/>
    <w:rsid w:val="00B243FC"/>
    <w:rsid w:val="00B249F4"/>
    <w:rsid w:val="00B3750B"/>
    <w:rsid w:val="00B47A1F"/>
    <w:rsid w:val="00B47D21"/>
    <w:rsid w:val="00B533CE"/>
    <w:rsid w:val="00B56F28"/>
    <w:rsid w:val="00B620CB"/>
    <w:rsid w:val="00B73243"/>
    <w:rsid w:val="00B74029"/>
    <w:rsid w:val="00B766A2"/>
    <w:rsid w:val="00B80FFA"/>
    <w:rsid w:val="00B831BF"/>
    <w:rsid w:val="00B84D66"/>
    <w:rsid w:val="00B8667E"/>
    <w:rsid w:val="00BA00E6"/>
    <w:rsid w:val="00BA1F2F"/>
    <w:rsid w:val="00BA5A5E"/>
    <w:rsid w:val="00BB012A"/>
    <w:rsid w:val="00BB49E4"/>
    <w:rsid w:val="00BB571F"/>
    <w:rsid w:val="00BC1C01"/>
    <w:rsid w:val="00BC3DDB"/>
    <w:rsid w:val="00BC4A17"/>
    <w:rsid w:val="00BD08AB"/>
    <w:rsid w:val="00BD2788"/>
    <w:rsid w:val="00BD2DFC"/>
    <w:rsid w:val="00BD3DC7"/>
    <w:rsid w:val="00BD6A7F"/>
    <w:rsid w:val="00BE7169"/>
    <w:rsid w:val="00BF1D35"/>
    <w:rsid w:val="00BF3AF4"/>
    <w:rsid w:val="00BF4096"/>
    <w:rsid w:val="00BF65DF"/>
    <w:rsid w:val="00C02197"/>
    <w:rsid w:val="00C05AA6"/>
    <w:rsid w:val="00C06DF1"/>
    <w:rsid w:val="00C14546"/>
    <w:rsid w:val="00C20AA5"/>
    <w:rsid w:val="00C213AB"/>
    <w:rsid w:val="00C2248A"/>
    <w:rsid w:val="00C2398F"/>
    <w:rsid w:val="00C26015"/>
    <w:rsid w:val="00C26F10"/>
    <w:rsid w:val="00C31A75"/>
    <w:rsid w:val="00C34B80"/>
    <w:rsid w:val="00C35A4D"/>
    <w:rsid w:val="00C35ABF"/>
    <w:rsid w:val="00C363BD"/>
    <w:rsid w:val="00C40AF2"/>
    <w:rsid w:val="00C443EC"/>
    <w:rsid w:val="00C50509"/>
    <w:rsid w:val="00C52850"/>
    <w:rsid w:val="00C53CF1"/>
    <w:rsid w:val="00C53E4B"/>
    <w:rsid w:val="00C5651E"/>
    <w:rsid w:val="00C61E67"/>
    <w:rsid w:val="00C61FFA"/>
    <w:rsid w:val="00C676C0"/>
    <w:rsid w:val="00C705D7"/>
    <w:rsid w:val="00C7178C"/>
    <w:rsid w:val="00C73359"/>
    <w:rsid w:val="00C90660"/>
    <w:rsid w:val="00CA4190"/>
    <w:rsid w:val="00CA5CEE"/>
    <w:rsid w:val="00CB5EA7"/>
    <w:rsid w:val="00CE051D"/>
    <w:rsid w:val="00CE2DF9"/>
    <w:rsid w:val="00CE7C57"/>
    <w:rsid w:val="00CF5007"/>
    <w:rsid w:val="00D00257"/>
    <w:rsid w:val="00D05EF7"/>
    <w:rsid w:val="00D11555"/>
    <w:rsid w:val="00D126EF"/>
    <w:rsid w:val="00D14983"/>
    <w:rsid w:val="00D17488"/>
    <w:rsid w:val="00D32A50"/>
    <w:rsid w:val="00D34468"/>
    <w:rsid w:val="00D37076"/>
    <w:rsid w:val="00D408CD"/>
    <w:rsid w:val="00D41854"/>
    <w:rsid w:val="00D450D5"/>
    <w:rsid w:val="00D45A22"/>
    <w:rsid w:val="00D57A51"/>
    <w:rsid w:val="00D605AD"/>
    <w:rsid w:val="00D7052A"/>
    <w:rsid w:val="00D72447"/>
    <w:rsid w:val="00D7305A"/>
    <w:rsid w:val="00D80B3E"/>
    <w:rsid w:val="00D83EB1"/>
    <w:rsid w:val="00D91BD3"/>
    <w:rsid w:val="00D91F47"/>
    <w:rsid w:val="00D93F86"/>
    <w:rsid w:val="00D959BC"/>
    <w:rsid w:val="00DA1477"/>
    <w:rsid w:val="00DA4D13"/>
    <w:rsid w:val="00DA67C0"/>
    <w:rsid w:val="00DB210C"/>
    <w:rsid w:val="00DB2879"/>
    <w:rsid w:val="00DC10D1"/>
    <w:rsid w:val="00DC305C"/>
    <w:rsid w:val="00DC670C"/>
    <w:rsid w:val="00DC789D"/>
    <w:rsid w:val="00DD43A4"/>
    <w:rsid w:val="00DD5B61"/>
    <w:rsid w:val="00DD6DAE"/>
    <w:rsid w:val="00DE4616"/>
    <w:rsid w:val="00DE5976"/>
    <w:rsid w:val="00E01337"/>
    <w:rsid w:val="00E07994"/>
    <w:rsid w:val="00E07E40"/>
    <w:rsid w:val="00E10047"/>
    <w:rsid w:val="00E1043F"/>
    <w:rsid w:val="00E10556"/>
    <w:rsid w:val="00E11FCB"/>
    <w:rsid w:val="00E16500"/>
    <w:rsid w:val="00E221CC"/>
    <w:rsid w:val="00E323B7"/>
    <w:rsid w:val="00E34551"/>
    <w:rsid w:val="00E41FA5"/>
    <w:rsid w:val="00E50157"/>
    <w:rsid w:val="00E51717"/>
    <w:rsid w:val="00E55A48"/>
    <w:rsid w:val="00E62159"/>
    <w:rsid w:val="00E628EE"/>
    <w:rsid w:val="00E6727B"/>
    <w:rsid w:val="00E72BA8"/>
    <w:rsid w:val="00E7346F"/>
    <w:rsid w:val="00E75B3A"/>
    <w:rsid w:val="00E82438"/>
    <w:rsid w:val="00E84C73"/>
    <w:rsid w:val="00E93060"/>
    <w:rsid w:val="00E967BF"/>
    <w:rsid w:val="00EB46FA"/>
    <w:rsid w:val="00EB5795"/>
    <w:rsid w:val="00EC50B2"/>
    <w:rsid w:val="00EC5295"/>
    <w:rsid w:val="00EC5B9E"/>
    <w:rsid w:val="00EC6BB4"/>
    <w:rsid w:val="00ED4E5F"/>
    <w:rsid w:val="00ED65E5"/>
    <w:rsid w:val="00ED79D3"/>
    <w:rsid w:val="00EE260B"/>
    <w:rsid w:val="00EE4FDF"/>
    <w:rsid w:val="00EF1FD6"/>
    <w:rsid w:val="00EF3DE6"/>
    <w:rsid w:val="00EF6F60"/>
    <w:rsid w:val="00EF79C4"/>
    <w:rsid w:val="00F10D8C"/>
    <w:rsid w:val="00F115E1"/>
    <w:rsid w:val="00F2264B"/>
    <w:rsid w:val="00F258AF"/>
    <w:rsid w:val="00F2688A"/>
    <w:rsid w:val="00F408F9"/>
    <w:rsid w:val="00F44F33"/>
    <w:rsid w:val="00F45FEB"/>
    <w:rsid w:val="00F475B9"/>
    <w:rsid w:val="00F47E9B"/>
    <w:rsid w:val="00F5016C"/>
    <w:rsid w:val="00F52A2F"/>
    <w:rsid w:val="00F56E2A"/>
    <w:rsid w:val="00F5701D"/>
    <w:rsid w:val="00F575FE"/>
    <w:rsid w:val="00F60D67"/>
    <w:rsid w:val="00F60E00"/>
    <w:rsid w:val="00F6282A"/>
    <w:rsid w:val="00F730E5"/>
    <w:rsid w:val="00F7340D"/>
    <w:rsid w:val="00F74461"/>
    <w:rsid w:val="00F7549D"/>
    <w:rsid w:val="00F77B5C"/>
    <w:rsid w:val="00F83AE8"/>
    <w:rsid w:val="00F85777"/>
    <w:rsid w:val="00F8698C"/>
    <w:rsid w:val="00F90884"/>
    <w:rsid w:val="00F9387D"/>
    <w:rsid w:val="00F9458E"/>
    <w:rsid w:val="00F95775"/>
    <w:rsid w:val="00FA3088"/>
    <w:rsid w:val="00FB18A2"/>
    <w:rsid w:val="00FB6BFD"/>
    <w:rsid w:val="00FC0773"/>
    <w:rsid w:val="00FC1903"/>
    <w:rsid w:val="00FC5437"/>
    <w:rsid w:val="00FC55C9"/>
    <w:rsid w:val="00FD1AFE"/>
    <w:rsid w:val="00FD64DE"/>
    <w:rsid w:val="00FE2ECC"/>
    <w:rsid w:val="00FE3072"/>
    <w:rsid w:val="00FE52D1"/>
    <w:rsid w:val="00FE632B"/>
    <w:rsid w:val="00FE7F42"/>
    <w:rsid w:val="00FF0D76"/>
    <w:rsid w:val="00FF1B5E"/>
    <w:rsid w:val="01067F03"/>
    <w:rsid w:val="011036E0"/>
    <w:rsid w:val="011D6042"/>
    <w:rsid w:val="01235664"/>
    <w:rsid w:val="013040F5"/>
    <w:rsid w:val="014D4CF7"/>
    <w:rsid w:val="015564CF"/>
    <w:rsid w:val="015D28EA"/>
    <w:rsid w:val="0167309A"/>
    <w:rsid w:val="016B4A5B"/>
    <w:rsid w:val="016C15F0"/>
    <w:rsid w:val="016D23FC"/>
    <w:rsid w:val="016E3235"/>
    <w:rsid w:val="01A35BF2"/>
    <w:rsid w:val="01B72678"/>
    <w:rsid w:val="01CD1DA6"/>
    <w:rsid w:val="01DC7011"/>
    <w:rsid w:val="01E129C8"/>
    <w:rsid w:val="01E33BBC"/>
    <w:rsid w:val="01F935AA"/>
    <w:rsid w:val="020E553F"/>
    <w:rsid w:val="022248A6"/>
    <w:rsid w:val="02273D67"/>
    <w:rsid w:val="02303A14"/>
    <w:rsid w:val="02422DEC"/>
    <w:rsid w:val="02525584"/>
    <w:rsid w:val="02610F6E"/>
    <w:rsid w:val="02661DEC"/>
    <w:rsid w:val="026E293C"/>
    <w:rsid w:val="027A2872"/>
    <w:rsid w:val="027E06DF"/>
    <w:rsid w:val="028060FD"/>
    <w:rsid w:val="02856B72"/>
    <w:rsid w:val="02861105"/>
    <w:rsid w:val="028C5F90"/>
    <w:rsid w:val="029369CC"/>
    <w:rsid w:val="02952238"/>
    <w:rsid w:val="02962CBD"/>
    <w:rsid w:val="0298569F"/>
    <w:rsid w:val="02B45988"/>
    <w:rsid w:val="02B8054B"/>
    <w:rsid w:val="02BC2ABF"/>
    <w:rsid w:val="02BE0990"/>
    <w:rsid w:val="02CE60F0"/>
    <w:rsid w:val="02CF457E"/>
    <w:rsid w:val="02D11631"/>
    <w:rsid w:val="02D50001"/>
    <w:rsid w:val="02D56403"/>
    <w:rsid w:val="02D8601A"/>
    <w:rsid w:val="02DB263E"/>
    <w:rsid w:val="02E062B7"/>
    <w:rsid w:val="02EA3631"/>
    <w:rsid w:val="03002BC1"/>
    <w:rsid w:val="03044238"/>
    <w:rsid w:val="03071D46"/>
    <w:rsid w:val="031F05FE"/>
    <w:rsid w:val="0325025C"/>
    <w:rsid w:val="03274DF5"/>
    <w:rsid w:val="0329052E"/>
    <w:rsid w:val="032E54D8"/>
    <w:rsid w:val="03392FEE"/>
    <w:rsid w:val="03396E3C"/>
    <w:rsid w:val="03404893"/>
    <w:rsid w:val="035A5F8C"/>
    <w:rsid w:val="035E0D0E"/>
    <w:rsid w:val="03613F81"/>
    <w:rsid w:val="037B6D54"/>
    <w:rsid w:val="037E0435"/>
    <w:rsid w:val="037F165D"/>
    <w:rsid w:val="038C4E15"/>
    <w:rsid w:val="039069EE"/>
    <w:rsid w:val="03A3350F"/>
    <w:rsid w:val="03A56243"/>
    <w:rsid w:val="03A87A52"/>
    <w:rsid w:val="03AB09D5"/>
    <w:rsid w:val="03B77541"/>
    <w:rsid w:val="03B86CA6"/>
    <w:rsid w:val="03C359E3"/>
    <w:rsid w:val="03C608F6"/>
    <w:rsid w:val="03D53955"/>
    <w:rsid w:val="03DD3B91"/>
    <w:rsid w:val="03E77232"/>
    <w:rsid w:val="03E83C3E"/>
    <w:rsid w:val="0436307B"/>
    <w:rsid w:val="043C690C"/>
    <w:rsid w:val="044572B2"/>
    <w:rsid w:val="04487772"/>
    <w:rsid w:val="04623245"/>
    <w:rsid w:val="04732770"/>
    <w:rsid w:val="0475450A"/>
    <w:rsid w:val="047A571B"/>
    <w:rsid w:val="04860E51"/>
    <w:rsid w:val="04975409"/>
    <w:rsid w:val="049A2093"/>
    <w:rsid w:val="049C6097"/>
    <w:rsid w:val="04A706F8"/>
    <w:rsid w:val="04AF6392"/>
    <w:rsid w:val="04BA026D"/>
    <w:rsid w:val="04BB1476"/>
    <w:rsid w:val="04CC29FB"/>
    <w:rsid w:val="04D75143"/>
    <w:rsid w:val="04F13EEF"/>
    <w:rsid w:val="04F41A98"/>
    <w:rsid w:val="05026B82"/>
    <w:rsid w:val="0507317C"/>
    <w:rsid w:val="05094AFA"/>
    <w:rsid w:val="05206057"/>
    <w:rsid w:val="052C5CA2"/>
    <w:rsid w:val="052E6A3A"/>
    <w:rsid w:val="0533463E"/>
    <w:rsid w:val="053A7775"/>
    <w:rsid w:val="05425E71"/>
    <w:rsid w:val="05720681"/>
    <w:rsid w:val="057478F1"/>
    <w:rsid w:val="057B00EB"/>
    <w:rsid w:val="058A6074"/>
    <w:rsid w:val="05960408"/>
    <w:rsid w:val="059A5E97"/>
    <w:rsid w:val="05CC1EC4"/>
    <w:rsid w:val="05D37A99"/>
    <w:rsid w:val="05DA4EC4"/>
    <w:rsid w:val="05E549B5"/>
    <w:rsid w:val="05EB3222"/>
    <w:rsid w:val="05F26231"/>
    <w:rsid w:val="05FF5C2C"/>
    <w:rsid w:val="06007B41"/>
    <w:rsid w:val="0604269A"/>
    <w:rsid w:val="061E6610"/>
    <w:rsid w:val="06227195"/>
    <w:rsid w:val="06312226"/>
    <w:rsid w:val="064230B3"/>
    <w:rsid w:val="06425EB6"/>
    <w:rsid w:val="065111BC"/>
    <w:rsid w:val="0651383C"/>
    <w:rsid w:val="067B0822"/>
    <w:rsid w:val="068221DF"/>
    <w:rsid w:val="06896D0D"/>
    <w:rsid w:val="069705C4"/>
    <w:rsid w:val="069827A4"/>
    <w:rsid w:val="06996809"/>
    <w:rsid w:val="06AC25B9"/>
    <w:rsid w:val="06B8152F"/>
    <w:rsid w:val="06C71D01"/>
    <w:rsid w:val="06C92EB1"/>
    <w:rsid w:val="06D5691C"/>
    <w:rsid w:val="06DB637D"/>
    <w:rsid w:val="06DF5525"/>
    <w:rsid w:val="06E0797E"/>
    <w:rsid w:val="06E51637"/>
    <w:rsid w:val="06F63459"/>
    <w:rsid w:val="070910A8"/>
    <w:rsid w:val="07107B70"/>
    <w:rsid w:val="07126A68"/>
    <w:rsid w:val="07217B45"/>
    <w:rsid w:val="074008DD"/>
    <w:rsid w:val="07705DE9"/>
    <w:rsid w:val="07724DAA"/>
    <w:rsid w:val="07774506"/>
    <w:rsid w:val="079215D5"/>
    <w:rsid w:val="07975741"/>
    <w:rsid w:val="07B010E3"/>
    <w:rsid w:val="07B17B73"/>
    <w:rsid w:val="07C20405"/>
    <w:rsid w:val="07C91466"/>
    <w:rsid w:val="07C97019"/>
    <w:rsid w:val="07EF7BE4"/>
    <w:rsid w:val="08266EE2"/>
    <w:rsid w:val="0834042B"/>
    <w:rsid w:val="083E2F93"/>
    <w:rsid w:val="084D4C6D"/>
    <w:rsid w:val="08590087"/>
    <w:rsid w:val="08690F85"/>
    <w:rsid w:val="0875577C"/>
    <w:rsid w:val="08862A33"/>
    <w:rsid w:val="0889083A"/>
    <w:rsid w:val="08BA0555"/>
    <w:rsid w:val="08BB45EA"/>
    <w:rsid w:val="08D6369C"/>
    <w:rsid w:val="08DF69CE"/>
    <w:rsid w:val="08F27DD4"/>
    <w:rsid w:val="08F30524"/>
    <w:rsid w:val="08FE1B4B"/>
    <w:rsid w:val="090739DB"/>
    <w:rsid w:val="09133598"/>
    <w:rsid w:val="091C3213"/>
    <w:rsid w:val="091E5C9E"/>
    <w:rsid w:val="092162B9"/>
    <w:rsid w:val="093B35A2"/>
    <w:rsid w:val="09404A0A"/>
    <w:rsid w:val="094C37A4"/>
    <w:rsid w:val="094E0C3B"/>
    <w:rsid w:val="09560EDD"/>
    <w:rsid w:val="097A316A"/>
    <w:rsid w:val="097D0F4A"/>
    <w:rsid w:val="09825A1E"/>
    <w:rsid w:val="09865E4E"/>
    <w:rsid w:val="098A4952"/>
    <w:rsid w:val="098B6447"/>
    <w:rsid w:val="098F3CF8"/>
    <w:rsid w:val="099848B2"/>
    <w:rsid w:val="099E1F36"/>
    <w:rsid w:val="09AC4294"/>
    <w:rsid w:val="09C90C7F"/>
    <w:rsid w:val="09CB75D8"/>
    <w:rsid w:val="09CC419A"/>
    <w:rsid w:val="09DB3D79"/>
    <w:rsid w:val="09FA4987"/>
    <w:rsid w:val="0A0544D1"/>
    <w:rsid w:val="0A0C0BEE"/>
    <w:rsid w:val="0A110B40"/>
    <w:rsid w:val="0A162DFB"/>
    <w:rsid w:val="0A1D225C"/>
    <w:rsid w:val="0A4A6035"/>
    <w:rsid w:val="0A5B05FA"/>
    <w:rsid w:val="0A5E609A"/>
    <w:rsid w:val="0A637AD8"/>
    <w:rsid w:val="0A6D1DD0"/>
    <w:rsid w:val="0A711581"/>
    <w:rsid w:val="0A8F099E"/>
    <w:rsid w:val="0A9D0154"/>
    <w:rsid w:val="0AA76140"/>
    <w:rsid w:val="0AAE2B7A"/>
    <w:rsid w:val="0AB30BD2"/>
    <w:rsid w:val="0AB80E42"/>
    <w:rsid w:val="0AC02D53"/>
    <w:rsid w:val="0AC52EAC"/>
    <w:rsid w:val="0AC6063A"/>
    <w:rsid w:val="0ACA41F0"/>
    <w:rsid w:val="0ACC5C52"/>
    <w:rsid w:val="0AD44842"/>
    <w:rsid w:val="0AD82E16"/>
    <w:rsid w:val="0AD9518B"/>
    <w:rsid w:val="0ADA5C74"/>
    <w:rsid w:val="0ADF70F7"/>
    <w:rsid w:val="0AF44074"/>
    <w:rsid w:val="0AF67BC1"/>
    <w:rsid w:val="0AF84B21"/>
    <w:rsid w:val="0B012CD7"/>
    <w:rsid w:val="0B050C8C"/>
    <w:rsid w:val="0B0A0B78"/>
    <w:rsid w:val="0B0D309C"/>
    <w:rsid w:val="0B171F0C"/>
    <w:rsid w:val="0B22599E"/>
    <w:rsid w:val="0B260D80"/>
    <w:rsid w:val="0B290A4B"/>
    <w:rsid w:val="0B421406"/>
    <w:rsid w:val="0B645E7D"/>
    <w:rsid w:val="0B8256C3"/>
    <w:rsid w:val="0B90754F"/>
    <w:rsid w:val="0B9A260E"/>
    <w:rsid w:val="0BA8532C"/>
    <w:rsid w:val="0BA97A5D"/>
    <w:rsid w:val="0BAA1B87"/>
    <w:rsid w:val="0BAB1BDC"/>
    <w:rsid w:val="0BAF3E35"/>
    <w:rsid w:val="0BB31567"/>
    <w:rsid w:val="0BCF5957"/>
    <w:rsid w:val="0BD432AC"/>
    <w:rsid w:val="0BDB1A13"/>
    <w:rsid w:val="0BDC7103"/>
    <w:rsid w:val="0BE044D7"/>
    <w:rsid w:val="0BEF6F70"/>
    <w:rsid w:val="0BF462E9"/>
    <w:rsid w:val="0C0C6B66"/>
    <w:rsid w:val="0C132AC9"/>
    <w:rsid w:val="0C276C3B"/>
    <w:rsid w:val="0C29545F"/>
    <w:rsid w:val="0C3252A9"/>
    <w:rsid w:val="0C445B15"/>
    <w:rsid w:val="0C6F3BB0"/>
    <w:rsid w:val="0CAB1777"/>
    <w:rsid w:val="0CBA49FD"/>
    <w:rsid w:val="0CC55877"/>
    <w:rsid w:val="0CD135D7"/>
    <w:rsid w:val="0CD44C8E"/>
    <w:rsid w:val="0D0F03F8"/>
    <w:rsid w:val="0D116C47"/>
    <w:rsid w:val="0D1170C1"/>
    <w:rsid w:val="0D24531F"/>
    <w:rsid w:val="0D273504"/>
    <w:rsid w:val="0D292652"/>
    <w:rsid w:val="0D492F80"/>
    <w:rsid w:val="0D502C22"/>
    <w:rsid w:val="0D5D2A7B"/>
    <w:rsid w:val="0D7E1BB4"/>
    <w:rsid w:val="0D7F78A3"/>
    <w:rsid w:val="0D836A21"/>
    <w:rsid w:val="0D851FB8"/>
    <w:rsid w:val="0D8676F2"/>
    <w:rsid w:val="0D8736A1"/>
    <w:rsid w:val="0D8C13DB"/>
    <w:rsid w:val="0D962674"/>
    <w:rsid w:val="0DAB2998"/>
    <w:rsid w:val="0DAD46C2"/>
    <w:rsid w:val="0DC67CAE"/>
    <w:rsid w:val="0DE851BA"/>
    <w:rsid w:val="0DEA5F86"/>
    <w:rsid w:val="0DEB6F29"/>
    <w:rsid w:val="0DF14F4C"/>
    <w:rsid w:val="0DF60417"/>
    <w:rsid w:val="0DFA56DE"/>
    <w:rsid w:val="0DFC379D"/>
    <w:rsid w:val="0DFD60A0"/>
    <w:rsid w:val="0E020385"/>
    <w:rsid w:val="0E0A482C"/>
    <w:rsid w:val="0E0B4F71"/>
    <w:rsid w:val="0E0D703A"/>
    <w:rsid w:val="0E131B4A"/>
    <w:rsid w:val="0E1E48BC"/>
    <w:rsid w:val="0E2F1D86"/>
    <w:rsid w:val="0E40213A"/>
    <w:rsid w:val="0E423671"/>
    <w:rsid w:val="0E6468AC"/>
    <w:rsid w:val="0E652AB1"/>
    <w:rsid w:val="0E6B05DB"/>
    <w:rsid w:val="0E706223"/>
    <w:rsid w:val="0E7F0CCE"/>
    <w:rsid w:val="0E8C50AA"/>
    <w:rsid w:val="0EA45221"/>
    <w:rsid w:val="0EA94B14"/>
    <w:rsid w:val="0EBE6FBC"/>
    <w:rsid w:val="0EC37529"/>
    <w:rsid w:val="0EE05C96"/>
    <w:rsid w:val="0EEC46E1"/>
    <w:rsid w:val="0F065619"/>
    <w:rsid w:val="0F142DD8"/>
    <w:rsid w:val="0F314D64"/>
    <w:rsid w:val="0F413A6D"/>
    <w:rsid w:val="0F4555E3"/>
    <w:rsid w:val="0F4947CE"/>
    <w:rsid w:val="0F540A69"/>
    <w:rsid w:val="0F6D2F10"/>
    <w:rsid w:val="0F726D57"/>
    <w:rsid w:val="0F95175E"/>
    <w:rsid w:val="0F9D3CED"/>
    <w:rsid w:val="0FA13008"/>
    <w:rsid w:val="0FA720DD"/>
    <w:rsid w:val="0FBE3C06"/>
    <w:rsid w:val="0FC14945"/>
    <w:rsid w:val="0FD06883"/>
    <w:rsid w:val="0FED1584"/>
    <w:rsid w:val="0FFC0E7C"/>
    <w:rsid w:val="0FFC7B45"/>
    <w:rsid w:val="0FFF45DF"/>
    <w:rsid w:val="1000209F"/>
    <w:rsid w:val="10005669"/>
    <w:rsid w:val="10022912"/>
    <w:rsid w:val="10166404"/>
    <w:rsid w:val="1017089D"/>
    <w:rsid w:val="10205E47"/>
    <w:rsid w:val="102159F2"/>
    <w:rsid w:val="103D5C68"/>
    <w:rsid w:val="1041237E"/>
    <w:rsid w:val="104C2B17"/>
    <w:rsid w:val="104E4BB1"/>
    <w:rsid w:val="105D65DF"/>
    <w:rsid w:val="10866B54"/>
    <w:rsid w:val="10935A97"/>
    <w:rsid w:val="10A447AF"/>
    <w:rsid w:val="10BC33A0"/>
    <w:rsid w:val="10C2262D"/>
    <w:rsid w:val="10D718C0"/>
    <w:rsid w:val="10DD75F3"/>
    <w:rsid w:val="10F2701A"/>
    <w:rsid w:val="10F62229"/>
    <w:rsid w:val="110035EA"/>
    <w:rsid w:val="110A0A9E"/>
    <w:rsid w:val="110C682B"/>
    <w:rsid w:val="11192A38"/>
    <w:rsid w:val="111D73C8"/>
    <w:rsid w:val="111F775F"/>
    <w:rsid w:val="1121326B"/>
    <w:rsid w:val="112752D8"/>
    <w:rsid w:val="11295079"/>
    <w:rsid w:val="112A429D"/>
    <w:rsid w:val="113008DA"/>
    <w:rsid w:val="11377A59"/>
    <w:rsid w:val="11401235"/>
    <w:rsid w:val="115359BF"/>
    <w:rsid w:val="115F673F"/>
    <w:rsid w:val="116856B7"/>
    <w:rsid w:val="116F7EB5"/>
    <w:rsid w:val="11714FA8"/>
    <w:rsid w:val="117C6E3C"/>
    <w:rsid w:val="11812948"/>
    <w:rsid w:val="118266CD"/>
    <w:rsid w:val="118D3FD1"/>
    <w:rsid w:val="11DE77EC"/>
    <w:rsid w:val="11E14918"/>
    <w:rsid w:val="11E73B98"/>
    <w:rsid w:val="120602C3"/>
    <w:rsid w:val="12111B95"/>
    <w:rsid w:val="122121E8"/>
    <w:rsid w:val="12257127"/>
    <w:rsid w:val="122F638C"/>
    <w:rsid w:val="12313D1F"/>
    <w:rsid w:val="123B735A"/>
    <w:rsid w:val="12445A71"/>
    <w:rsid w:val="12445CE6"/>
    <w:rsid w:val="125E3EC5"/>
    <w:rsid w:val="1261138A"/>
    <w:rsid w:val="12720D0A"/>
    <w:rsid w:val="12737F74"/>
    <w:rsid w:val="1279281C"/>
    <w:rsid w:val="127B51C4"/>
    <w:rsid w:val="129D0214"/>
    <w:rsid w:val="12A81A93"/>
    <w:rsid w:val="12BA5697"/>
    <w:rsid w:val="12BD79AC"/>
    <w:rsid w:val="12EF41BD"/>
    <w:rsid w:val="131F4C0B"/>
    <w:rsid w:val="132C611B"/>
    <w:rsid w:val="133E2B2B"/>
    <w:rsid w:val="1364052F"/>
    <w:rsid w:val="136B1D17"/>
    <w:rsid w:val="137258A1"/>
    <w:rsid w:val="137E4489"/>
    <w:rsid w:val="13981179"/>
    <w:rsid w:val="13A35FA7"/>
    <w:rsid w:val="13A40E16"/>
    <w:rsid w:val="13A91A08"/>
    <w:rsid w:val="13CC2867"/>
    <w:rsid w:val="13D15281"/>
    <w:rsid w:val="13D40F37"/>
    <w:rsid w:val="13F20C0C"/>
    <w:rsid w:val="1400755D"/>
    <w:rsid w:val="140B2F1C"/>
    <w:rsid w:val="14292CD5"/>
    <w:rsid w:val="142A2C07"/>
    <w:rsid w:val="1435231D"/>
    <w:rsid w:val="14453328"/>
    <w:rsid w:val="14471A49"/>
    <w:rsid w:val="14552AA4"/>
    <w:rsid w:val="145A17C8"/>
    <w:rsid w:val="145A19C1"/>
    <w:rsid w:val="14634E61"/>
    <w:rsid w:val="146E58C9"/>
    <w:rsid w:val="14741144"/>
    <w:rsid w:val="14786898"/>
    <w:rsid w:val="147A4C6B"/>
    <w:rsid w:val="147F146B"/>
    <w:rsid w:val="1496507E"/>
    <w:rsid w:val="14AE0282"/>
    <w:rsid w:val="14AE07CA"/>
    <w:rsid w:val="14B41189"/>
    <w:rsid w:val="14BB3381"/>
    <w:rsid w:val="14CB6336"/>
    <w:rsid w:val="14D7204D"/>
    <w:rsid w:val="14E14688"/>
    <w:rsid w:val="14E34CE0"/>
    <w:rsid w:val="14F324CA"/>
    <w:rsid w:val="15195B9C"/>
    <w:rsid w:val="1531346B"/>
    <w:rsid w:val="154769F8"/>
    <w:rsid w:val="155049BE"/>
    <w:rsid w:val="15920F84"/>
    <w:rsid w:val="15A54119"/>
    <w:rsid w:val="15AC373E"/>
    <w:rsid w:val="15AD14AD"/>
    <w:rsid w:val="15DE0E15"/>
    <w:rsid w:val="15E3014B"/>
    <w:rsid w:val="15EF3DF0"/>
    <w:rsid w:val="15F412F0"/>
    <w:rsid w:val="161E0643"/>
    <w:rsid w:val="161E17C7"/>
    <w:rsid w:val="162B0DF8"/>
    <w:rsid w:val="162F1E73"/>
    <w:rsid w:val="16366346"/>
    <w:rsid w:val="163C3160"/>
    <w:rsid w:val="1657642B"/>
    <w:rsid w:val="16584B33"/>
    <w:rsid w:val="16614EA8"/>
    <w:rsid w:val="16724CB7"/>
    <w:rsid w:val="168C739C"/>
    <w:rsid w:val="169D4454"/>
    <w:rsid w:val="16A2071B"/>
    <w:rsid w:val="16C14A27"/>
    <w:rsid w:val="16D634EE"/>
    <w:rsid w:val="16E363DF"/>
    <w:rsid w:val="16E5483C"/>
    <w:rsid w:val="16EA13DA"/>
    <w:rsid w:val="16EF40BA"/>
    <w:rsid w:val="170003CA"/>
    <w:rsid w:val="170C68D9"/>
    <w:rsid w:val="17176B9B"/>
    <w:rsid w:val="17280006"/>
    <w:rsid w:val="1732221A"/>
    <w:rsid w:val="17405439"/>
    <w:rsid w:val="174276DA"/>
    <w:rsid w:val="176041F9"/>
    <w:rsid w:val="176F24DF"/>
    <w:rsid w:val="177A3398"/>
    <w:rsid w:val="17843FB6"/>
    <w:rsid w:val="178C6D92"/>
    <w:rsid w:val="17D67915"/>
    <w:rsid w:val="17F0178F"/>
    <w:rsid w:val="17F85313"/>
    <w:rsid w:val="17FA2708"/>
    <w:rsid w:val="18162E62"/>
    <w:rsid w:val="18455A42"/>
    <w:rsid w:val="184B21DC"/>
    <w:rsid w:val="18585300"/>
    <w:rsid w:val="185B1224"/>
    <w:rsid w:val="1873430B"/>
    <w:rsid w:val="187B0C1E"/>
    <w:rsid w:val="188377A4"/>
    <w:rsid w:val="188A46B8"/>
    <w:rsid w:val="189C0C45"/>
    <w:rsid w:val="18B71840"/>
    <w:rsid w:val="18BB6B5D"/>
    <w:rsid w:val="18C1296B"/>
    <w:rsid w:val="18D87B4A"/>
    <w:rsid w:val="18DD37CC"/>
    <w:rsid w:val="18DE149D"/>
    <w:rsid w:val="18EE448E"/>
    <w:rsid w:val="190E07AA"/>
    <w:rsid w:val="191114E4"/>
    <w:rsid w:val="1911323D"/>
    <w:rsid w:val="192A6B98"/>
    <w:rsid w:val="194847F6"/>
    <w:rsid w:val="194F3DCC"/>
    <w:rsid w:val="195C1DFE"/>
    <w:rsid w:val="197A0040"/>
    <w:rsid w:val="1995048B"/>
    <w:rsid w:val="19B37573"/>
    <w:rsid w:val="19B86645"/>
    <w:rsid w:val="19BE17F8"/>
    <w:rsid w:val="19BE20E1"/>
    <w:rsid w:val="19DD1EF7"/>
    <w:rsid w:val="19DE7A22"/>
    <w:rsid w:val="19E95F5B"/>
    <w:rsid w:val="19EB3893"/>
    <w:rsid w:val="19F05966"/>
    <w:rsid w:val="19F51199"/>
    <w:rsid w:val="19FD1A76"/>
    <w:rsid w:val="1A1639CE"/>
    <w:rsid w:val="1A2D0BAF"/>
    <w:rsid w:val="1A4925EB"/>
    <w:rsid w:val="1A506DC9"/>
    <w:rsid w:val="1A572D3B"/>
    <w:rsid w:val="1A672629"/>
    <w:rsid w:val="1A7E2DE6"/>
    <w:rsid w:val="1A881367"/>
    <w:rsid w:val="1ABF02C4"/>
    <w:rsid w:val="1AD24E9F"/>
    <w:rsid w:val="1AD74964"/>
    <w:rsid w:val="1AE47BA1"/>
    <w:rsid w:val="1AE77A7D"/>
    <w:rsid w:val="1AEC529E"/>
    <w:rsid w:val="1B0F4202"/>
    <w:rsid w:val="1B2B6111"/>
    <w:rsid w:val="1B3A4195"/>
    <w:rsid w:val="1B4C326F"/>
    <w:rsid w:val="1B4C388B"/>
    <w:rsid w:val="1B55207D"/>
    <w:rsid w:val="1B6A4AA3"/>
    <w:rsid w:val="1B7E1AD1"/>
    <w:rsid w:val="1B851140"/>
    <w:rsid w:val="1B8E3140"/>
    <w:rsid w:val="1BAA2CDF"/>
    <w:rsid w:val="1BB37E8D"/>
    <w:rsid w:val="1BB77ECC"/>
    <w:rsid w:val="1BC067C9"/>
    <w:rsid w:val="1BCB3AC8"/>
    <w:rsid w:val="1BD76930"/>
    <w:rsid w:val="1BE91919"/>
    <w:rsid w:val="1C105633"/>
    <w:rsid w:val="1C2D5B14"/>
    <w:rsid w:val="1C357E1B"/>
    <w:rsid w:val="1C3B6AFD"/>
    <w:rsid w:val="1C451546"/>
    <w:rsid w:val="1C463D87"/>
    <w:rsid w:val="1C466CD9"/>
    <w:rsid w:val="1C5114DB"/>
    <w:rsid w:val="1C526CE5"/>
    <w:rsid w:val="1C6E59F4"/>
    <w:rsid w:val="1C7930E9"/>
    <w:rsid w:val="1C8559C6"/>
    <w:rsid w:val="1C9332C6"/>
    <w:rsid w:val="1CBC4843"/>
    <w:rsid w:val="1CC04CF5"/>
    <w:rsid w:val="1CC10829"/>
    <w:rsid w:val="1CDE4305"/>
    <w:rsid w:val="1CEE7FCC"/>
    <w:rsid w:val="1D0660D0"/>
    <w:rsid w:val="1D094758"/>
    <w:rsid w:val="1D235CB2"/>
    <w:rsid w:val="1D2E4FF2"/>
    <w:rsid w:val="1D35364F"/>
    <w:rsid w:val="1D375016"/>
    <w:rsid w:val="1D494194"/>
    <w:rsid w:val="1D584CB3"/>
    <w:rsid w:val="1D64305A"/>
    <w:rsid w:val="1D700D70"/>
    <w:rsid w:val="1D7B78D7"/>
    <w:rsid w:val="1D7C2055"/>
    <w:rsid w:val="1D9B4839"/>
    <w:rsid w:val="1DB546A0"/>
    <w:rsid w:val="1DC30CAC"/>
    <w:rsid w:val="1DD320D2"/>
    <w:rsid w:val="1DDF0F0F"/>
    <w:rsid w:val="1DE2167F"/>
    <w:rsid w:val="1DE44C3A"/>
    <w:rsid w:val="1DE956F7"/>
    <w:rsid w:val="1DF46618"/>
    <w:rsid w:val="1E014612"/>
    <w:rsid w:val="1E100BDF"/>
    <w:rsid w:val="1E130F66"/>
    <w:rsid w:val="1E196B10"/>
    <w:rsid w:val="1E2470D6"/>
    <w:rsid w:val="1E287D58"/>
    <w:rsid w:val="1E4C3155"/>
    <w:rsid w:val="1E6457CC"/>
    <w:rsid w:val="1E721F5D"/>
    <w:rsid w:val="1E7471DF"/>
    <w:rsid w:val="1E752738"/>
    <w:rsid w:val="1E853F81"/>
    <w:rsid w:val="1E9B659B"/>
    <w:rsid w:val="1E9D6020"/>
    <w:rsid w:val="1EA4663E"/>
    <w:rsid w:val="1EA9666C"/>
    <w:rsid w:val="1EAC0DE6"/>
    <w:rsid w:val="1EAE11E1"/>
    <w:rsid w:val="1EC60356"/>
    <w:rsid w:val="1ECA3771"/>
    <w:rsid w:val="1ED13C39"/>
    <w:rsid w:val="1ED50EF1"/>
    <w:rsid w:val="1EE31F86"/>
    <w:rsid w:val="1EEF36E7"/>
    <w:rsid w:val="1F0A6A27"/>
    <w:rsid w:val="1F1606D9"/>
    <w:rsid w:val="1F1B5D78"/>
    <w:rsid w:val="1F455B60"/>
    <w:rsid w:val="1F4F2D4C"/>
    <w:rsid w:val="1F5C097C"/>
    <w:rsid w:val="1F741652"/>
    <w:rsid w:val="1F857B65"/>
    <w:rsid w:val="1F9F073A"/>
    <w:rsid w:val="1FCE415F"/>
    <w:rsid w:val="1FCF6704"/>
    <w:rsid w:val="1FD01E41"/>
    <w:rsid w:val="1FDB42E9"/>
    <w:rsid w:val="1FEC6112"/>
    <w:rsid w:val="1FF061AD"/>
    <w:rsid w:val="1FF66D36"/>
    <w:rsid w:val="20006659"/>
    <w:rsid w:val="20126021"/>
    <w:rsid w:val="20184ABC"/>
    <w:rsid w:val="20454201"/>
    <w:rsid w:val="20591BF4"/>
    <w:rsid w:val="206E0991"/>
    <w:rsid w:val="20730870"/>
    <w:rsid w:val="209C5E54"/>
    <w:rsid w:val="20A565C8"/>
    <w:rsid w:val="20A940E4"/>
    <w:rsid w:val="20B50040"/>
    <w:rsid w:val="20BD6854"/>
    <w:rsid w:val="20CF39C1"/>
    <w:rsid w:val="20D877F8"/>
    <w:rsid w:val="20DC016F"/>
    <w:rsid w:val="20DC0A52"/>
    <w:rsid w:val="20E7595C"/>
    <w:rsid w:val="20E87AC9"/>
    <w:rsid w:val="20E94F20"/>
    <w:rsid w:val="20F662B2"/>
    <w:rsid w:val="211C406E"/>
    <w:rsid w:val="21254F36"/>
    <w:rsid w:val="213D6C2F"/>
    <w:rsid w:val="216F402F"/>
    <w:rsid w:val="218D2753"/>
    <w:rsid w:val="21AD6470"/>
    <w:rsid w:val="21B17BA9"/>
    <w:rsid w:val="21BC4F04"/>
    <w:rsid w:val="21CA4AF6"/>
    <w:rsid w:val="21CC3928"/>
    <w:rsid w:val="21D40F99"/>
    <w:rsid w:val="21D5711F"/>
    <w:rsid w:val="21E829B5"/>
    <w:rsid w:val="21EB614A"/>
    <w:rsid w:val="22025A35"/>
    <w:rsid w:val="220327D2"/>
    <w:rsid w:val="220560B5"/>
    <w:rsid w:val="22094FF4"/>
    <w:rsid w:val="220E6923"/>
    <w:rsid w:val="22157822"/>
    <w:rsid w:val="221B37B3"/>
    <w:rsid w:val="22220C9D"/>
    <w:rsid w:val="22294BE4"/>
    <w:rsid w:val="222F67C4"/>
    <w:rsid w:val="223403C4"/>
    <w:rsid w:val="223451CC"/>
    <w:rsid w:val="22441967"/>
    <w:rsid w:val="224A4A5C"/>
    <w:rsid w:val="22531FF3"/>
    <w:rsid w:val="225341B7"/>
    <w:rsid w:val="225E7523"/>
    <w:rsid w:val="22613244"/>
    <w:rsid w:val="226E1282"/>
    <w:rsid w:val="22783E8A"/>
    <w:rsid w:val="2283693C"/>
    <w:rsid w:val="22940221"/>
    <w:rsid w:val="22BA5279"/>
    <w:rsid w:val="22C32EFC"/>
    <w:rsid w:val="22C3516D"/>
    <w:rsid w:val="22CA5BFF"/>
    <w:rsid w:val="22D70614"/>
    <w:rsid w:val="22D81DFF"/>
    <w:rsid w:val="22DC6087"/>
    <w:rsid w:val="22F938DE"/>
    <w:rsid w:val="23075EAA"/>
    <w:rsid w:val="230C5456"/>
    <w:rsid w:val="230D6D7B"/>
    <w:rsid w:val="23132C65"/>
    <w:rsid w:val="233451BF"/>
    <w:rsid w:val="23533FDA"/>
    <w:rsid w:val="2362715A"/>
    <w:rsid w:val="236A626A"/>
    <w:rsid w:val="2381245C"/>
    <w:rsid w:val="238868C4"/>
    <w:rsid w:val="239E5DFF"/>
    <w:rsid w:val="23AF5CDE"/>
    <w:rsid w:val="23BB01A3"/>
    <w:rsid w:val="23BF6E2D"/>
    <w:rsid w:val="23C03ACD"/>
    <w:rsid w:val="23C25E78"/>
    <w:rsid w:val="23C63408"/>
    <w:rsid w:val="23EF69DF"/>
    <w:rsid w:val="23FC40FC"/>
    <w:rsid w:val="242E4743"/>
    <w:rsid w:val="24352DA2"/>
    <w:rsid w:val="243A64DC"/>
    <w:rsid w:val="244114C7"/>
    <w:rsid w:val="2448193B"/>
    <w:rsid w:val="244F25AA"/>
    <w:rsid w:val="24567073"/>
    <w:rsid w:val="24651D4E"/>
    <w:rsid w:val="246A3215"/>
    <w:rsid w:val="24877B3F"/>
    <w:rsid w:val="248A41CD"/>
    <w:rsid w:val="24AA2BD6"/>
    <w:rsid w:val="24AC3B0D"/>
    <w:rsid w:val="24BF74B4"/>
    <w:rsid w:val="24C77468"/>
    <w:rsid w:val="24C96666"/>
    <w:rsid w:val="24D70FC0"/>
    <w:rsid w:val="24D86E3A"/>
    <w:rsid w:val="24EA2E2C"/>
    <w:rsid w:val="24FF59D1"/>
    <w:rsid w:val="2508601D"/>
    <w:rsid w:val="25137D4A"/>
    <w:rsid w:val="25150875"/>
    <w:rsid w:val="251D6329"/>
    <w:rsid w:val="25211F78"/>
    <w:rsid w:val="25216C66"/>
    <w:rsid w:val="252D3082"/>
    <w:rsid w:val="2533591B"/>
    <w:rsid w:val="25622FC4"/>
    <w:rsid w:val="25802B22"/>
    <w:rsid w:val="258A616D"/>
    <w:rsid w:val="25903004"/>
    <w:rsid w:val="25970F36"/>
    <w:rsid w:val="259B06B3"/>
    <w:rsid w:val="25A2292B"/>
    <w:rsid w:val="25B10E59"/>
    <w:rsid w:val="25C84B9A"/>
    <w:rsid w:val="25CA200F"/>
    <w:rsid w:val="25DD047C"/>
    <w:rsid w:val="25E341B1"/>
    <w:rsid w:val="25F64E66"/>
    <w:rsid w:val="2621419D"/>
    <w:rsid w:val="262D616B"/>
    <w:rsid w:val="262F7462"/>
    <w:rsid w:val="263E07EA"/>
    <w:rsid w:val="26440EFF"/>
    <w:rsid w:val="26497953"/>
    <w:rsid w:val="265D01FB"/>
    <w:rsid w:val="268C225C"/>
    <w:rsid w:val="26932920"/>
    <w:rsid w:val="26963920"/>
    <w:rsid w:val="26965A4C"/>
    <w:rsid w:val="26A80F4D"/>
    <w:rsid w:val="26B87A7D"/>
    <w:rsid w:val="26BB594E"/>
    <w:rsid w:val="26C72B33"/>
    <w:rsid w:val="26D34F9E"/>
    <w:rsid w:val="26E51546"/>
    <w:rsid w:val="26EB0D39"/>
    <w:rsid w:val="27054A7D"/>
    <w:rsid w:val="270A5096"/>
    <w:rsid w:val="270F2E7A"/>
    <w:rsid w:val="271E6921"/>
    <w:rsid w:val="272F1CE3"/>
    <w:rsid w:val="27324018"/>
    <w:rsid w:val="2734641D"/>
    <w:rsid w:val="274A2CA0"/>
    <w:rsid w:val="274A73EA"/>
    <w:rsid w:val="274C1E03"/>
    <w:rsid w:val="275377E7"/>
    <w:rsid w:val="275B64A3"/>
    <w:rsid w:val="275D70BB"/>
    <w:rsid w:val="2760134A"/>
    <w:rsid w:val="27743C69"/>
    <w:rsid w:val="277C4547"/>
    <w:rsid w:val="27864CED"/>
    <w:rsid w:val="278B44B6"/>
    <w:rsid w:val="278E5999"/>
    <w:rsid w:val="27BD4F4C"/>
    <w:rsid w:val="27D0393C"/>
    <w:rsid w:val="27D208A6"/>
    <w:rsid w:val="27E3760E"/>
    <w:rsid w:val="27FE3185"/>
    <w:rsid w:val="27FF5AF1"/>
    <w:rsid w:val="28076CFD"/>
    <w:rsid w:val="280E3A17"/>
    <w:rsid w:val="28127295"/>
    <w:rsid w:val="281D502A"/>
    <w:rsid w:val="28202063"/>
    <w:rsid w:val="2829462B"/>
    <w:rsid w:val="28354ABA"/>
    <w:rsid w:val="28495EC5"/>
    <w:rsid w:val="284D5F20"/>
    <w:rsid w:val="28781947"/>
    <w:rsid w:val="288805FB"/>
    <w:rsid w:val="28A27FD8"/>
    <w:rsid w:val="28A94890"/>
    <w:rsid w:val="28BA1185"/>
    <w:rsid w:val="28BC2E32"/>
    <w:rsid w:val="28C01023"/>
    <w:rsid w:val="28C54074"/>
    <w:rsid w:val="28C642D2"/>
    <w:rsid w:val="28C84EAA"/>
    <w:rsid w:val="28CE63E0"/>
    <w:rsid w:val="28D024A2"/>
    <w:rsid w:val="28D1292F"/>
    <w:rsid w:val="28DB6FE3"/>
    <w:rsid w:val="28E900CF"/>
    <w:rsid w:val="28F520CF"/>
    <w:rsid w:val="28F52EF9"/>
    <w:rsid w:val="28FA136A"/>
    <w:rsid w:val="28FE2A18"/>
    <w:rsid w:val="29020600"/>
    <w:rsid w:val="2902261A"/>
    <w:rsid w:val="29063F02"/>
    <w:rsid w:val="290765E2"/>
    <w:rsid w:val="290920AF"/>
    <w:rsid w:val="291A48E0"/>
    <w:rsid w:val="292B6537"/>
    <w:rsid w:val="293246F2"/>
    <w:rsid w:val="295002FC"/>
    <w:rsid w:val="29586330"/>
    <w:rsid w:val="29677318"/>
    <w:rsid w:val="296C3390"/>
    <w:rsid w:val="29857DD3"/>
    <w:rsid w:val="29895EEE"/>
    <w:rsid w:val="298E5A65"/>
    <w:rsid w:val="299D74E5"/>
    <w:rsid w:val="29BE4408"/>
    <w:rsid w:val="29C97AE1"/>
    <w:rsid w:val="29CB529B"/>
    <w:rsid w:val="29D744B3"/>
    <w:rsid w:val="29E4313D"/>
    <w:rsid w:val="29E63097"/>
    <w:rsid w:val="29F86538"/>
    <w:rsid w:val="2A124FE9"/>
    <w:rsid w:val="2A1A161F"/>
    <w:rsid w:val="2A2765E0"/>
    <w:rsid w:val="2A2B32BE"/>
    <w:rsid w:val="2A3C6ED8"/>
    <w:rsid w:val="2A412137"/>
    <w:rsid w:val="2A4F7F76"/>
    <w:rsid w:val="2A60504E"/>
    <w:rsid w:val="2A703219"/>
    <w:rsid w:val="2A7137E6"/>
    <w:rsid w:val="2A7C594E"/>
    <w:rsid w:val="2A876D8F"/>
    <w:rsid w:val="2A8E7F8C"/>
    <w:rsid w:val="2A943A80"/>
    <w:rsid w:val="2A9C6268"/>
    <w:rsid w:val="2AA23493"/>
    <w:rsid w:val="2AA90913"/>
    <w:rsid w:val="2AB77E33"/>
    <w:rsid w:val="2AC2745C"/>
    <w:rsid w:val="2AE3573A"/>
    <w:rsid w:val="2B05531C"/>
    <w:rsid w:val="2B063D03"/>
    <w:rsid w:val="2B08500E"/>
    <w:rsid w:val="2B122E82"/>
    <w:rsid w:val="2B186647"/>
    <w:rsid w:val="2B1C51AF"/>
    <w:rsid w:val="2B1C5234"/>
    <w:rsid w:val="2B1F3619"/>
    <w:rsid w:val="2B7A17B2"/>
    <w:rsid w:val="2B7A4E2B"/>
    <w:rsid w:val="2B896CF8"/>
    <w:rsid w:val="2B923D7F"/>
    <w:rsid w:val="2B957C3F"/>
    <w:rsid w:val="2BA27D38"/>
    <w:rsid w:val="2BA772E2"/>
    <w:rsid w:val="2BB14AD8"/>
    <w:rsid w:val="2BBA5FB8"/>
    <w:rsid w:val="2BC7346E"/>
    <w:rsid w:val="2BCD00EC"/>
    <w:rsid w:val="2BCD5409"/>
    <w:rsid w:val="2BE2030E"/>
    <w:rsid w:val="2BF720EA"/>
    <w:rsid w:val="2C04592E"/>
    <w:rsid w:val="2C0E21AE"/>
    <w:rsid w:val="2C114320"/>
    <w:rsid w:val="2C174B48"/>
    <w:rsid w:val="2C1D76AF"/>
    <w:rsid w:val="2C204A67"/>
    <w:rsid w:val="2C213B1C"/>
    <w:rsid w:val="2C374B37"/>
    <w:rsid w:val="2C395380"/>
    <w:rsid w:val="2C4B03C3"/>
    <w:rsid w:val="2C4F7915"/>
    <w:rsid w:val="2C653712"/>
    <w:rsid w:val="2C676D47"/>
    <w:rsid w:val="2C6856BB"/>
    <w:rsid w:val="2C6A0FFA"/>
    <w:rsid w:val="2C6D62BD"/>
    <w:rsid w:val="2C826A69"/>
    <w:rsid w:val="2C8A7A52"/>
    <w:rsid w:val="2C8B2593"/>
    <w:rsid w:val="2C8D2009"/>
    <w:rsid w:val="2C8E0C72"/>
    <w:rsid w:val="2C9149F3"/>
    <w:rsid w:val="2C976A6A"/>
    <w:rsid w:val="2CC90AF4"/>
    <w:rsid w:val="2CD30DA6"/>
    <w:rsid w:val="2CE73B5E"/>
    <w:rsid w:val="2D11461E"/>
    <w:rsid w:val="2D136CE1"/>
    <w:rsid w:val="2D1E0EE6"/>
    <w:rsid w:val="2D203C64"/>
    <w:rsid w:val="2D2976FA"/>
    <w:rsid w:val="2D2A6559"/>
    <w:rsid w:val="2D2D69BD"/>
    <w:rsid w:val="2D2D6B9A"/>
    <w:rsid w:val="2D2E1B7E"/>
    <w:rsid w:val="2D3E0A42"/>
    <w:rsid w:val="2D4E3355"/>
    <w:rsid w:val="2D4F6184"/>
    <w:rsid w:val="2D5C2020"/>
    <w:rsid w:val="2D5D3F49"/>
    <w:rsid w:val="2D5DD981"/>
    <w:rsid w:val="2D6904A6"/>
    <w:rsid w:val="2D6B6345"/>
    <w:rsid w:val="2D713CD7"/>
    <w:rsid w:val="2D727D35"/>
    <w:rsid w:val="2D76358F"/>
    <w:rsid w:val="2DA43EEE"/>
    <w:rsid w:val="2DA74E04"/>
    <w:rsid w:val="2DB442E5"/>
    <w:rsid w:val="2DCE21C3"/>
    <w:rsid w:val="2DDF2E41"/>
    <w:rsid w:val="2DE42796"/>
    <w:rsid w:val="2DE50FC0"/>
    <w:rsid w:val="2DEB350B"/>
    <w:rsid w:val="2E0128EA"/>
    <w:rsid w:val="2E1660A3"/>
    <w:rsid w:val="2E1670BE"/>
    <w:rsid w:val="2E2555EE"/>
    <w:rsid w:val="2E277728"/>
    <w:rsid w:val="2E2B42FC"/>
    <w:rsid w:val="2E3D5EBA"/>
    <w:rsid w:val="2E4777BE"/>
    <w:rsid w:val="2E4E31CE"/>
    <w:rsid w:val="2E507258"/>
    <w:rsid w:val="2E5B2885"/>
    <w:rsid w:val="2E5E7702"/>
    <w:rsid w:val="2E627BB2"/>
    <w:rsid w:val="2E6917E5"/>
    <w:rsid w:val="2E696588"/>
    <w:rsid w:val="2E876B9B"/>
    <w:rsid w:val="2E886A83"/>
    <w:rsid w:val="2E8C2A0A"/>
    <w:rsid w:val="2E9C3650"/>
    <w:rsid w:val="2E9D095E"/>
    <w:rsid w:val="2EB11B85"/>
    <w:rsid w:val="2EBD5572"/>
    <w:rsid w:val="2EBE5204"/>
    <w:rsid w:val="2ED47334"/>
    <w:rsid w:val="2EE774D2"/>
    <w:rsid w:val="2EEC2C68"/>
    <w:rsid w:val="2EF400F2"/>
    <w:rsid w:val="2EF77CE8"/>
    <w:rsid w:val="2EFA1D8D"/>
    <w:rsid w:val="2F0C66A3"/>
    <w:rsid w:val="2F220D77"/>
    <w:rsid w:val="2F2435BF"/>
    <w:rsid w:val="2F6B4D92"/>
    <w:rsid w:val="2FAE4258"/>
    <w:rsid w:val="2FB30350"/>
    <w:rsid w:val="2FB3763D"/>
    <w:rsid w:val="2FB935D0"/>
    <w:rsid w:val="2FBC7280"/>
    <w:rsid w:val="2FC50E02"/>
    <w:rsid w:val="2FEA66C1"/>
    <w:rsid w:val="2FF96AF2"/>
    <w:rsid w:val="2FFF5132"/>
    <w:rsid w:val="300A4FE2"/>
    <w:rsid w:val="300B0121"/>
    <w:rsid w:val="3015447B"/>
    <w:rsid w:val="30180ECB"/>
    <w:rsid w:val="30186F46"/>
    <w:rsid w:val="301926CA"/>
    <w:rsid w:val="30205736"/>
    <w:rsid w:val="302A242E"/>
    <w:rsid w:val="30362A09"/>
    <w:rsid w:val="303703DD"/>
    <w:rsid w:val="30467B04"/>
    <w:rsid w:val="30721EB6"/>
    <w:rsid w:val="30915472"/>
    <w:rsid w:val="309208FB"/>
    <w:rsid w:val="30955FB8"/>
    <w:rsid w:val="30A92D30"/>
    <w:rsid w:val="30AA5172"/>
    <w:rsid w:val="30CD66B8"/>
    <w:rsid w:val="30D74B19"/>
    <w:rsid w:val="30D96BB9"/>
    <w:rsid w:val="30DD6100"/>
    <w:rsid w:val="30E333CC"/>
    <w:rsid w:val="30EA0205"/>
    <w:rsid w:val="30EB2469"/>
    <w:rsid w:val="30ED4DC1"/>
    <w:rsid w:val="31002ACD"/>
    <w:rsid w:val="31013DB0"/>
    <w:rsid w:val="31211561"/>
    <w:rsid w:val="31213952"/>
    <w:rsid w:val="312C4276"/>
    <w:rsid w:val="313120EB"/>
    <w:rsid w:val="31373C82"/>
    <w:rsid w:val="313B3364"/>
    <w:rsid w:val="31524277"/>
    <w:rsid w:val="315E0FE3"/>
    <w:rsid w:val="316279BC"/>
    <w:rsid w:val="31644430"/>
    <w:rsid w:val="3170445E"/>
    <w:rsid w:val="319D190C"/>
    <w:rsid w:val="31A37212"/>
    <w:rsid w:val="31B62710"/>
    <w:rsid w:val="31B9724A"/>
    <w:rsid w:val="31BC1203"/>
    <w:rsid w:val="31C05FAF"/>
    <w:rsid w:val="31C13270"/>
    <w:rsid w:val="31D74C40"/>
    <w:rsid w:val="31F15356"/>
    <w:rsid w:val="3211131B"/>
    <w:rsid w:val="32205088"/>
    <w:rsid w:val="322C596A"/>
    <w:rsid w:val="322D1221"/>
    <w:rsid w:val="322E6041"/>
    <w:rsid w:val="322F65A2"/>
    <w:rsid w:val="323D071D"/>
    <w:rsid w:val="323F1C97"/>
    <w:rsid w:val="324C0E5E"/>
    <w:rsid w:val="324C6912"/>
    <w:rsid w:val="32566262"/>
    <w:rsid w:val="326D4F03"/>
    <w:rsid w:val="32874749"/>
    <w:rsid w:val="328B3807"/>
    <w:rsid w:val="328F2928"/>
    <w:rsid w:val="32A40281"/>
    <w:rsid w:val="32BC5239"/>
    <w:rsid w:val="32BD6CC9"/>
    <w:rsid w:val="32C90F3C"/>
    <w:rsid w:val="32EC06B6"/>
    <w:rsid w:val="32FC4FBB"/>
    <w:rsid w:val="330C207A"/>
    <w:rsid w:val="331D6DDE"/>
    <w:rsid w:val="332015E8"/>
    <w:rsid w:val="33300C8E"/>
    <w:rsid w:val="333A2ECC"/>
    <w:rsid w:val="333C066E"/>
    <w:rsid w:val="3366540D"/>
    <w:rsid w:val="337E708D"/>
    <w:rsid w:val="338507F8"/>
    <w:rsid w:val="339E780D"/>
    <w:rsid w:val="33A6062E"/>
    <w:rsid w:val="33A65372"/>
    <w:rsid w:val="33C152C3"/>
    <w:rsid w:val="33C34599"/>
    <w:rsid w:val="33CC4685"/>
    <w:rsid w:val="33CE7ED1"/>
    <w:rsid w:val="33D5120F"/>
    <w:rsid w:val="33EF3550"/>
    <w:rsid w:val="33F6627B"/>
    <w:rsid w:val="33FE2D0D"/>
    <w:rsid w:val="34017312"/>
    <w:rsid w:val="340939D1"/>
    <w:rsid w:val="340F0608"/>
    <w:rsid w:val="34104856"/>
    <w:rsid w:val="342801DB"/>
    <w:rsid w:val="34337813"/>
    <w:rsid w:val="34363375"/>
    <w:rsid w:val="343F5D81"/>
    <w:rsid w:val="34451A3D"/>
    <w:rsid w:val="34496B7C"/>
    <w:rsid w:val="349453F9"/>
    <w:rsid w:val="349E59FC"/>
    <w:rsid w:val="34A00ECD"/>
    <w:rsid w:val="34AB5B2E"/>
    <w:rsid w:val="34BB50B6"/>
    <w:rsid w:val="34BC778F"/>
    <w:rsid w:val="34D34E7E"/>
    <w:rsid w:val="34F15371"/>
    <w:rsid w:val="34FC125A"/>
    <w:rsid w:val="35203D10"/>
    <w:rsid w:val="35307F2C"/>
    <w:rsid w:val="355A4B22"/>
    <w:rsid w:val="356426F7"/>
    <w:rsid w:val="35750F26"/>
    <w:rsid w:val="35807163"/>
    <w:rsid w:val="358B5BCA"/>
    <w:rsid w:val="359437FD"/>
    <w:rsid w:val="359448D5"/>
    <w:rsid w:val="35A86506"/>
    <w:rsid w:val="35B04E5B"/>
    <w:rsid w:val="35B636C7"/>
    <w:rsid w:val="35BA32FE"/>
    <w:rsid w:val="35D271AE"/>
    <w:rsid w:val="35D54B73"/>
    <w:rsid w:val="35DC6937"/>
    <w:rsid w:val="35FC587E"/>
    <w:rsid w:val="35FC5D88"/>
    <w:rsid w:val="3602478D"/>
    <w:rsid w:val="36027754"/>
    <w:rsid w:val="360543CC"/>
    <w:rsid w:val="361B5922"/>
    <w:rsid w:val="362E1E37"/>
    <w:rsid w:val="36320715"/>
    <w:rsid w:val="3634364D"/>
    <w:rsid w:val="36356E96"/>
    <w:rsid w:val="3639699C"/>
    <w:rsid w:val="364C797F"/>
    <w:rsid w:val="366A3628"/>
    <w:rsid w:val="36705EBA"/>
    <w:rsid w:val="36791C64"/>
    <w:rsid w:val="367C39FF"/>
    <w:rsid w:val="36BD11A4"/>
    <w:rsid w:val="36D03AB9"/>
    <w:rsid w:val="36EF7FDA"/>
    <w:rsid w:val="36F2110D"/>
    <w:rsid w:val="36F951C8"/>
    <w:rsid w:val="370F2CF1"/>
    <w:rsid w:val="372350F0"/>
    <w:rsid w:val="372E773E"/>
    <w:rsid w:val="374C5024"/>
    <w:rsid w:val="377608DD"/>
    <w:rsid w:val="37983647"/>
    <w:rsid w:val="37B30266"/>
    <w:rsid w:val="37BF79F3"/>
    <w:rsid w:val="37C365A6"/>
    <w:rsid w:val="37C420E3"/>
    <w:rsid w:val="37C81C8C"/>
    <w:rsid w:val="37CC3B3A"/>
    <w:rsid w:val="37D22171"/>
    <w:rsid w:val="37DC68F5"/>
    <w:rsid w:val="37E6150C"/>
    <w:rsid w:val="37E61DD8"/>
    <w:rsid w:val="37E67F17"/>
    <w:rsid w:val="37F415EF"/>
    <w:rsid w:val="37F90EEC"/>
    <w:rsid w:val="37FA5EEF"/>
    <w:rsid w:val="3816408C"/>
    <w:rsid w:val="38196833"/>
    <w:rsid w:val="382540A0"/>
    <w:rsid w:val="383105D2"/>
    <w:rsid w:val="383328A2"/>
    <w:rsid w:val="383356DA"/>
    <w:rsid w:val="383E4131"/>
    <w:rsid w:val="384D02DC"/>
    <w:rsid w:val="384E45A3"/>
    <w:rsid w:val="38570876"/>
    <w:rsid w:val="38576851"/>
    <w:rsid w:val="38596D1A"/>
    <w:rsid w:val="38681D3A"/>
    <w:rsid w:val="386A4A3B"/>
    <w:rsid w:val="3877420A"/>
    <w:rsid w:val="38802453"/>
    <w:rsid w:val="38862206"/>
    <w:rsid w:val="38AC3756"/>
    <w:rsid w:val="38B268A6"/>
    <w:rsid w:val="38C1446B"/>
    <w:rsid w:val="38C40738"/>
    <w:rsid w:val="38D15406"/>
    <w:rsid w:val="38DC60EE"/>
    <w:rsid w:val="38EE653E"/>
    <w:rsid w:val="38EF3EBB"/>
    <w:rsid w:val="391D0D5A"/>
    <w:rsid w:val="392F1995"/>
    <w:rsid w:val="39404300"/>
    <w:rsid w:val="39450179"/>
    <w:rsid w:val="394D30C8"/>
    <w:rsid w:val="394E3D1C"/>
    <w:rsid w:val="394F76ED"/>
    <w:rsid w:val="39533B19"/>
    <w:rsid w:val="395F37D3"/>
    <w:rsid w:val="395F7B00"/>
    <w:rsid w:val="3967124A"/>
    <w:rsid w:val="398B4FA9"/>
    <w:rsid w:val="39900187"/>
    <w:rsid w:val="39A737BB"/>
    <w:rsid w:val="39AA02C1"/>
    <w:rsid w:val="39B90C68"/>
    <w:rsid w:val="39BB6976"/>
    <w:rsid w:val="39BE427E"/>
    <w:rsid w:val="39D878F9"/>
    <w:rsid w:val="39DE1CD7"/>
    <w:rsid w:val="39E664E0"/>
    <w:rsid w:val="39F1079C"/>
    <w:rsid w:val="3A025970"/>
    <w:rsid w:val="3A105BAA"/>
    <w:rsid w:val="3A1E2C83"/>
    <w:rsid w:val="3A4263EB"/>
    <w:rsid w:val="3A435E83"/>
    <w:rsid w:val="3A5D5BEE"/>
    <w:rsid w:val="3A62151C"/>
    <w:rsid w:val="3A6467B6"/>
    <w:rsid w:val="3A7D5DE1"/>
    <w:rsid w:val="3A8B59C7"/>
    <w:rsid w:val="3AA1597F"/>
    <w:rsid w:val="3AAC136B"/>
    <w:rsid w:val="3AAC4775"/>
    <w:rsid w:val="3AE6626B"/>
    <w:rsid w:val="3AE80C89"/>
    <w:rsid w:val="3AEF608B"/>
    <w:rsid w:val="3B025A83"/>
    <w:rsid w:val="3B171158"/>
    <w:rsid w:val="3B192689"/>
    <w:rsid w:val="3B1F6E97"/>
    <w:rsid w:val="3B217ED9"/>
    <w:rsid w:val="3B2E7B1B"/>
    <w:rsid w:val="3B336111"/>
    <w:rsid w:val="3B3B11C5"/>
    <w:rsid w:val="3B401A6E"/>
    <w:rsid w:val="3B592006"/>
    <w:rsid w:val="3B606649"/>
    <w:rsid w:val="3B66242F"/>
    <w:rsid w:val="3B682F2E"/>
    <w:rsid w:val="3B7118A1"/>
    <w:rsid w:val="3B754D11"/>
    <w:rsid w:val="3B77368F"/>
    <w:rsid w:val="3BA054C5"/>
    <w:rsid w:val="3BA51EBF"/>
    <w:rsid w:val="3BAD2D02"/>
    <w:rsid w:val="3BBE424B"/>
    <w:rsid w:val="3BC326F4"/>
    <w:rsid w:val="3BFD6A08"/>
    <w:rsid w:val="3C035056"/>
    <w:rsid w:val="3C247D05"/>
    <w:rsid w:val="3C2C6BCA"/>
    <w:rsid w:val="3C574707"/>
    <w:rsid w:val="3C5B3240"/>
    <w:rsid w:val="3C5F00CD"/>
    <w:rsid w:val="3C644CC0"/>
    <w:rsid w:val="3C744B37"/>
    <w:rsid w:val="3C8022EF"/>
    <w:rsid w:val="3C8D03B1"/>
    <w:rsid w:val="3C8F705D"/>
    <w:rsid w:val="3C945D82"/>
    <w:rsid w:val="3CA60394"/>
    <w:rsid w:val="3CA7727B"/>
    <w:rsid w:val="3CB741B5"/>
    <w:rsid w:val="3CB76D93"/>
    <w:rsid w:val="3CD24245"/>
    <w:rsid w:val="3CDC0392"/>
    <w:rsid w:val="3CDC6E40"/>
    <w:rsid w:val="3CE73327"/>
    <w:rsid w:val="3CEA120C"/>
    <w:rsid w:val="3D016883"/>
    <w:rsid w:val="3D13065B"/>
    <w:rsid w:val="3D195B89"/>
    <w:rsid w:val="3D1C7B44"/>
    <w:rsid w:val="3D2A6E17"/>
    <w:rsid w:val="3D2F362B"/>
    <w:rsid w:val="3D365E78"/>
    <w:rsid w:val="3D4A4866"/>
    <w:rsid w:val="3D4C64D6"/>
    <w:rsid w:val="3D502755"/>
    <w:rsid w:val="3D5157CA"/>
    <w:rsid w:val="3D620C7A"/>
    <w:rsid w:val="3D6734EB"/>
    <w:rsid w:val="3D6974C4"/>
    <w:rsid w:val="3D721711"/>
    <w:rsid w:val="3D7D69D6"/>
    <w:rsid w:val="3D891B69"/>
    <w:rsid w:val="3DA060E9"/>
    <w:rsid w:val="3DB15EEA"/>
    <w:rsid w:val="3DB576B0"/>
    <w:rsid w:val="3DB96C10"/>
    <w:rsid w:val="3DC23EF0"/>
    <w:rsid w:val="3DF47C57"/>
    <w:rsid w:val="3E0C37E2"/>
    <w:rsid w:val="3E0D3A2F"/>
    <w:rsid w:val="3E1B4BEF"/>
    <w:rsid w:val="3E1D0007"/>
    <w:rsid w:val="3E210AA1"/>
    <w:rsid w:val="3E263525"/>
    <w:rsid w:val="3E2A7539"/>
    <w:rsid w:val="3E2B3753"/>
    <w:rsid w:val="3E3433E2"/>
    <w:rsid w:val="3E3B2411"/>
    <w:rsid w:val="3E3D265C"/>
    <w:rsid w:val="3E3F4E6C"/>
    <w:rsid w:val="3E4D55C7"/>
    <w:rsid w:val="3E5B1341"/>
    <w:rsid w:val="3E682B87"/>
    <w:rsid w:val="3E6C3746"/>
    <w:rsid w:val="3E775E97"/>
    <w:rsid w:val="3E7B2663"/>
    <w:rsid w:val="3E7B6716"/>
    <w:rsid w:val="3E815E9B"/>
    <w:rsid w:val="3E831687"/>
    <w:rsid w:val="3E980085"/>
    <w:rsid w:val="3EA17516"/>
    <w:rsid w:val="3EE85C11"/>
    <w:rsid w:val="3EE92C5E"/>
    <w:rsid w:val="3EEA363F"/>
    <w:rsid w:val="3EFB03AB"/>
    <w:rsid w:val="3F00745C"/>
    <w:rsid w:val="3F0840F0"/>
    <w:rsid w:val="3F092529"/>
    <w:rsid w:val="3F21715A"/>
    <w:rsid w:val="3F2A7BE0"/>
    <w:rsid w:val="3F2E51CE"/>
    <w:rsid w:val="3F336264"/>
    <w:rsid w:val="3F363689"/>
    <w:rsid w:val="3F580764"/>
    <w:rsid w:val="3F592F64"/>
    <w:rsid w:val="3F5C50F8"/>
    <w:rsid w:val="3F722FC0"/>
    <w:rsid w:val="3F834E66"/>
    <w:rsid w:val="3F8D5545"/>
    <w:rsid w:val="3F955175"/>
    <w:rsid w:val="3F9B56F4"/>
    <w:rsid w:val="3FA67502"/>
    <w:rsid w:val="3FB65310"/>
    <w:rsid w:val="3FBD5FA0"/>
    <w:rsid w:val="3FC907E2"/>
    <w:rsid w:val="3FD221FC"/>
    <w:rsid w:val="3FD7289D"/>
    <w:rsid w:val="3FD92BDF"/>
    <w:rsid w:val="3FF5487D"/>
    <w:rsid w:val="400B6E29"/>
    <w:rsid w:val="402C2033"/>
    <w:rsid w:val="403807CE"/>
    <w:rsid w:val="40425373"/>
    <w:rsid w:val="40526E05"/>
    <w:rsid w:val="405717AB"/>
    <w:rsid w:val="406714E1"/>
    <w:rsid w:val="406D045E"/>
    <w:rsid w:val="40763471"/>
    <w:rsid w:val="407E00A2"/>
    <w:rsid w:val="408A7CB7"/>
    <w:rsid w:val="40961E06"/>
    <w:rsid w:val="40977F0C"/>
    <w:rsid w:val="409D7C75"/>
    <w:rsid w:val="40C40238"/>
    <w:rsid w:val="40C72645"/>
    <w:rsid w:val="40DD1C24"/>
    <w:rsid w:val="40F74356"/>
    <w:rsid w:val="40FB60E7"/>
    <w:rsid w:val="41114C14"/>
    <w:rsid w:val="411826CE"/>
    <w:rsid w:val="411C5B41"/>
    <w:rsid w:val="411E017B"/>
    <w:rsid w:val="413D6F9E"/>
    <w:rsid w:val="414B4637"/>
    <w:rsid w:val="41585F4B"/>
    <w:rsid w:val="41592BBA"/>
    <w:rsid w:val="416A687C"/>
    <w:rsid w:val="41973437"/>
    <w:rsid w:val="41A0054C"/>
    <w:rsid w:val="41CC2CAD"/>
    <w:rsid w:val="41D3315D"/>
    <w:rsid w:val="41D367A1"/>
    <w:rsid w:val="41D85579"/>
    <w:rsid w:val="41DA62F7"/>
    <w:rsid w:val="41DF3613"/>
    <w:rsid w:val="41E77592"/>
    <w:rsid w:val="41FA76EB"/>
    <w:rsid w:val="41FD0C2C"/>
    <w:rsid w:val="41FD62F6"/>
    <w:rsid w:val="4202474B"/>
    <w:rsid w:val="4209061C"/>
    <w:rsid w:val="421849BB"/>
    <w:rsid w:val="421B04C0"/>
    <w:rsid w:val="421B5128"/>
    <w:rsid w:val="421C7448"/>
    <w:rsid w:val="421D3E16"/>
    <w:rsid w:val="42260230"/>
    <w:rsid w:val="422833B6"/>
    <w:rsid w:val="422F58D3"/>
    <w:rsid w:val="4234077D"/>
    <w:rsid w:val="42385E7D"/>
    <w:rsid w:val="424066F1"/>
    <w:rsid w:val="42502A05"/>
    <w:rsid w:val="4252181C"/>
    <w:rsid w:val="4287447A"/>
    <w:rsid w:val="42931ACE"/>
    <w:rsid w:val="42A96D6E"/>
    <w:rsid w:val="42AD5160"/>
    <w:rsid w:val="42B443A1"/>
    <w:rsid w:val="42B615C6"/>
    <w:rsid w:val="42B863C3"/>
    <w:rsid w:val="42D338CD"/>
    <w:rsid w:val="42EA0130"/>
    <w:rsid w:val="42EE6709"/>
    <w:rsid w:val="431E12EE"/>
    <w:rsid w:val="43253422"/>
    <w:rsid w:val="432B022E"/>
    <w:rsid w:val="433678E5"/>
    <w:rsid w:val="43482CD2"/>
    <w:rsid w:val="4350673F"/>
    <w:rsid w:val="436A1EBC"/>
    <w:rsid w:val="43765FA8"/>
    <w:rsid w:val="438D400C"/>
    <w:rsid w:val="439D131C"/>
    <w:rsid w:val="43A74B31"/>
    <w:rsid w:val="43B44B0E"/>
    <w:rsid w:val="43BC6A42"/>
    <w:rsid w:val="43BF6DFA"/>
    <w:rsid w:val="43D308E1"/>
    <w:rsid w:val="43E12F35"/>
    <w:rsid w:val="43FD68EA"/>
    <w:rsid w:val="4400463B"/>
    <w:rsid w:val="442235DF"/>
    <w:rsid w:val="442614FF"/>
    <w:rsid w:val="44263713"/>
    <w:rsid w:val="443F019D"/>
    <w:rsid w:val="4448718C"/>
    <w:rsid w:val="444A65E9"/>
    <w:rsid w:val="444D7F17"/>
    <w:rsid w:val="44505B57"/>
    <w:rsid w:val="44524958"/>
    <w:rsid w:val="44607C5A"/>
    <w:rsid w:val="446A1AB6"/>
    <w:rsid w:val="447657C6"/>
    <w:rsid w:val="44800777"/>
    <w:rsid w:val="448B2A6E"/>
    <w:rsid w:val="449E1CE5"/>
    <w:rsid w:val="44A7272D"/>
    <w:rsid w:val="44B25D07"/>
    <w:rsid w:val="44B817E7"/>
    <w:rsid w:val="44C13E2F"/>
    <w:rsid w:val="44C66D19"/>
    <w:rsid w:val="44C706AA"/>
    <w:rsid w:val="44C83F7B"/>
    <w:rsid w:val="44DF6BD9"/>
    <w:rsid w:val="44EC1883"/>
    <w:rsid w:val="44F36301"/>
    <w:rsid w:val="44F53C22"/>
    <w:rsid w:val="44F5515A"/>
    <w:rsid w:val="44FD0574"/>
    <w:rsid w:val="450457BC"/>
    <w:rsid w:val="45087251"/>
    <w:rsid w:val="450D6F6E"/>
    <w:rsid w:val="452C756D"/>
    <w:rsid w:val="453F48DA"/>
    <w:rsid w:val="45551E4B"/>
    <w:rsid w:val="455B762F"/>
    <w:rsid w:val="455D6E07"/>
    <w:rsid w:val="4560569F"/>
    <w:rsid w:val="45682403"/>
    <w:rsid w:val="45686D88"/>
    <w:rsid w:val="456D3D11"/>
    <w:rsid w:val="457C4B31"/>
    <w:rsid w:val="4592417A"/>
    <w:rsid w:val="45955465"/>
    <w:rsid w:val="459606DF"/>
    <w:rsid w:val="459F514B"/>
    <w:rsid w:val="45A17852"/>
    <w:rsid w:val="45C354F6"/>
    <w:rsid w:val="45D22A59"/>
    <w:rsid w:val="45D916D4"/>
    <w:rsid w:val="45E61CC6"/>
    <w:rsid w:val="45E84FF8"/>
    <w:rsid w:val="45ED44EA"/>
    <w:rsid w:val="45F8115A"/>
    <w:rsid w:val="45FB1D2D"/>
    <w:rsid w:val="45FE0A41"/>
    <w:rsid w:val="46056584"/>
    <w:rsid w:val="46082357"/>
    <w:rsid w:val="460A2799"/>
    <w:rsid w:val="46233E87"/>
    <w:rsid w:val="462877ED"/>
    <w:rsid w:val="46326033"/>
    <w:rsid w:val="464B73A6"/>
    <w:rsid w:val="465A7582"/>
    <w:rsid w:val="46654069"/>
    <w:rsid w:val="466C7467"/>
    <w:rsid w:val="467D78E6"/>
    <w:rsid w:val="468400F8"/>
    <w:rsid w:val="4688314C"/>
    <w:rsid w:val="46BB4356"/>
    <w:rsid w:val="46CF3167"/>
    <w:rsid w:val="46D071AF"/>
    <w:rsid w:val="46D47715"/>
    <w:rsid w:val="46E016FB"/>
    <w:rsid w:val="46E175B9"/>
    <w:rsid w:val="46F7774C"/>
    <w:rsid w:val="47173D8B"/>
    <w:rsid w:val="4727105D"/>
    <w:rsid w:val="473201BF"/>
    <w:rsid w:val="473563CB"/>
    <w:rsid w:val="473B0BC4"/>
    <w:rsid w:val="47674BF2"/>
    <w:rsid w:val="47684310"/>
    <w:rsid w:val="47691667"/>
    <w:rsid w:val="477A07FC"/>
    <w:rsid w:val="477C0283"/>
    <w:rsid w:val="47902D1A"/>
    <w:rsid w:val="479C590B"/>
    <w:rsid w:val="47A40F76"/>
    <w:rsid w:val="47A41891"/>
    <w:rsid w:val="47A74B7B"/>
    <w:rsid w:val="47B10CA1"/>
    <w:rsid w:val="47BF6422"/>
    <w:rsid w:val="47C06B8C"/>
    <w:rsid w:val="47C12ECA"/>
    <w:rsid w:val="47C23528"/>
    <w:rsid w:val="47C6296C"/>
    <w:rsid w:val="47C81C06"/>
    <w:rsid w:val="47CD458E"/>
    <w:rsid w:val="47D6593B"/>
    <w:rsid w:val="47DB3DD1"/>
    <w:rsid w:val="47E3165C"/>
    <w:rsid w:val="47E65C61"/>
    <w:rsid w:val="47E85124"/>
    <w:rsid w:val="47EA7518"/>
    <w:rsid w:val="47F22F98"/>
    <w:rsid w:val="47FB51DE"/>
    <w:rsid w:val="48001BF7"/>
    <w:rsid w:val="48035884"/>
    <w:rsid w:val="48044202"/>
    <w:rsid w:val="4813649E"/>
    <w:rsid w:val="48194C43"/>
    <w:rsid w:val="481E7363"/>
    <w:rsid w:val="483A69E4"/>
    <w:rsid w:val="485342E8"/>
    <w:rsid w:val="4858306A"/>
    <w:rsid w:val="4864598E"/>
    <w:rsid w:val="4878779E"/>
    <w:rsid w:val="487D4464"/>
    <w:rsid w:val="487E7E2F"/>
    <w:rsid w:val="488712D5"/>
    <w:rsid w:val="488754B3"/>
    <w:rsid w:val="489D0889"/>
    <w:rsid w:val="48B064BE"/>
    <w:rsid w:val="48BE4881"/>
    <w:rsid w:val="48CA455C"/>
    <w:rsid w:val="48E44F44"/>
    <w:rsid w:val="48EA1610"/>
    <w:rsid w:val="48FA3722"/>
    <w:rsid w:val="49033008"/>
    <w:rsid w:val="491D73D9"/>
    <w:rsid w:val="49211156"/>
    <w:rsid w:val="492D3B76"/>
    <w:rsid w:val="493D3234"/>
    <w:rsid w:val="49406B76"/>
    <w:rsid w:val="49471C14"/>
    <w:rsid w:val="494A6689"/>
    <w:rsid w:val="494C78E4"/>
    <w:rsid w:val="494E634B"/>
    <w:rsid w:val="49706CBB"/>
    <w:rsid w:val="497D37A3"/>
    <w:rsid w:val="49801168"/>
    <w:rsid w:val="498E22E8"/>
    <w:rsid w:val="499D72BA"/>
    <w:rsid w:val="49A04B25"/>
    <w:rsid w:val="49A64E7B"/>
    <w:rsid w:val="49A86B4E"/>
    <w:rsid w:val="49AD1E91"/>
    <w:rsid w:val="49B5796E"/>
    <w:rsid w:val="49BB437E"/>
    <w:rsid w:val="49DB14BF"/>
    <w:rsid w:val="4A034202"/>
    <w:rsid w:val="4A104493"/>
    <w:rsid w:val="4A204BF6"/>
    <w:rsid w:val="4A223310"/>
    <w:rsid w:val="4A382B80"/>
    <w:rsid w:val="4A9622E8"/>
    <w:rsid w:val="4AAA2406"/>
    <w:rsid w:val="4AB879D1"/>
    <w:rsid w:val="4ACE34E4"/>
    <w:rsid w:val="4AD97BE4"/>
    <w:rsid w:val="4AE12C0C"/>
    <w:rsid w:val="4AE47668"/>
    <w:rsid w:val="4AF27385"/>
    <w:rsid w:val="4AFA118D"/>
    <w:rsid w:val="4B027541"/>
    <w:rsid w:val="4B0D33EA"/>
    <w:rsid w:val="4B37760E"/>
    <w:rsid w:val="4B52300E"/>
    <w:rsid w:val="4B5447BA"/>
    <w:rsid w:val="4B575872"/>
    <w:rsid w:val="4B690820"/>
    <w:rsid w:val="4B695527"/>
    <w:rsid w:val="4B771445"/>
    <w:rsid w:val="4B772E45"/>
    <w:rsid w:val="4B7B292E"/>
    <w:rsid w:val="4B7D2D34"/>
    <w:rsid w:val="4B823732"/>
    <w:rsid w:val="4B835CC0"/>
    <w:rsid w:val="4B9276A0"/>
    <w:rsid w:val="4B944917"/>
    <w:rsid w:val="4B975339"/>
    <w:rsid w:val="4B9B6C6D"/>
    <w:rsid w:val="4BA672CF"/>
    <w:rsid w:val="4BBA67BC"/>
    <w:rsid w:val="4BCB3C4A"/>
    <w:rsid w:val="4BD57A73"/>
    <w:rsid w:val="4BF05AD9"/>
    <w:rsid w:val="4BF64B6A"/>
    <w:rsid w:val="4BFF2397"/>
    <w:rsid w:val="4C122FBA"/>
    <w:rsid w:val="4C1E5417"/>
    <w:rsid w:val="4C27138A"/>
    <w:rsid w:val="4C3A4F5C"/>
    <w:rsid w:val="4C4F0352"/>
    <w:rsid w:val="4C4F21F7"/>
    <w:rsid w:val="4C4F672E"/>
    <w:rsid w:val="4C680B7F"/>
    <w:rsid w:val="4C760A1E"/>
    <w:rsid w:val="4C7C2E5B"/>
    <w:rsid w:val="4C865364"/>
    <w:rsid w:val="4CAA5FD8"/>
    <w:rsid w:val="4CAB4364"/>
    <w:rsid w:val="4CAE778D"/>
    <w:rsid w:val="4CB64070"/>
    <w:rsid w:val="4CC70994"/>
    <w:rsid w:val="4CD57A63"/>
    <w:rsid w:val="4CDD05F0"/>
    <w:rsid w:val="4CEE131F"/>
    <w:rsid w:val="4CF92A4B"/>
    <w:rsid w:val="4CFD0C9D"/>
    <w:rsid w:val="4D006A7B"/>
    <w:rsid w:val="4D0B1B16"/>
    <w:rsid w:val="4D0F69F0"/>
    <w:rsid w:val="4D134706"/>
    <w:rsid w:val="4D135238"/>
    <w:rsid w:val="4D15105C"/>
    <w:rsid w:val="4D163747"/>
    <w:rsid w:val="4D3305A8"/>
    <w:rsid w:val="4D350D0E"/>
    <w:rsid w:val="4D3F6484"/>
    <w:rsid w:val="4D6E3879"/>
    <w:rsid w:val="4D745663"/>
    <w:rsid w:val="4D7C7674"/>
    <w:rsid w:val="4D82544F"/>
    <w:rsid w:val="4D8C7909"/>
    <w:rsid w:val="4D8F59FD"/>
    <w:rsid w:val="4D92106E"/>
    <w:rsid w:val="4D9261E8"/>
    <w:rsid w:val="4D9E2DC1"/>
    <w:rsid w:val="4DAA078F"/>
    <w:rsid w:val="4DB36DB9"/>
    <w:rsid w:val="4DCE70FA"/>
    <w:rsid w:val="4DD22AFA"/>
    <w:rsid w:val="4DD62BF9"/>
    <w:rsid w:val="4E0B14E4"/>
    <w:rsid w:val="4E1704A7"/>
    <w:rsid w:val="4E23518C"/>
    <w:rsid w:val="4E273521"/>
    <w:rsid w:val="4E2A0C90"/>
    <w:rsid w:val="4E410B76"/>
    <w:rsid w:val="4E424D26"/>
    <w:rsid w:val="4E5B0495"/>
    <w:rsid w:val="4E7207FA"/>
    <w:rsid w:val="4E752CEA"/>
    <w:rsid w:val="4E8422A0"/>
    <w:rsid w:val="4E907CFB"/>
    <w:rsid w:val="4E9950FB"/>
    <w:rsid w:val="4ECB50B4"/>
    <w:rsid w:val="4ED04F8C"/>
    <w:rsid w:val="4ED1758A"/>
    <w:rsid w:val="4ED8142B"/>
    <w:rsid w:val="4EE8435A"/>
    <w:rsid w:val="4EF0122F"/>
    <w:rsid w:val="4EF82B9A"/>
    <w:rsid w:val="4EF91025"/>
    <w:rsid w:val="4F150C25"/>
    <w:rsid w:val="4F1C137A"/>
    <w:rsid w:val="4F20273F"/>
    <w:rsid w:val="4F287015"/>
    <w:rsid w:val="4F2C304A"/>
    <w:rsid w:val="4F313EA6"/>
    <w:rsid w:val="4F337602"/>
    <w:rsid w:val="4F433FB4"/>
    <w:rsid w:val="4F4B7876"/>
    <w:rsid w:val="4F54107C"/>
    <w:rsid w:val="4F563E0C"/>
    <w:rsid w:val="4F5C6D12"/>
    <w:rsid w:val="4F625736"/>
    <w:rsid w:val="4F8D22F0"/>
    <w:rsid w:val="4F972CAE"/>
    <w:rsid w:val="4F9D3443"/>
    <w:rsid w:val="4FA03776"/>
    <w:rsid w:val="4FA07AA5"/>
    <w:rsid w:val="4FAD08B7"/>
    <w:rsid w:val="4FB37398"/>
    <w:rsid w:val="4FC538D4"/>
    <w:rsid w:val="4FC67D4D"/>
    <w:rsid w:val="4FCB181E"/>
    <w:rsid w:val="4FD12810"/>
    <w:rsid w:val="4FD25AB7"/>
    <w:rsid w:val="4FDB18BF"/>
    <w:rsid w:val="4FE513DA"/>
    <w:rsid w:val="4FF9384C"/>
    <w:rsid w:val="4FFC0899"/>
    <w:rsid w:val="50030919"/>
    <w:rsid w:val="50084CC8"/>
    <w:rsid w:val="50156507"/>
    <w:rsid w:val="50186FF8"/>
    <w:rsid w:val="502A6A6E"/>
    <w:rsid w:val="502A7898"/>
    <w:rsid w:val="50332A4B"/>
    <w:rsid w:val="5037402D"/>
    <w:rsid w:val="50377C0C"/>
    <w:rsid w:val="503C2774"/>
    <w:rsid w:val="503D239A"/>
    <w:rsid w:val="5042032C"/>
    <w:rsid w:val="50442ADA"/>
    <w:rsid w:val="50550D53"/>
    <w:rsid w:val="50655C3A"/>
    <w:rsid w:val="507A616F"/>
    <w:rsid w:val="507B10BA"/>
    <w:rsid w:val="508F0447"/>
    <w:rsid w:val="5091071B"/>
    <w:rsid w:val="50951856"/>
    <w:rsid w:val="50951A11"/>
    <w:rsid w:val="50B042E8"/>
    <w:rsid w:val="50B91566"/>
    <w:rsid w:val="50C465C7"/>
    <w:rsid w:val="50CA3587"/>
    <w:rsid w:val="50CB3A18"/>
    <w:rsid w:val="50D01849"/>
    <w:rsid w:val="50D219EA"/>
    <w:rsid w:val="50D37B65"/>
    <w:rsid w:val="50DA12E9"/>
    <w:rsid w:val="50E25AC6"/>
    <w:rsid w:val="50ED31CB"/>
    <w:rsid w:val="511B1DC4"/>
    <w:rsid w:val="512D23EF"/>
    <w:rsid w:val="51315A85"/>
    <w:rsid w:val="5135296C"/>
    <w:rsid w:val="513713FE"/>
    <w:rsid w:val="51394D5D"/>
    <w:rsid w:val="513E757E"/>
    <w:rsid w:val="51405126"/>
    <w:rsid w:val="514E4033"/>
    <w:rsid w:val="516C24CC"/>
    <w:rsid w:val="5172462B"/>
    <w:rsid w:val="51776605"/>
    <w:rsid w:val="51796A76"/>
    <w:rsid w:val="517F3E58"/>
    <w:rsid w:val="51994767"/>
    <w:rsid w:val="51BB45AB"/>
    <w:rsid w:val="51BD02B5"/>
    <w:rsid w:val="51BE6E62"/>
    <w:rsid w:val="51C66277"/>
    <w:rsid w:val="51CF545C"/>
    <w:rsid w:val="51D173CB"/>
    <w:rsid w:val="51E8612A"/>
    <w:rsid w:val="51EE4B00"/>
    <w:rsid w:val="51EF0887"/>
    <w:rsid w:val="51F80DE6"/>
    <w:rsid w:val="51F87F1F"/>
    <w:rsid w:val="51FC3C7B"/>
    <w:rsid w:val="51FF47D4"/>
    <w:rsid w:val="52044B15"/>
    <w:rsid w:val="52047141"/>
    <w:rsid w:val="52056020"/>
    <w:rsid w:val="520811F4"/>
    <w:rsid w:val="52097ED9"/>
    <w:rsid w:val="520C7FD6"/>
    <w:rsid w:val="521A0131"/>
    <w:rsid w:val="521E31C3"/>
    <w:rsid w:val="52350629"/>
    <w:rsid w:val="52502457"/>
    <w:rsid w:val="525943BE"/>
    <w:rsid w:val="525A1B95"/>
    <w:rsid w:val="525B49AA"/>
    <w:rsid w:val="525C40BA"/>
    <w:rsid w:val="52697583"/>
    <w:rsid w:val="52802D9F"/>
    <w:rsid w:val="5289543F"/>
    <w:rsid w:val="529156A9"/>
    <w:rsid w:val="52B03CD3"/>
    <w:rsid w:val="52B667CF"/>
    <w:rsid w:val="52BC3A6F"/>
    <w:rsid w:val="52C77183"/>
    <w:rsid w:val="52CD6C71"/>
    <w:rsid w:val="52CF59B5"/>
    <w:rsid w:val="52D57421"/>
    <w:rsid w:val="52E269D8"/>
    <w:rsid w:val="53097934"/>
    <w:rsid w:val="53130839"/>
    <w:rsid w:val="53150AFE"/>
    <w:rsid w:val="53191A81"/>
    <w:rsid w:val="531D131E"/>
    <w:rsid w:val="532C5FCC"/>
    <w:rsid w:val="53346D18"/>
    <w:rsid w:val="533C1B54"/>
    <w:rsid w:val="535B10E0"/>
    <w:rsid w:val="535C6CA4"/>
    <w:rsid w:val="53643F36"/>
    <w:rsid w:val="53644255"/>
    <w:rsid w:val="53777C39"/>
    <w:rsid w:val="537B33C5"/>
    <w:rsid w:val="53806A31"/>
    <w:rsid w:val="538B623A"/>
    <w:rsid w:val="53911283"/>
    <w:rsid w:val="53A41AC6"/>
    <w:rsid w:val="53C2407C"/>
    <w:rsid w:val="53C36B5B"/>
    <w:rsid w:val="53C8678E"/>
    <w:rsid w:val="53CC078E"/>
    <w:rsid w:val="53E25B13"/>
    <w:rsid w:val="53E26C1D"/>
    <w:rsid w:val="53EA725E"/>
    <w:rsid w:val="53F931F2"/>
    <w:rsid w:val="53FF2D24"/>
    <w:rsid w:val="541E4556"/>
    <w:rsid w:val="5425128C"/>
    <w:rsid w:val="543F4A61"/>
    <w:rsid w:val="54460F7D"/>
    <w:rsid w:val="54533803"/>
    <w:rsid w:val="546D2D9C"/>
    <w:rsid w:val="546D6DEA"/>
    <w:rsid w:val="546E1912"/>
    <w:rsid w:val="54751874"/>
    <w:rsid w:val="54760F0D"/>
    <w:rsid w:val="547B60E6"/>
    <w:rsid w:val="547C259B"/>
    <w:rsid w:val="548003B3"/>
    <w:rsid w:val="54804D27"/>
    <w:rsid w:val="548675C5"/>
    <w:rsid w:val="54896E4F"/>
    <w:rsid w:val="54926265"/>
    <w:rsid w:val="549E6A6B"/>
    <w:rsid w:val="54AA4A25"/>
    <w:rsid w:val="54B13CC8"/>
    <w:rsid w:val="54CF7AA4"/>
    <w:rsid w:val="54FD203D"/>
    <w:rsid w:val="55034B97"/>
    <w:rsid w:val="55144338"/>
    <w:rsid w:val="551C2394"/>
    <w:rsid w:val="552F1527"/>
    <w:rsid w:val="55610924"/>
    <w:rsid w:val="55641560"/>
    <w:rsid w:val="55661F88"/>
    <w:rsid w:val="55735F9A"/>
    <w:rsid w:val="5575728F"/>
    <w:rsid w:val="55775554"/>
    <w:rsid w:val="557E349F"/>
    <w:rsid w:val="55857D07"/>
    <w:rsid w:val="558A3A8D"/>
    <w:rsid w:val="55912346"/>
    <w:rsid w:val="55965392"/>
    <w:rsid w:val="5597412C"/>
    <w:rsid w:val="55A20E47"/>
    <w:rsid w:val="55A711C1"/>
    <w:rsid w:val="55B85D23"/>
    <w:rsid w:val="55BC6B8B"/>
    <w:rsid w:val="55CA328D"/>
    <w:rsid w:val="55CD76BE"/>
    <w:rsid w:val="55D32EF1"/>
    <w:rsid w:val="55DB213E"/>
    <w:rsid w:val="55E86DCA"/>
    <w:rsid w:val="55ED1BF4"/>
    <w:rsid w:val="55F9042C"/>
    <w:rsid w:val="56021B6F"/>
    <w:rsid w:val="5610613D"/>
    <w:rsid w:val="561F6455"/>
    <w:rsid w:val="56200E2D"/>
    <w:rsid w:val="56280409"/>
    <w:rsid w:val="56285179"/>
    <w:rsid w:val="56312173"/>
    <w:rsid w:val="563C0A0D"/>
    <w:rsid w:val="563E5FCF"/>
    <w:rsid w:val="564122E2"/>
    <w:rsid w:val="56416EEE"/>
    <w:rsid w:val="56447B4C"/>
    <w:rsid w:val="56481F9D"/>
    <w:rsid w:val="564E5BED"/>
    <w:rsid w:val="5656147F"/>
    <w:rsid w:val="56751F21"/>
    <w:rsid w:val="56776131"/>
    <w:rsid w:val="56975E15"/>
    <w:rsid w:val="569F68C0"/>
    <w:rsid w:val="56A47522"/>
    <w:rsid w:val="56B93684"/>
    <w:rsid w:val="56BB6724"/>
    <w:rsid w:val="56BD77AA"/>
    <w:rsid w:val="56C672BB"/>
    <w:rsid w:val="56D33059"/>
    <w:rsid w:val="56D957A5"/>
    <w:rsid w:val="56E31688"/>
    <w:rsid w:val="56F9318B"/>
    <w:rsid w:val="56FA4D63"/>
    <w:rsid w:val="56FC6374"/>
    <w:rsid w:val="56FF583A"/>
    <w:rsid w:val="57052653"/>
    <w:rsid w:val="570F733E"/>
    <w:rsid w:val="5720002A"/>
    <w:rsid w:val="573815C6"/>
    <w:rsid w:val="573E6856"/>
    <w:rsid w:val="57416AB0"/>
    <w:rsid w:val="574B229D"/>
    <w:rsid w:val="574D2731"/>
    <w:rsid w:val="57515304"/>
    <w:rsid w:val="577670CF"/>
    <w:rsid w:val="578F46C0"/>
    <w:rsid w:val="57953D9D"/>
    <w:rsid w:val="57970A24"/>
    <w:rsid w:val="57AA0521"/>
    <w:rsid w:val="57C41FC8"/>
    <w:rsid w:val="57F85037"/>
    <w:rsid w:val="57FA2EDD"/>
    <w:rsid w:val="57FB0792"/>
    <w:rsid w:val="57FD284F"/>
    <w:rsid w:val="57FE7B4F"/>
    <w:rsid w:val="580D082E"/>
    <w:rsid w:val="581257B5"/>
    <w:rsid w:val="58190418"/>
    <w:rsid w:val="581A7D07"/>
    <w:rsid w:val="58303FE2"/>
    <w:rsid w:val="5835456B"/>
    <w:rsid w:val="5863776C"/>
    <w:rsid w:val="58653548"/>
    <w:rsid w:val="586A31C0"/>
    <w:rsid w:val="58806851"/>
    <w:rsid w:val="588F21C6"/>
    <w:rsid w:val="58C60AE0"/>
    <w:rsid w:val="58CA017F"/>
    <w:rsid w:val="59061786"/>
    <w:rsid w:val="59095D32"/>
    <w:rsid w:val="59141B14"/>
    <w:rsid w:val="591C79C7"/>
    <w:rsid w:val="592528A1"/>
    <w:rsid w:val="593B7644"/>
    <w:rsid w:val="5952277E"/>
    <w:rsid w:val="595256C7"/>
    <w:rsid w:val="5959659C"/>
    <w:rsid w:val="59611E7E"/>
    <w:rsid w:val="59641322"/>
    <w:rsid w:val="59705C12"/>
    <w:rsid w:val="598B375B"/>
    <w:rsid w:val="598D5A3B"/>
    <w:rsid w:val="599348C5"/>
    <w:rsid w:val="5997268E"/>
    <w:rsid w:val="599B4B75"/>
    <w:rsid w:val="599E7434"/>
    <w:rsid w:val="59BA43FA"/>
    <w:rsid w:val="59BD18EB"/>
    <w:rsid w:val="59BD7968"/>
    <w:rsid w:val="59DA2707"/>
    <w:rsid w:val="59DC5E01"/>
    <w:rsid w:val="59EF07B4"/>
    <w:rsid w:val="5A0248FB"/>
    <w:rsid w:val="5A065F42"/>
    <w:rsid w:val="5A12197A"/>
    <w:rsid w:val="5A186AF5"/>
    <w:rsid w:val="5A190EBC"/>
    <w:rsid w:val="5A26093A"/>
    <w:rsid w:val="5A44392F"/>
    <w:rsid w:val="5A5D140E"/>
    <w:rsid w:val="5A6B5BB1"/>
    <w:rsid w:val="5A720FC7"/>
    <w:rsid w:val="5A950427"/>
    <w:rsid w:val="5AA13B98"/>
    <w:rsid w:val="5AA355F1"/>
    <w:rsid w:val="5ABD2384"/>
    <w:rsid w:val="5AC9088C"/>
    <w:rsid w:val="5ADF461C"/>
    <w:rsid w:val="5AEC174D"/>
    <w:rsid w:val="5AEE1824"/>
    <w:rsid w:val="5B143071"/>
    <w:rsid w:val="5B1A634F"/>
    <w:rsid w:val="5B1E01A8"/>
    <w:rsid w:val="5B211DAA"/>
    <w:rsid w:val="5B2301FB"/>
    <w:rsid w:val="5B25665B"/>
    <w:rsid w:val="5B270734"/>
    <w:rsid w:val="5B2A667C"/>
    <w:rsid w:val="5B2C1AAE"/>
    <w:rsid w:val="5B2E7A44"/>
    <w:rsid w:val="5B33171B"/>
    <w:rsid w:val="5B3D428D"/>
    <w:rsid w:val="5B49688B"/>
    <w:rsid w:val="5B567BDC"/>
    <w:rsid w:val="5B6E2600"/>
    <w:rsid w:val="5B6E6626"/>
    <w:rsid w:val="5B6F1D5A"/>
    <w:rsid w:val="5B704E79"/>
    <w:rsid w:val="5B945401"/>
    <w:rsid w:val="5BAF706A"/>
    <w:rsid w:val="5BBF69FA"/>
    <w:rsid w:val="5BCB0893"/>
    <w:rsid w:val="5BD17E5D"/>
    <w:rsid w:val="5BD34926"/>
    <w:rsid w:val="5BD54AAC"/>
    <w:rsid w:val="5BE364CF"/>
    <w:rsid w:val="5C0068E0"/>
    <w:rsid w:val="5C0226DF"/>
    <w:rsid w:val="5C031F8B"/>
    <w:rsid w:val="5C041045"/>
    <w:rsid w:val="5C2C2AF6"/>
    <w:rsid w:val="5C3126D9"/>
    <w:rsid w:val="5C374179"/>
    <w:rsid w:val="5C497BCE"/>
    <w:rsid w:val="5C56241F"/>
    <w:rsid w:val="5C565FC5"/>
    <w:rsid w:val="5C637C19"/>
    <w:rsid w:val="5C6F215E"/>
    <w:rsid w:val="5C7B5022"/>
    <w:rsid w:val="5C821B72"/>
    <w:rsid w:val="5C863143"/>
    <w:rsid w:val="5CAC0064"/>
    <w:rsid w:val="5CAE7659"/>
    <w:rsid w:val="5CB840DD"/>
    <w:rsid w:val="5CBF3C9C"/>
    <w:rsid w:val="5CCC5C13"/>
    <w:rsid w:val="5CD178BB"/>
    <w:rsid w:val="5CD71C3A"/>
    <w:rsid w:val="5CDE678D"/>
    <w:rsid w:val="5CE16413"/>
    <w:rsid w:val="5D03231A"/>
    <w:rsid w:val="5D063714"/>
    <w:rsid w:val="5D0E6A6E"/>
    <w:rsid w:val="5D101720"/>
    <w:rsid w:val="5D1515CF"/>
    <w:rsid w:val="5D1530C9"/>
    <w:rsid w:val="5D1A0F94"/>
    <w:rsid w:val="5D24066A"/>
    <w:rsid w:val="5D2A5D36"/>
    <w:rsid w:val="5D3243F4"/>
    <w:rsid w:val="5D385DD4"/>
    <w:rsid w:val="5D48645E"/>
    <w:rsid w:val="5D4A4AB0"/>
    <w:rsid w:val="5D4F7718"/>
    <w:rsid w:val="5D5F1471"/>
    <w:rsid w:val="5D643E13"/>
    <w:rsid w:val="5D6934F6"/>
    <w:rsid w:val="5D8441C5"/>
    <w:rsid w:val="5D9748FF"/>
    <w:rsid w:val="5DAB79DA"/>
    <w:rsid w:val="5DBB3CDD"/>
    <w:rsid w:val="5DC818EF"/>
    <w:rsid w:val="5DD16F74"/>
    <w:rsid w:val="5DD36C88"/>
    <w:rsid w:val="5DDB0B57"/>
    <w:rsid w:val="5DE46844"/>
    <w:rsid w:val="5DF37942"/>
    <w:rsid w:val="5DFC4D26"/>
    <w:rsid w:val="5E0425FF"/>
    <w:rsid w:val="5E2005EB"/>
    <w:rsid w:val="5E255DCE"/>
    <w:rsid w:val="5E2E112F"/>
    <w:rsid w:val="5E3639A7"/>
    <w:rsid w:val="5E3648AC"/>
    <w:rsid w:val="5E376C7C"/>
    <w:rsid w:val="5E4F27B4"/>
    <w:rsid w:val="5E6701D3"/>
    <w:rsid w:val="5E7234B1"/>
    <w:rsid w:val="5E727CAE"/>
    <w:rsid w:val="5E771A75"/>
    <w:rsid w:val="5E8327AE"/>
    <w:rsid w:val="5EA302AA"/>
    <w:rsid w:val="5EA57814"/>
    <w:rsid w:val="5ECA5930"/>
    <w:rsid w:val="5ED30963"/>
    <w:rsid w:val="5ED56507"/>
    <w:rsid w:val="5ED90D10"/>
    <w:rsid w:val="5EDD1255"/>
    <w:rsid w:val="5EE14405"/>
    <w:rsid w:val="5EEC088E"/>
    <w:rsid w:val="5F04000C"/>
    <w:rsid w:val="5F162CDE"/>
    <w:rsid w:val="5F2A0981"/>
    <w:rsid w:val="5F2B7CDD"/>
    <w:rsid w:val="5F3035DC"/>
    <w:rsid w:val="5F4151CB"/>
    <w:rsid w:val="5F474AD7"/>
    <w:rsid w:val="5F4B4F02"/>
    <w:rsid w:val="5F4B5089"/>
    <w:rsid w:val="5F4C21E0"/>
    <w:rsid w:val="5F563EEE"/>
    <w:rsid w:val="5F5F2F6B"/>
    <w:rsid w:val="5F702D12"/>
    <w:rsid w:val="5F76039D"/>
    <w:rsid w:val="5F8766B6"/>
    <w:rsid w:val="5FAF6176"/>
    <w:rsid w:val="5FB65FA2"/>
    <w:rsid w:val="5FBE7AD3"/>
    <w:rsid w:val="5FCA735D"/>
    <w:rsid w:val="5FCE287C"/>
    <w:rsid w:val="5FE32E16"/>
    <w:rsid w:val="5FE42AA3"/>
    <w:rsid w:val="5FE5257E"/>
    <w:rsid w:val="5FEB52F0"/>
    <w:rsid w:val="5FF1524F"/>
    <w:rsid w:val="601A5CAF"/>
    <w:rsid w:val="602222CE"/>
    <w:rsid w:val="60263BE4"/>
    <w:rsid w:val="602D5AA5"/>
    <w:rsid w:val="6045210A"/>
    <w:rsid w:val="604D3B8C"/>
    <w:rsid w:val="6067081B"/>
    <w:rsid w:val="606F6512"/>
    <w:rsid w:val="60703949"/>
    <w:rsid w:val="607E1EF8"/>
    <w:rsid w:val="607F2AA6"/>
    <w:rsid w:val="609166A9"/>
    <w:rsid w:val="60AE473B"/>
    <w:rsid w:val="60B03A6B"/>
    <w:rsid w:val="60B11EA5"/>
    <w:rsid w:val="60B30307"/>
    <w:rsid w:val="60CB25A0"/>
    <w:rsid w:val="60D46CDA"/>
    <w:rsid w:val="60D51FF4"/>
    <w:rsid w:val="60DD2795"/>
    <w:rsid w:val="60E271BF"/>
    <w:rsid w:val="60ED5C07"/>
    <w:rsid w:val="60FC3146"/>
    <w:rsid w:val="60FF218B"/>
    <w:rsid w:val="610B3544"/>
    <w:rsid w:val="61107785"/>
    <w:rsid w:val="611F5168"/>
    <w:rsid w:val="61271556"/>
    <w:rsid w:val="61472860"/>
    <w:rsid w:val="61616F24"/>
    <w:rsid w:val="61654E91"/>
    <w:rsid w:val="616B2956"/>
    <w:rsid w:val="617F7C01"/>
    <w:rsid w:val="618B6194"/>
    <w:rsid w:val="618E4C0F"/>
    <w:rsid w:val="61A80A5F"/>
    <w:rsid w:val="61B245A7"/>
    <w:rsid w:val="61C24302"/>
    <w:rsid w:val="61DB5A42"/>
    <w:rsid w:val="61F67900"/>
    <w:rsid w:val="620A0859"/>
    <w:rsid w:val="620F4F0A"/>
    <w:rsid w:val="621111FE"/>
    <w:rsid w:val="62146530"/>
    <w:rsid w:val="62165A76"/>
    <w:rsid w:val="622E3CC6"/>
    <w:rsid w:val="622F747C"/>
    <w:rsid w:val="62303CD1"/>
    <w:rsid w:val="62352AD3"/>
    <w:rsid w:val="62360436"/>
    <w:rsid w:val="625530D8"/>
    <w:rsid w:val="625C61E5"/>
    <w:rsid w:val="627053E8"/>
    <w:rsid w:val="62792F05"/>
    <w:rsid w:val="627D571F"/>
    <w:rsid w:val="6282766A"/>
    <w:rsid w:val="62830C67"/>
    <w:rsid w:val="628767F6"/>
    <w:rsid w:val="628D796D"/>
    <w:rsid w:val="628E6D1B"/>
    <w:rsid w:val="62925396"/>
    <w:rsid w:val="62944312"/>
    <w:rsid w:val="62946CFD"/>
    <w:rsid w:val="629924B1"/>
    <w:rsid w:val="62AB478F"/>
    <w:rsid w:val="62AE7075"/>
    <w:rsid w:val="62B91D60"/>
    <w:rsid w:val="62C96716"/>
    <w:rsid w:val="62D44E4B"/>
    <w:rsid w:val="62F22C9D"/>
    <w:rsid w:val="62F72A1C"/>
    <w:rsid w:val="62FA5BC9"/>
    <w:rsid w:val="630713A2"/>
    <w:rsid w:val="630B0B58"/>
    <w:rsid w:val="631D7B70"/>
    <w:rsid w:val="632F7F0D"/>
    <w:rsid w:val="634D560B"/>
    <w:rsid w:val="6354759D"/>
    <w:rsid w:val="63650572"/>
    <w:rsid w:val="6378286E"/>
    <w:rsid w:val="637A32CC"/>
    <w:rsid w:val="637D4611"/>
    <w:rsid w:val="63802E0C"/>
    <w:rsid w:val="63925529"/>
    <w:rsid w:val="6396509A"/>
    <w:rsid w:val="639756E3"/>
    <w:rsid w:val="639F62E7"/>
    <w:rsid w:val="63AF0039"/>
    <w:rsid w:val="63AF7223"/>
    <w:rsid w:val="63AF77FD"/>
    <w:rsid w:val="63C57D3A"/>
    <w:rsid w:val="63CC6CE6"/>
    <w:rsid w:val="63D42ADA"/>
    <w:rsid w:val="63D93022"/>
    <w:rsid w:val="63EC5463"/>
    <w:rsid w:val="63F341F0"/>
    <w:rsid w:val="63FE2CA9"/>
    <w:rsid w:val="64027737"/>
    <w:rsid w:val="640F7067"/>
    <w:rsid w:val="641A4951"/>
    <w:rsid w:val="64275743"/>
    <w:rsid w:val="643F4645"/>
    <w:rsid w:val="64403FC6"/>
    <w:rsid w:val="64497359"/>
    <w:rsid w:val="64575CDA"/>
    <w:rsid w:val="645A0E3A"/>
    <w:rsid w:val="64754A74"/>
    <w:rsid w:val="648539B7"/>
    <w:rsid w:val="64880C5C"/>
    <w:rsid w:val="649D3201"/>
    <w:rsid w:val="64A17F98"/>
    <w:rsid w:val="64A73469"/>
    <w:rsid w:val="64AE2B76"/>
    <w:rsid w:val="64D2193C"/>
    <w:rsid w:val="64DF0480"/>
    <w:rsid w:val="64F03038"/>
    <w:rsid w:val="64F1298B"/>
    <w:rsid w:val="64F2678E"/>
    <w:rsid w:val="650671E5"/>
    <w:rsid w:val="65093DC8"/>
    <w:rsid w:val="65332750"/>
    <w:rsid w:val="65460844"/>
    <w:rsid w:val="654D27F1"/>
    <w:rsid w:val="65500AF6"/>
    <w:rsid w:val="655E0C5E"/>
    <w:rsid w:val="6571321B"/>
    <w:rsid w:val="65767411"/>
    <w:rsid w:val="658A6A98"/>
    <w:rsid w:val="659F5BC5"/>
    <w:rsid w:val="65B25368"/>
    <w:rsid w:val="65C03E05"/>
    <w:rsid w:val="65CA179A"/>
    <w:rsid w:val="65D06A0F"/>
    <w:rsid w:val="65E57784"/>
    <w:rsid w:val="65E72127"/>
    <w:rsid w:val="65EC6A21"/>
    <w:rsid w:val="65F5634F"/>
    <w:rsid w:val="65FD16B1"/>
    <w:rsid w:val="660B7EB4"/>
    <w:rsid w:val="661D184A"/>
    <w:rsid w:val="663164BB"/>
    <w:rsid w:val="663E13E8"/>
    <w:rsid w:val="66551137"/>
    <w:rsid w:val="666700B0"/>
    <w:rsid w:val="667800C7"/>
    <w:rsid w:val="6688513B"/>
    <w:rsid w:val="668D75EB"/>
    <w:rsid w:val="66B16529"/>
    <w:rsid w:val="66B2581A"/>
    <w:rsid w:val="66B84B34"/>
    <w:rsid w:val="66E414A7"/>
    <w:rsid w:val="66E50EBF"/>
    <w:rsid w:val="66EB60E4"/>
    <w:rsid w:val="66F124DD"/>
    <w:rsid w:val="66FE566D"/>
    <w:rsid w:val="670F7B81"/>
    <w:rsid w:val="671D5F3E"/>
    <w:rsid w:val="6728247B"/>
    <w:rsid w:val="673F0C86"/>
    <w:rsid w:val="675726C7"/>
    <w:rsid w:val="675D0E98"/>
    <w:rsid w:val="676351C3"/>
    <w:rsid w:val="67635867"/>
    <w:rsid w:val="676C7C87"/>
    <w:rsid w:val="677705E2"/>
    <w:rsid w:val="67801064"/>
    <w:rsid w:val="67822AE0"/>
    <w:rsid w:val="67932815"/>
    <w:rsid w:val="6798616B"/>
    <w:rsid w:val="67AB0822"/>
    <w:rsid w:val="67E4696F"/>
    <w:rsid w:val="67E87558"/>
    <w:rsid w:val="680E2EAB"/>
    <w:rsid w:val="68122132"/>
    <w:rsid w:val="68215A49"/>
    <w:rsid w:val="682B5FE8"/>
    <w:rsid w:val="6833099D"/>
    <w:rsid w:val="6837011A"/>
    <w:rsid w:val="683C015E"/>
    <w:rsid w:val="684525F3"/>
    <w:rsid w:val="684B0389"/>
    <w:rsid w:val="685C5D91"/>
    <w:rsid w:val="686859C7"/>
    <w:rsid w:val="687A513F"/>
    <w:rsid w:val="687D1AE7"/>
    <w:rsid w:val="687D74FF"/>
    <w:rsid w:val="688032BA"/>
    <w:rsid w:val="68837A00"/>
    <w:rsid w:val="68892F8B"/>
    <w:rsid w:val="68902FD7"/>
    <w:rsid w:val="68907F38"/>
    <w:rsid w:val="68987513"/>
    <w:rsid w:val="68C40CAF"/>
    <w:rsid w:val="68CD35F2"/>
    <w:rsid w:val="68E74312"/>
    <w:rsid w:val="68ED260C"/>
    <w:rsid w:val="690533AD"/>
    <w:rsid w:val="690E7A7D"/>
    <w:rsid w:val="691D1F99"/>
    <w:rsid w:val="69261AD2"/>
    <w:rsid w:val="69277A56"/>
    <w:rsid w:val="6935276D"/>
    <w:rsid w:val="69714FB9"/>
    <w:rsid w:val="697517A9"/>
    <w:rsid w:val="6978030C"/>
    <w:rsid w:val="69876407"/>
    <w:rsid w:val="699A6DC0"/>
    <w:rsid w:val="69A40B86"/>
    <w:rsid w:val="69AD1853"/>
    <w:rsid w:val="69AE002F"/>
    <w:rsid w:val="69AE4D46"/>
    <w:rsid w:val="69B12B20"/>
    <w:rsid w:val="69B60300"/>
    <w:rsid w:val="69BA10C4"/>
    <w:rsid w:val="69C41E44"/>
    <w:rsid w:val="69D41B4F"/>
    <w:rsid w:val="69DE3067"/>
    <w:rsid w:val="69E12F9C"/>
    <w:rsid w:val="69F72C15"/>
    <w:rsid w:val="6A08772E"/>
    <w:rsid w:val="6A1305E0"/>
    <w:rsid w:val="6A150099"/>
    <w:rsid w:val="6A222DC0"/>
    <w:rsid w:val="6A2C2DFA"/>
    <w:rsid w:val="6A2F21D1"/>
    <w:rsid w:val="6A3475BD"/>
    <w:rsid w:val="6A3D247C"/>
    <w:rsid w:val="6A3E7E0D"/>
    <w:rsid w:val="6A5B25BB"/>
    <w:rsid w:val="6A775068"/>
    <w:rsid w:val="6A8853F8"/>
    <w:rsid w:val="6A931CEE"/>
    <w:rsid w:val="6ABF312C"/>
    <w:rsid w:val="6AD177E4"/>
    <w:rsid w:val="6ADB5B74"/>
    <w:rsid w:val="6AE618A8"/>
    <w:rsid w:val="6AE73744"/>
    <w:rsid w:val="6B120184"/>
    <w:rsid w:val="6B1E101D"/>
    <w:rsid w:val="6B24340D"/>
    <w:rsid w:val="6B246AB3"/>
    <w:rsid w:val="6B353939"/>
    <w:rsid w:val="6B416367"/>
    <w:rsid w:val="6B4D32E1"/>
    <w:rsid w:val="6B525D8F"/>
    <w:rsid w:val="6B640C33"/>
    <w:rsid w:val="6B6803E6"/>
    <w:rsid w:val="6B792FEC"/>
    <w:rsid w:val="6B803412"/>
    <w:rsid w:val="6B900DBD"/>
    <w:rsid w:val="6B911133"/>
    <w:rsid w:val="6B91514D"/>
    <w:rsid w:val="6B9D3E73"/>
    <w:rsid w:val="6B9F15BE"/>
    <w:rsid w:val="6BA27BF6"/>
    <w:rsid w:val="6BB407C7"/>
    <w:rsid w:val="6BC10C45"/>
    <w:rsid w:val="6BC33D60"/>
    <w:rsid w:val="6BF76151"/>
    <w:rsid w:val="6C006635"/>
    <w:rsid w:val="6C0A3C69"/>
    <w:rsid w:val="6C0A60C5"/>
    <w:rsid w:val="6C0F2FD8"/>
    <w:rsid w:val="6C126E67"/>
    <w:rsid w:val="6C2572B0"/>
    <w:rsid w:val="6C2B5B04"/>
    <w:rsid w:val="6C516128"/>
    <w:rsid w:val="6C5F5087"/>
    <w:rsid w:val="6C63417D"/>
    <w:rsid w:val="6C7A3FD7"/>
    <w:rsid w:val="6C7D58E3"/>
    <w:rsid w:val="6C830CC6"/>
    <w:rsid w:val="6C950391"/>
    <w:rsid w:val="6CA2118E"/>
    <w:rsid w:val="6CA81D4E"/>
    <w:rsid w:val="6CAD5587"/>
    <w:rsid w:val="6CE66B81"/>
    <w:rsid w:val="6CF310F5"/>
    <w:rsid w:val="6D07409C"/>
    <w:rsid w:val="6D123345"/>
    <w:rsid w:val="6D1D4109"/>
    <w:rsid w:val="6D2D6FF9"/>
    <w:rsid w:val="6D2F44AF"/>
    <w:rsid w:val="6D3510A0"/>
    <w:rsid w:val="6D3B42B5"/>
    <w:rsid w:val="6D430FDE"/>
    <w:rsid w:val="6D433279"/>
    <w:rsid w:val="6D46391A"/>
    <w:rsid w:val="6D59654E"/>
    <w:rsid w:val="6D680F4C"/>
    <w:rsid w:val="6D7415C4"/>
    <w:rsid w:val="6D8E2ACA"/>
    <w:rsid w:val="6D981362"/>
    <w:rsid w:val="6DA6253A"/>
    <w:rsid w:val="6DBC1F2E"/>
    <w:rsid w:val="6DC37B17"/>
    <w:rsid w:val="6DE87945"/>
    <w:rsid w:val="6E1C4C53"/>
    <w:rsid w:val="6E2D425A"/>
    <w:rsid w:val="6E2E2E5B"/>
    <w:rsid w:val="6E360966"/>
    <w:rsid w:val="6E390925"/>
    <w:rsid w:val="6E5056E4"/>
    <w:rsid w:val="6E506EE6"/>
    <w:rsid w:val="6E590DFF"/>
    <w:rsid w:val="6E6C229B"/>
    <w:rsid w:val="6E8F1F57"/>
    <w:rsid w:val="6E9E234A"/>
    <w:rsid w:val="6EA32A96"/>
    <w:rsid w:val="6EC97093"/>
    <w:rsid w:val="6EE47599"/>
    <w:rsid w:val="6EE94EC6"/>
    <w:rsid w:val="6EF1371D"/>
    <w:rsid w:val="6F011501"/>
    <w:rsid w:val="6F023D8C"/>
    <w:rsid w:val="6F0257DE"/>
    <w:rsid w:val="6F23515B"/>
    <w:rsid w:val="6F3B0BDE"/>
    <w:rsid w:val="6F402B28"/>
    <w:rsid w:val="6F423C69"/>
    <w:rsid w:val="6F4724C2"/>
    <w:rsid w:val="6F4E08D5"/>
    <w:rsid w:val="6F6452BD"/>
    <w:rsid w:val="6F712F57"/>
    <w:rsid w:val="6F7465EA"/>
    <w:rsid w:val="6F857AE0"/>
    <w:rsid w:val="6F867A30"/>
    <w:rsid w:val="6F8B57C5"/>
    <w:rsid w:val="6F950765"/>
    <w:rsid w:val="6F9D5D20"/>
    <w:rsid w:val="6FAB3A80"/>
    <w:rsid w:val="6FC13752"/>
    <w:rsid w:val="6FDC486E"/>
    <w:rsid w:val="6FDD0DF2"/>
    <w:rsid w:val="6FF21D48"/>
    <w:rsid w:val="6FFC1F27"/>
    <w:rsid w:val="7000220F"/>
    <w:rsid w:val="700030C2"/>
    <w:rsid w:val="70071361"/>
    <w:rsid w:val="70191935"/>
    <w:rsid w:val="702F5B27"/>
    <w:rsid w:val="70387B4D"/>
    <w:rsid w:val="70390AA8"/>
    <w:rsid w:val="70434BAE"/>
    <w:rsid w:val="704C7162"/>
    <w:rsid w:val="70592819"/>
    <w:rsid w:val="70623254"/>
    <w:rsid w:val="70646635"/>
    <w:rsid w:val="708A005B"/>
    <w:rsid w:val="709A1ACE"/>
    <w:rsid w:val="70A360FD"/>
    <w:rsid w:val="70C12083"/>
    <w:rsid w:val="70CE0267"/>
    <w:rsid w:val="70FB1141"/>
    <w:rsid w:val="710526C5"/>
    <w:rsid w:val="71056331"/>
    <w:rsid w:val="71246730"/>
    <w:rsid w:val="712C3E66"/>
    <w:rsid w:val="712E496A"/>
    <w:rsid w:val="71330683"/>
    <w:rsid w:val="713421EA"/>
    <w:rsid w:val="71376F11"/>
    <w:rsid w:val="71495AA7"/>
    <w:rsid w:val="7161069F"/>
    <w:rsid w:val="717D0D2E"/>
    <w:rsid w:val="71AC615A"/>
    <w:rsid w:val="71AF5E65"/>
    <w:rsid w:val="71C868B0"/>
    <w:rsid w:val="71DE374B"/>
    <w:rsid w:val="71E9334D"/>
    <w:rsid w:val="71FE6F71"/>
    <w:rsid w:val="72030BCB"/>
    <w:rsid w:val="721204F6"/>
    <w:rsid w:val="72152E18"/>
    <w:rsid w:val="72172CB8"/>
    <w:rsid w:val="721F7BA7"/>
    <w:rsid w:val="72265798"/>
    <w:rsid w:val="723F7BF0"/>
    <w:rsid w:val="72432734"/>
    <w:rsid w:val="72530A81"/>
    <w:rsid w:val="72564765"/>
    <w:rsid w:val="72565E5F"/>
    <w:rsid w:val="7274632E"/>
    <w:rsid w:val="727C1E29"/>
    <w:rsid w:val="728E4D28"/>
    <w:rsid w:val="728F7577"/>
    <w:rsid w:val="72B92FBE"/>
    <w:rsid w:val="72CC0F85"/>
    <w:rsid w:val="72DC3409"/>
    <w:rsid w:val="72ED1BEF"/>
    <w:rsid w:val="72FA6AFC"/>
    <w:rsid w:val="73062A20"/>
    <w:rsid w:val="73153D18"/>
    <w:rsid w:val="73161E68"/>
    <w:rsid w:val="731C0905"/>
    <w:rsid w:val="733520DE"/>
    <w:rsid w:val="733621F3"/>
    <w:rsid w:val="733E2848"/>
    <w:rsid w:val="734519C4"/>
    <w:rsid w:val="734C35D1"/>
    <w:rsid w:val="73673C28"/>
    <w:rsid w:val="73844B08"/>
    <w:rsid w:val="73877CEE"/>
    <w:rsid w:val="7396766C"/>
    <w:rsid w:val="73A13A7F"/>
    <w:rsid w:val="73A741B0"/>
    <w:rsid w:val="73A80A49"/>
    <w:rsid w:val="73AE17B0"/>
    <w:rsid w:val="73B665B2"/>
    <w:rsid w:val="73BE2F4B"/>
    <w:rsid w:val="73F050B8"/>
    <w:rsid w:val="73F91B16"/>
    <w:rsid w:val="73FA3E78"/>
    <w:rsid w:val="74112CEA"/>
    <w:rsid w:val="742C229A"/>
    <w:rsid w:val="74313FA6"/>
    <w:rsid w:val="74376743"/>
    <w:rsid w:val="743E468F"/>
    <w:rsid w:val="743E68EE"/>
    <w:rsid w:val="74443164"/>
    <w:rsid w:val="745F7070"/>
    <w:rsid w:val="747344EE"/>
    <w:rsid w:val="74917AE6"/>
    <w:rsid w:val="749711CC"/>
    <w:rsid w:val="74A67247"/>
    <w:rsid w:val="74B0111A"/>
    <w:rsid w:val="74D01382"/>
    <w:rsid w:val="74D047A4"/>
    <w:rsid w:val="74D932C6"/>
    <w:rsid w:val="74E04D1F"/>
    <w:rsid w:val="74E15312"/>
    <w:rsid w:val="74EE1900"/>
    <w:rsid w:val="74F22AC8"/>
    <w:rsid w:val="74F87BDC"/>
    <w:rsid w:val="74FA150E"/>
    <w:rsid w:val="751752B1"/>
    <w:rsid w:val="75234F99"/>
    <w:rsid w:val="75345812"/>
    <w:rsid w:val="754D0BAB"/>
    <w:rsid w:val="755917B9"/>
    <w:rsid w:val="75680E86"/>
    <w:rsid w:val="75806581"/>
    <w:rsid w:val="75815CCC"/>
    <w:rsid w:val="75983E8A"/>
    <w:rsid w:val="75994197"/>
    <w:rsid w:val="759E276C"/>
    <w:rsid w:val="759E49CF"/>
    <w:rsid w:val="75AB73DB"/>
    <w:rsid w:val="75C651C5"/>
    <w:rsid w:val="75D01C4B"/>
    <w:rsid w:val="75D363C1"/>
    <w:rsid w:val="75DA6FA4"/>
    <w:rsid w:val="75E60DAB"/>
    <w:rsid w:val="75F00995"/>
    <w:rsid w:val="75F87BE4"/>
    <w:rsid w:val="76093A27"/>
    <w:rsid w:val="761D1C8C"/>
    <w:rsid w:val="76383143"/>
    <w:rsid w:val="763F6181"/>
    <w:rsid w:val="764C2010"/>
    <w:rsid w:val="76521CD8"/>
    <w:rsid w:val="768849D3"/>
    <w:rsid w:val="768E2E65"/>
    <w:rsid w:val="76976D56"/>
    <w:rsid w:val="76AF0F86"/>
    <w:rsid w:val="76B546A1"/>
    <w:rsid w:val="76C63CA2"/>
    <w:rsid w:val="76CD328C"/>
    <w:rsid w:val="76D41EEF"/>
    <w:rsid w:val="76D87789"/>
    <w:rsid w:val="76E07EFB"/>
    <w:rsid w:val="76E537F9"/>
    <w:rsid w:val="76F70E05"/>
    <w:rsid w:val="77057F7B"/>
    <w:rsid w:val="770B4AE7"/>
    <w:rsid w:val="77177E31"/>
    <w:rsid w:val="771D1970"/>
    <w:rsid w:val="77256E9A"/>
    <w:rsid w:val="772806D4"/>
    <w:rsid w:val="77330C10"/>
    <w:rsid w:val="77394D4B"/>
    <w:rsid w:val="774E64E2"/>
    <w:rsid w:val="77611AE5"/>
    <w:rsid w:val="77855711"/>
    <w:rsid w:val="77881191"/>
    <w:rsid w:val="77883CD9"/>
    <w:rsid w:val="7799530B"/>
    <w:rsid w:val="77A218D6"/>
    <w:rsid w:val="77D04527"/>
    <w:rsid w:val="77D22A44"/>
    <w:rsid w:val="77EA7450"/>
    <w:rsid w:val="77EB3967"/>
    <w:rsid w:val="780667F4"/>
    <w:rsid w:val="780E562F"/>
    <w:rsid w:val="781E0D03"/>
    <w:rsid w:val="783356BF"/>
    <w:rsid w:val="783438E7"/>
    <w:rsid w:val="78352E18"/>
    <w:rsid w:val="78387151"/>
    <w:rsid w:val="78396B06"/>
    <w:rsid w:val="783E296D"/>
    <w:rsid w:val="784F788C"/>
    <w:rsid w:val="78563E0F"/>
    <w:rsid w:val="785B6B6B"/>
    <w:rsid w:val="78651A50"/>
    <w:rsid w:val="78771894"/>
    <w:rsid w:val="787A4188"/>
    <w:rsid w:val="787A50B5"/>
    <w:rsid w:val="787C7854"/>
    <w:rsid w:val="7890550E"/>
    <w:rsid w:val="78A46152"/>
    <w:rsid w:val="78AA1566"/>
    <w:rsid w:val="78B446AC"/>
    <w:rsid w:val="78C510EF"/>
    <w:rsid w:val="78D34D21"/>
    <w:rsid w:val="78E538C1"/>
    <w:rsid w:val="78EC76A8"/>
    <w:rsid w:val="790012FD"/>
    <w:rsid w:val="790C41A4"/>
    <w:rsid w:val="790F0D45"/>
    <w:rsid w:val="791B0FC3"/>
    <w:rsid w:val="79220FE4"/>
    <w:rsid w:val="792F3158"/>
    <w:rsid w:val="79391EFE"/>
    <w:rsid w:val="793C127A"/>
    <w:rsid w:val="794479E5"/>
    <w:rsid w:val="794754C9"/>
    <w:rsid w:val="795D7E06"/>
    <w:rsid w:val="79641CAD"/>
    <w:rsid w:val="798006F5"/>
    <w:rsid w:val="7989016F"/>
    <w:rsid w:val="79963634"/>
    <w:rsid w:val="79970FEA"/>
    <w:rsid w:val="79A604B5"/>
    <w:rsid w:val="79AF1DB4"/>
    <w:rsid w:val="79B47A38"/>
    <w:rsid w:val="79BD1F9C"/>
    <w:rsid w:val="79C81C17"/>
    <w:rsid w:val="79CA3A5A"/>
    <w:rsid w:val="79CB1498"/>
    <w:rsid w:val="79D543DB"/>
    <w:rsid w:val="79EC0CCE"/>
    <w:rsid w:val="7A0345BA"/>
    <w:rsid w:val="7A0B145C"/>
    <w:rsid w:val="7A192417"/>
    <w:rsid w:val="7A294074"/>
    <w:rsid w:val="7A383775"/>
    <w:rsid w:val="7A3B0388"/>
    <w:rsid w:val="7A4B63BB"/>
    <w:rsid w:val="7A5531D5"/>
    <w:rsid w:val="7A5A63AC"/>
    <w:rsid w:val="7A6D7008"/>
    <w:rsid w:val="7A7175BA"/>
    <w:rsid w:val="7A7A156F"/>
    <w:rsid w:val="7A872D70"/>
    <w:rsid w:val="7A902AB7"/>
    <w:rsid w:val="7A98660A"/>
    <w:rsid w:val="7A997376"/>
    <w:rsid w:val="7A9C7695"/>
    <w:rsid w:val="7AAB5C46"/>
    <w:rsid w:val="7AB147BB"/>
    <w:rsid w:val="7AB621E1"/>
    <w:rsid w:val="7AE80FB6"/>
    <w:rsid w:val="7AEF1248"/>
    <w:rsid w:val="7AEF1E27"/>
    <w:rsid w:val="7AF44310"/>
    <w:rsid w:val="7AF70D64"/>
    <w:rsid w:val="7B0A07A4"/>
    <w:rsid w:val="7B0D5FAF"/>
    <w:rsid w:val="7B165168"/>
    <w:rsid w:val="7B2F2DA0"/>
    <w:rsid w:val="7B346F4C"/>
    <w:rsid w:val="7B3B051C"/>
    <w:rsid w:val="7B4617F6"/>
    <w:rsid w:val="7B593D06"/>
    <w:rsid w:val="7B61435B"/>
    <w:rsid w:val="7B821271"/>
    <w:rsid w:val="7BA245BB"/>
    <w:rsid w:val="7BA47A5F"/>
    <w:rsid w:val="7BAB7A9E"/>
    <w:rsid w:val="7BCD7470"/>
    <w:rsid w:val="7BDB0984"/>
    <w:rsid w:val="7BE9291A"/>
    <w:rsid w:val="7C040CCA"/>
    <w:rsid w:val="7C063F3A"/>
    <w:rsid w:val="7C0B41AD"/>
    <w:rsid w:val="7C0D33B3"/>
    <w:rsid w:val="7C1267E8"/>
    <w:rsid w:val="7C232751"/>
    <w:rsid w:val="7C267E15"/>
    <w:rsid w:val="7C2F6C9F"/>
    <w:rsid w:val="7C315767"/>
    <w:rsid w:val="7C375B90"/>
    <w:rsid w:val="7C412CC7"/>
    <w:rsid w:val="7C44613E"/>
    <w:rsid w:val="7C4775CA"/>
    <w:rsid w:val="7C53437D"/>
    <w:rsid w:val="7C5927A1"/>
    <w:rsid w:val="7C5B775D"/>
    <w:rsid w:val="7C5E78C9"/>
    <w:rsid w:val="7C7442C2"/>
    <w:rsid w:val="7C766DA6"/>
    <w:rsid w:val="7C8823EA"/>
    <w:rsid w:val="7C8B510D"/>
    <w:rsid w:val="7CA820FE"/>
    <w:rsid w:val="7CA90E1F"/>
    <w:rsid w:val="7CB3071F"/>
    <w:rsid w:val="7CBE232A"/>
    <w:rsid w:val="7CC8005A"/>
    <w:rsid w:val="7CCE4829"/>
    <w:rsid w:val="7CD1779F"/>
    <w:rsid w:val="7CD95593"/>
    <w:rsid w:val="7CEF7E39"/>
    <w:rsid w:val="7CFC300B"/>
    <w:rsid w:val="7D1E482F"/>
    <w:rsid w:val="7D2A358B"/>
    <w:rsid w:val="7D400F81"/>
    <w:rsid w:val="7D4E2368"/>
    <w:rsid w:val="7D4F7534"/>
    <w:rsid w:val="7D550A7D"/>
    <w:rsid w:val="7D5527D4"/>
    <w:rsid w:val="7D627EB2"/>
    <w:rsid w:val="7D710E13"/>
    <w:rsid w:val="7D8C66ED"/>
    <w:rsid w:val="7D9662DB"/>
    <w:rsid w:val="7DAE3EC3"/>
    <w:rsid w:val="7DB32671"/>
    <w:rsid w:val="7DBF5B95"/>
    <w:rsid w:val="7DC57E61"/>
    <w:rsid w:val="7DCB7F7E"/>
    <w:rsid w:val="7DD032D3"/>
    <w:rsid w:val="7DD54F34"/>
    <w:rsid w:val="7DE0311A"/>
    <w:rsid w:val="7DF83B86"/>
    <w:rsid w:val="7E020A25"/>
    <w:rsid w:val="7E121B66"/>
    <w:rsid w:val="7E142EBF"/>
    <w:rsid w:val="7E2E1E6E"/>
    <w:rsid w:val="7E366CC2"/>
    <w:rsid w:val="7E4A29B1"/>
    <w:rsid w:val="7E6E72D9"/>
    <w:rsid w:val="7E827FFC"/>
    <w:rsid w:val="7EAB095D"/>
    <w:rsid w:val="7EC11346"/>
    <w:rsid w:val="7ED14E80"/>
    <w:rsid w:val="7ED322ED"/>
    <w:rsid w:val="7EEC06C0"/>
    <w:rsid w:val="7EF21370"/>
    <w:rsid w:val="7EF72BF5"/>
    <w:rsid w:val="7F332191"/>
    <w:rsid w:val="7F377D5F"/>
    <w:rsid w:val="7F3D5067"/>
    <w:rsid w:val="7F486949"/>
    <w:rsid w:val="7F4934BB"/>
    <w:rsid w:val="7F4B4568"/>
    <w:rsid w:val="7F5E211B"/>
    <w:rsid w:val="7F667402"/>
    <w:rsid w:val="7F89022E"/>
    <w:rsid w:val="7F8A6E78"/>
    <w:rsid w:val="7F9D27D3"/>
    <w:rsid w:val="7FA132FF"/>
    <w:rsid w:val="7FA15AF1"/>
    <w:rsid w:val="7FD27833"/>
    <w:rsid w:val="7FE66ED7"/>
    <w:rsid w:val="7FEB55CA"/>
    <w:rsid w:val="7FFF285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qFormat="1"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spacing w:before="340" w:after="330" w:line="576" w:lineRule="auto"/>
      <w:outlineLvl w:val="0"/>
    </w:pPr>
    <w:rPr>
      <w:b/>
      <w:kern w:val="44"/>
      <w:sz w:val="44"/>
    </w:rPr>
  </w:style>
  <w:style w:type="paragraph" w:styleId="3">
    <w:name w:val="heading 2"/>
    <w:basedOn w:val="1"/>
    <w:next w:val="1"/>
    <w:qFormat/>
    <w:uiPriority w:val="0"/>
    <w:pPr>
      <w:keepNext/>
      <w:keepLines/>
      <w:spacing w:before="260" w:after="260" w:line="413" w:lineRule="auto"/>
      <w:outlineLvl w:val="1"/>
    </w:pPr>
    <w:rPr>
      <w:rFonts w:ascii="Arial" w:hAnsi="Arial" w:eastAsia="黑体"/>
      <w:b/>
      <w:sz w:val="32"/>
    </w:rPr>
  </w:style>
  <w:style w:type="character" w:default="1" w:styleId="15">
    <w:name w:val="Default Paragraph Font"/>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4">
    <w:name w:val="annotation text"/>
    <w:basedOn w:val="1"/>
    <w:qFormat/>
    <w:uiPriority w:val="0"/>
    <w:pPr>
      <w:jc w:val="left"/>
    </w:pPr>
  </w:style>
  <w:style w:type="paragraph" w:styleId="5">
    <w:name w:val="Body Text"/>
    <w:basedOn w:val="1"/>
    <w:qFormat/>
    <w:uiPriority w:val="0"/>
    <w:pPr>
      <w:spacing w:line="360" w:lineRule="auto"/>
      <w:ind w:firstLine="200" w:firstLineChars="200"/>
    </w:pPr>
    <w:rPr>
      <w:rFonts w:ascii="宋体"/>
      <w:sz w:val="24"/>
    </w:rPr>
  </w:style>
  <w:style w:type="paragraph" w:styleId="6">
    <w:name w:val="Date"/>
    <w:basedOn w:val="1"/>
    <w:next w:val="1"/>
    <w:link w:val="29"/>
    <w:qFormat/>
    <w:uiPriority w:val="0"/>
    <w:pPr>
      <w:ind w:left="100" w:leftChars="2500"/>
    </w:pPr>
  </w:style>
  <w:style w:type="paragraph" w:styleId="7">
    <w:name w:val="Balloon Text"/>
    <w:basedOn w:val="1"/>
    <w:link w:val="30"/>
    <w:qFormat/>
    <w:uiPriority w:val="0"/>
    <w:rPr>
      <w:sz w:val="18"/>
      <w:szCs w:val="18"/>
    </w:rPr>
  </w:style>
  <w:style w:type="paragraph" w:styleId="8">
    <w:name w:val="footer"/>
    <w:basedOn w:val="1"/>
    <w:qFormat/>
    <w:uiPriority w:val="0"/>
    <w:pPr>
      <w:tabs>
        <w:tab w:val="center" w:pos="4153"/>
        <w:tab w:val="right" w:pos="8306"/>
      </w:tabs>
    </w:pPr>
    <w:rPr>
      <w:sz w:val="18"/>
      <w:szCs w:val="18"/>
    </w:rPr>
  </w:style>
  <w:style w:type="paragraph" w:styleId="9">
    <w:name w:val="header"/>
    <w:basedOn w:val="1"/>
    <w:qFormat/>
    <w:uiPriority w:val="0"/>
    <w:pPr>
      <w:pBdr>
        <w:bottom w:val="single" w:color="auto" w:sz="6" w:space="1"/>
      </w:pBdr>
      <w:tabs>
        <w:tab w:val="center" w:pos="4153"/>
        <w:tab w:val="right" w:pos="8306"/>
      </w:tabs>
      <w:jc w:val="center"/>
    </w:pPr>
    <w:rPr>
      <w:sz w:val="18"/>
      <w:szCs w:val="18"/>
    </w:rPr>
  </w:style>
  <w:style w:type="paragraph" w:styleId="10">
    <w:name w:val="toc 1"/>
    <w:basedOn w:val="1"/>
    <w:next w:val="1"/>
    <w:qFormat/>
    <w:uiPriority w:val="0"/>
  </w:style>
  <w:style w:type="paragraph" w:styleId="11">
    <w:name w:val="toc 2"/>
    <w:basedOn w:val="1"/>
    <w:next w:val="1"/>
    <w:qFormat/>
    <w:uiPriority w:val="0"/>
    <w:pPr>
      <w:ind w:left="420" w:leftChars="200"/>
    </w:pPr>
  </w:style>
  <w:style w:type="table" w:styleId="13">
    <w:name w:val="Table Grid"/>
    <w:basedOn w:val="12"/>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4">
    <w:name w:val="Light Shading Accent 1"/>
    <w:basedOn w:val="12"/>
    <w:qFormat/>
    <w:uiPriority w:val="60"/>
    <w:rPr>
      <w:color w:val="2E75B6" w:themeColor="accent1" w:themeShade="BF"/>
      <w:sz w:val="22"/>
      <w:szCs w:val="22"/>
    </w:rPr>
    <w:tblPr>
      <w:tblBorders>
        <w:top w:val="single" w:color="5B9BD5" w:themeColor="accent1" w:sz="8" w:space="0"/>
        <w:bottom w:val="single" w:color="5B9BD5" w:themeColor="accent1" w:sz="8" w:space="0"/>
      </w:tblBorders>
    </w:tblPr>
    <w:tblStylePr w:type="firstRow">
      <w:pPr>
        <w:spacing w:before="0" w:after="0" w:line="240" w:lineRule="auto"/>
      </w:pPr>
      <w:rPr>
        <w:b/>
        <w:bCs/>
      </w:rPr>
      <w:tblPr/>
      <w:tcPr>
        <w:tcBorders>
          <w:top w:val="single" w:color="5B9BD5" w:themeColor="accent1" w:sz="8" w:space="0"/>
          <w:left w:val="nil"/>
          <w:bottom w:val="single" w:color="5B9BD5" w:themeColor="accent1" w:sz="8" w:space="0"/>
          <w:right w:val="nil"/>
          <w:insideH w:val="nil"/>
          <w:insideV w:val="nil"/>
        </w:tcBorders>
      </w:tcPr>
    </w:tblStylePr>
    <w:tblStylePr w:type="lastRow">
      <w:pPr>
        <w:spacing w:before="0" w:after="0" w:line="240" w:lineRule="auto"/>
      </w:pPr>
      <w:rPr>
        <w:b/>
        <w:bCs/>
      </w:rPr>
      <w:tblPr/>
      <w:tcPr>
        <w:tcBorders>
          <w:top w:val="single" w:color="5B9BD5" w:themeColor="accent1" w:sz="8" w:space="0"/>
          <w:left w:val="nil"/>
          <w:bottom w:val="single" w:color="5B9BD5" w:themeColor="accen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1" w:themeFillTint="3F"/>
      </w:tcPr>
    </w:tblStylePr>
    <w:tblStylePr w:type="band1Horz">
      <w:tblPr/>
      <w:tcPr>
        <w:tcBorders>
          <w:left w:val="nil"/>
          <w:right w:val="nil"/>
          <w:insideH w:val="nil"/>
          <w:insideV w:val="nil"/>
        </w:tcBorders>
        <w:shd w:val="clear" w:color="auto" w:fill="D6E6F4" w:themeFill="accent1" w:themeFillTint="3F"/>
      </w:tcPr>
    </w:tblStylePr>
  </w:style>
  <w:style w:type="character" w:styleId="16">
    <w:name w:val="Strong"/>
    <w:basedOn w:val="15"/>
    <w:qFormat/>
    <w:uiPriority w:val="0"/>
    <w:rPr>
      <w:b/>
      <w:bCs/>
    </w:rPr>
  </w:style>
  <w:style w:type="character" w:styleId="17">
    <w:name w:val="page number"/>
    <w:basedOn w:val="15"/>
    <w:qFormat/>
    <w:uiPriority w:val="0"/>
  </w:style>
  <w:style w:type="character" w:styleId="18">
    <w:name w:val="FollowedHyperlink"/>
    <w:basedOn w:val="15"/>
    <w:qFormat/>
    <w:uiPriority w:val="0"/>
    <w:rPr>
      <w:color w:val="0068A2"/>
      <w:u w:val="none"/>
    </w:rPr>
  </w:style>
  <w:style w:type="character" w:styleId="19">
    <w:name w:val="Emphasis"/>
    <w:basedOn w:val="15"/>
    <w:qFormat/>
    <w:uiPriority w:val="0"/>
  </w:style>
  <w:style w:type="character" w:styleId="20">
    <w:name w:val="Hyperlink"/>
    <w:basedOn w:val="15"/>
    <w:qFormat/>
    <w:uiPriority w:val="0"/>
    <w:rPr>
      <w:color w:val="0068A2"/>
      <w:u w:val="none"/>
    </w:rPr>
  </w:style>
  <w:style w:type="paragraph" w:customStyle="1" w:styleId="21">
    <w:name w:val="Default"/>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styleId="22">
    <w:name w:val="List Paragraph"/>
    <w:basedOn w:val="1"/>
    <w:qFormat/>
    <w:uiPriority w:val="34"/>
    <w:pPr>
      <w:ind w:firstLine="420" w:firstLineChars="200"/>
    </w:pPr>
  </w:style>
  <w:style w:type="paragraph" w:customStyle="1" w:styleId="23">
    <w:name w:val="Table Paragraph"/>
    <w:basedOn w:val="1"/>
    <w:qFormat/>
    <w:uiPriority w:val="1"/>
    <w:rPr>
      <w:rFonts w:eastAsia="Times New Roman"/>
      <w:lang w:eastAsia="en-US" w:bidi="en-US"/>
    </w:rPr>
  </w:style>
  <w:style w:type="paragraph" w:customStyle="1" w:styleId="24">
    <w:name w:val="表头"/>
    <w:basedOn w:val="1"/>
    <w:qFormat/>
    <w:uiPriority w:val="0"/>
    <w:pPr>
      <w:jc w:val="center"/>
    </w:pPr>
    <w:rPr>
      <w:b/>
      <w:sz w:val="32"/>
      <w:szCs w:val="32"/>
    </w:rPr>
  </w:style>
  <w:style w:type="character" w:customStyle="1" w:styleId="25">
    <w:name w:val="不明显强调1"/>
    <w:basedOn w:val="15"/>
    <w:qFormat/>
    <w:uiPriority w:val="19"/>
    <w:rPr>
      <w:rFonts w:eastAsiaTheme="minorEastAsia" w:cstheme="minorBidi"/>
      <w:i/>
      <w:iCs/>
      <w:color w:val="808080" w:themeColor="text1" w:themeTint="80"/>
      <w:szCs w:val="22"/>
      <w:lang w:eastAsia="zh-CN"/>
      <w14:textFill>
        <w14:solidFill>
          <w14:schemeClr w14:val="tx1">
            <w14:lumMod w14:val="50000"/>
            <w14:lumOff w14:val="50000"/>
          </w14:schemeClr>
        </w14:solidFill>
      </w14:textFill>
    </w:rPr>
  </w:style>
  <w:style w:type="character" w:customStyle="1" w:styleId="26">
    <w:name w:val="3级条编号 Char"/>
    <w:link w:val="27"/>
    <w:qFormat/>
    <w:uiPriority w:val="0"/>
    <w:rPr>
      <w:rFonts w:ascii="黑体" w:hAnsi="黑体" w:eastAsia="黑体"/>
      <w:color w:val="auto"/>
      <w:kern w:val="0"/>
      <w:szCs w:val="22"/>
      <w:lang w:eastAsia="en-US"/>
    </w:rPr>
  </w:style>
  <w:style w:type="paragraph" w:customStyle="1" w:styleId="27">
    <w:name w:val="3级条编号"/>
    <w:basedOn w:val="1"/>
    <w:link w:val="26"/>
    <w:qFormat/>
    <w:uiPriority w:val="0"/>
    <w:pPr>
      <w:spacing w:after="80"/>
      <w:ind w:left="210" w:leftChars="100" w:right="100" w:rightChars="100"/>
    </w:pPr>
    <w:rPr>
      <w:rFonts w:ascii="黑体" w:hAnsi="黑体" w:eastAsia="黑体"/>
      <w:kern w:val="0"/>
      <w:szCs w:val="22"/>
      <w:lang w:eastAsia="en-US"/>
    </w:rPr>
  </w:style>
  <w:style w:type="table" w:customStyle="1" w:styleId="28">
    <w:name w:val="网格型1"/>
    <w:basedOn w:val="12"/>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9">
    <w:name w:val="日期 字符"/>
    <w:basedOn w:val="15"/>
    <w:link w:val="6"/>
    <w:qFormat/>
    <w:uiPriority w:val="0"/>
    <w:rPr>
      <w:rFonts w:ascii="Times New Roman" w:hAnsi="Times New Roman"/>
      <w:kern w:val="2"/>
      <w:sz w:val="21"/>
      <w:szCs w:val="24"/>
    </w:rPr>
  </w:style>
  <w:style w:type="character" w:customStyle="1" w:styleId="30">
    <w:name w:val="批注框文本 字符"/>
    <w:basedOn w:val="15"/>
    <w:link w:val="7"/>
    <w:qFormat/>
    <w:uiPriority w:val="0"/>
    <w:rPr>
      <w:rFonts w:ascii="Times New Roman" w:hAnsi="Times New Roman"/>
      <w:kern w:val="2"/>
      <w:sz w:val="18"/>
      <w:szCs w:val="18"/>
    </w:rPr>
  </w:style>
  <w:style w:type="character" w:styleId="31">
    <w:name w:val="Placeholder Text"/>
    <w:basedOn w:val="15"/>
    <w:semiHidden/>
    <w:qFormat/>
    <w:uiPriority w:val="99"/>
    <w:rPr>
      <w:color w:val="808080"/>
    </w:rPr>
  </w:style>
  <w:style w:type="paragraph" w:customStyle="1" w:styleId="32">
    <w:name w:val="xl41"/>
    <w:basedOn w:val="1"/>
    <w:qFormat/>
    <w:uiPriority w:val="0"/>
    <w:pPr>
      <w:widowControl/>
      <w:pBdr>
        <w:bottom w:val="single" w:color="auto" w:sz="8" w:space="0"/>
        <w:right w:val="single" w:color="auto" w:sz="4" w:space="0"/>
      </w:pBdr>
      <w:adjustRightInd w:val="0"/>
      <w:snapToGrid w:val="0"/>
      <w:spacing w:before="100" w:beforeAutospacing="1" w:after="100" w:afterAutospacing="1" w:line="440" w:lineRule="exact"/>
      <w:ind w:firstLine="480" w:firstLineChars="200"/>
      <w:jc w:val="center"/>
      <w:textAlignment w:val="center"/>
    </w:pPr>
    <w:rPr>
      <w:rFonts w:ascii="宋体" w:hAnsi="宋体" w:eastAsia="仿宋_GB2312"/>
      <w:snapToGrid w:val="0"/>
      <w:kern w:val="0"/>
      <w:sz w:val="24"/>
    </w:rPr>
  </w:style>
  <w:style w:type="paragraph" w:customStyle="1" w:styleId="33">
    <w:name w:val="一级条标题"/>
    <w:next w:val="34"/>
    <w:qFormat/>
    <w:uiPriority w:val="0"/>
    <w:pPr>
      <w:numPr>
        <w:ilvl w:val="1"/>
        <w:numId w:val="1"/>
      </w:numPr>
      <w:spacing w:before="156" w:beforeLines="50" w:after="156" w:afterLines="50"/>
      <w:outlineLvl w:val="2"/>
    </w:pPr>
    <w:rPr>
      <w:rFonts w:ascii="黑体" w:hAnsi="Times New Roman" w:eastAsia="黑体" w:cs="Times New Roman"/>
      <w:sz w:val="21"/>
      <w:szCs w:val="21"/>
      <w:lang w:val="en-US" w:eastAsia="zh-CN" w:bidi="ar-SA"/>
    </w:rPr>
  </w:style>
  <w:style w:type="paragraph" w:customStyle="1" w:styleId="34">
    <w:name w:val="段"/>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lang w:val="en-US" w:eastAsia="zh-CN" w:bidi="ar-SA"/>
    </w:rPr>
  </w:style>
  <w:style w:type="character" w:customStyle="1" w:styleId="35">
    <w:name w:val="layui-laypage-curr"/>
    <w:basedOn w:val="15"/>
    <w:qFormat/>
    <w:uiPriority w:val="0"/>
  </w:style>
  <w:style w:type="character" w:customStyle="1" w:styleId="36">
    <w:name w:val="after"/>
    <w:basedOn w:val="15"/>
    <w:qFormat/>
    <w:uiPriority w:val="0"/>
  </w:style>
  <w:style w:type="character" w:customStyle="1" w:styleId="37">
    <w:name w:val="after1"/>
    <w:basedOn w:val="15"/>
    <w:qFormat/>
    <w:uiPriority w:val="0"/>
  </w:style>
  <w:style w:type="character" w:customStyle="1" w:styleId="38">
    <w:name w:val="layui-this4"/>
    <w:basedOn w:val="15"/>
    <w:qFormat/>
    <w:uiPriority w:val="0"/>
    <w:rPr>
      <w:bdr w:val="single" w:color="EEEEEE" w:sz="4" w:space="0"/>
      <w:shd w:val="clear" w:color="auto" w:fill="FFFFFF"/>
    </w:rPr>
  </w:style>
  <w:style w:type="character" w:customStyle="1" w:styleId="39">
    <w:name w:val="first-child"/>
    <w:basedOn w:val="15"/>
    <w:qFormat/>
    <w:uiPriority w:val="0"/>
  </w:style>
  <w:style w:type="paragraph" w:customStyle="1" w:styleId="40">
    <w:name w:val="Revision"/>
    <w:hidden/>
    <w:semiHidden/>
    <w:qFormat/>
    <w:uiPriority w:val="99"/>
    <w:rPr>
      <w:rFonts w:ascii="Times New Roman" w:hAnsi="Times New Roman" w:eastAsia="宋体" w:cs="Times New Roman"/>
      <w:kern w:val="2"/>
      <w:sz w:val="21"/>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oleObject" Target="embeddings/oleObject41.bin"/><Relationship Id="rId98" Type="http://schemas.openxmlformats.org/officeDocument/2006/relationships/image" Target="media/image51.wmf"/><Relationship Id="rId97" Type="http://schemas.openxmlformats.org/officeDocument/2006/relationships/oleObject" Target="embeddings/oleObject40.bin"/><Relationship Id="rId96" Type="http://schemas.openxmlformats.org/officeDocument/2006/relationships/image" Target="media/image50.png"/><Relationship Id="rId95" Type="http://schemas.openxmlformats.org/officeDocument/2006/relationships/image" Target="media/image49.png"/><Relationship Id="rId94" Type="http://schemas.openxmlformats.org/officeDocument/2006/relationships/image" Target="media/image48.png"/><Relationship Id="rId93" Type="http://schemas.openxmlformats.org/officeDocument/2006/relationships/image" Target="media/image47.png"/><Relationship Id="rId92" Type="http://schemas.openxmlformats.org/officeDocument/2006/relationships/image" Target="media/image46.png"/><Relationship Id="rId91" Type="http://schemas.openxmlformats.org/officeDocument/2006/relationships/image" Target="media/image45.png"/><Relationship Id="rId90" Type="http://schemas.openxmlformats.org/officeDocument/2006/relationships/image" Target="media/image44.png"/><Relationship Id="rId9" Type="http://schemas.openxmlformats.org/officeDocument/2006/relationships/image" Target="media/image1.wmf"/><Relationship Id="rId89" Type="http://schemas.openxmlformats.org/officeDocument/2006/relationships/image" Target="media/image43.png"/><Relationship Id="rId88" Type="http://schemas.openxmlformats.org/officeDocument/2006/relationships/image" Target="media/image42.png"/><Relationship Id="rId87" Type="http://schemas.openxmlformats.org/officeDocument/2006/relationships/image" Target="media/image41.png"/><Relationship Id="rId86" Type="http://schemas.openxmlformats.org/officeDocument/2006/relationships/image" Target="media/image40.wmf"/><Relationship Id="rId85" Type="http://schemas.openxmlformats.org/officeDocument/2006/relationships/oleObject" Target="embeddings/oleObject39.bin"/><Relationship Id="rId84" Type="http://schemas.openxmlformats.org/officeDocument/2006/relationships/image" Target="media/image39.wmf"/><Relationship Id="rId83" Type="http://schemas.openxmlformats.org/officeDocument/2006/relationships/oleObject" Target="embeddings/oleObject38.bin"/><Relationship Id="rId82" Type="http://schemas.openxmlformats.org/officeDocument/2006/relationships/image" Target="media/image38.wmf"/><Relationship Id="rId81" Type="http://schemas.openxmlformats.org/officeDocument/2006/relationships/oleObject" Target="embeddings/oleObject37.bin"/><Relationship Id="rId80" Type="http://schemas.openxmlformats.org/officeDocument/2006/relationships/image" Target="media/image37.wmf"/><Relationship Id="rId8" Type="http://schemas.openxmlformats.org/officeDocument/2006/relationships/oleObject" Target="embeddings/oleObject1.bin"/><Relationship Id="rId79" Type="http://schemas.openxmlformats.org/officeDocument/2006/relationships/oleObject" Target="embeddings/oleObject36.bin"/><Relationship Id="rId78" Type="http://schemas.openxmlformats.org/officeDocument/2006/relationships/image" Target="media/image36.wmf"/><Relationship Id="rId77" Type="http://schemas.openxmlformats.org/officeDocument/2006/relationships/oleObject" Target="embeddings/oleObject35.bin"/><Relationship Id="rId76" Type="http://schemas.openxmlformats.org/officeDocument/2006/relationships/image" Target="media/image35.wmf"/><Relationship Id="rId75" Type="http://schemas.openxmlformats.org/officeDocument/2006/relationships/oleObject" Target="embeddings/oleObject34.bin"/><Relationship Id="rId74" Type="http://schemas.openxmlformats.org/officeDocument/2006/relationships/image" Target="media/image34.wmf"/><Relationship Id="rId73" Type="http://schemas.openxmlformats.org/officeDocument/2006/relationships/oleObject" Target="embeddings/oleObject33.bin"/><Relationship Id="rId72" Type="http://schemas.openxmlformats.org/officeDocument/2006/relationships/image" Target="media/image33.wmf"/><Relationship Id="rId71" Type="http://schemas.openxmlformats.org/officeDocument/2006/relationships/oleObject" Target="embeddings/oleObject32.bin"/><Relationship Id="rId70" Type="http://schemas.openxmlformats.org/officeDocument/2006/relationships/image" Target="media/image32.wmf"/><Relationship Id="rId7" Type="http://schemas.openxmlformats.org/officeDocument/2006/relationships/theme" Target="theme/theme1.xml"/><Relationship Id="rId69" Type="http://schemas.openxmlformats.org/officeDocument/2006/relationships/oleObject" Target="embeddings/oleObject31.bin"/><Relationship Id="rId68" Type="http://schemas.openxmlformats.org/officeDocument/2006/relationships/image" Target="media/image31.wmf"/><Relationship Id="rId67" Type="http://schemas.openxmlformats.org/officeDocument/2006/relationships/oleObject" Target="embeddings/oleObject30.bin"/><Relationship Id="rId66" Type="http://schemas.openxmlformats.org/officeDocument/2006/relationships/image" Target="media/image30.wmf"/><Relationship Id="rId65" Type="http://schemas.openxmlformats.org/officeDocument/2006/relationships/oleObject" Target="embeddings/oleObject29.bin"/><Relationship Id="rId64" Type="http://schemas.openxmlformats.org/officeDocument/2006/relationships/image" Target="media/image29.wmf"/><Relationship Id="rId63" Type="http://schemas.openxmlformats.org/officeDocument/2006/relationships/oleObject" Target="embeddings/oleObject28.bin"/><Relationship Id="rId62" Type="http://schemas.openxmlformats.org/officeDocument/2006/relationships/image" Target="media/image28.png"/><Relationship Id="rId61" Type="http://schemas.openxmlformats.org/officeDocument/2006/relationships/image" Target="media/image27.wmf"/><Relationship Id="rId60" Type="http://schemas.openxmlformats.org/officeDocument/2006/relationships/oleObject" Target="embeddings/oleObject27.bin"/><Relationship Id="rId6" Type="http://schemas.openxmlformats.org/officeDocument/2006/relationships/footer" Target="footer4.xml"/><Relationship Id="rId59" Type="http://schemas.openxmlformats.org/officeDocument/2006/relationships/image" Target="media/image26.wmf"/><Relationship Id="rId58" Type="http://schemas.openxmlformats.org/officeDocument/2006/relationships/oleObject" Target="embeddings/oleObject26.bin"/><Relationship Id="rId57" Type="http://schemas.openxmlformats.org/officeDocument/2006/relationships/image" Target="media/image25.wmf"/><Relationship Id="rId56" Type="http://schemas.openxmlformats.org/officeDocument/2006/relationships/oleObject" Target="embeddings/oleObject25.bin"/><Relationship Id="rId55" Type="http://schemas.openxmlformats.org/officeDocument/2006/relationships/image" Target="media/image24.wmf"/><Relationship Id="rId54" Type="http://schemas.openxmlformats.org/officeDocument/2006/relationships/oleObject" Target="embeddings/oleObject24.bin"/><Relationship Id="rId53" Type="http://schemas.openxmlformats.org/officeDocument/2006/relationships/image" Target="media/image23.wmf"/><Relationship Id="rId52" Type="http://schemas.openxmlformats.org/officeDocument/2006/relationships/oleObject" Target="embeddings/oleObject23.bin"/><Relationship Id="rId51" Type="http://schemas.openxmlformats.org/officeDocument/2006/relationships/image" Target="media/image22.wmf"/><Relationship Id="rId50" Type="http://schemas.openxmlformats.org/officeDocument/2006/relationships/oleObject" Target="embeddings/oleObject22.bin"/><Relationship Id="rId5" Type="http://schemas.openxmlformats.org/officeDocument/2006/relationships/footer" Target="footer3.xml"/><Relationship Id="rId49" Type="http://schemas.openxmlformats.org/officeDocument/2006/relationships/image" Target="media/image21.wmf"/><Relationship Id="rId48" Type="http://schemas.openxmlformats.org/officeDocument/2006/relationships/oleObject" Target="embeddings/oleObject21.bin"/><Relationship Id="rId47" Type="http://schemas.openxmlformats.org/officeDocument/2006/relationships/image" Target="media/image20.wmf"/><Relationship Id="rId46" Type="http://schemas.openxmlformats.org/officeDocument/2006/relationships/oleObject" Target="embeddings/oleObject20.bin"/><Relationship Id="rId45" Type="http://schemas.openxmlformats.org/officeDocument/2006/relationships/image" Target="media/image19.wmf"/><Relationship Id="rId44" Type="http://schemas.openxmlformats.org/officeDocument/2006/relationships/oleObject" Target="embeddings/oleObject19.bin"/><Relationship Id="rId43" Type="http://schemas.openxmlformats.org/officeDocument/2006/relationships/image" Target="media/image18.wmf"/><Relationship Id="rId42" Type="http://schemas.openxmlformats.org/officeDocument/2006/relationships/oleObject" Target="embeddings/oleObject18.bin"/><Relationship Id="rId41" Type="http://schemas.openxmlformats.org/officeDocument/2006/relationships/image" Target="media/image17.wmf"/><Relationship Id="rId40" Type="http://schemas.openxmlformats.org/officeDocument/2006/relationships/oleObject" Target="embeddings/oleObject17.bin"/><Relationship Id="rId4" Type="http://schemas.openxmlformats.org/officeDocument/2006/relationships/footer" Target="footer2.xml"/><Relationship Id="rId39" Type="http://schemas.openxmlformats.org/officeDocument/2006/relationships/image" Target="media/image16.wmf"/><Relationship Id="rId38" Type="http://schemas.openxmlformats.org/officeDocument/2006/relationships/oleObject" Target="embeddings/oleObject16.bin"/><Relationship Id="rId37" Type="http://schemas.openxmlformats.org/officeDocument/2006/relationships/image" Target="media/image15.wmf"/><Relationship Id="rId36" Type="http://schemas.openxmlformats.org/officeDocument/2006/relationships/oleObject" Target="embeddings/oleObject15.bin"/><Relationship Id="rId35" Type="http://schemas.openxmlformats.org/officeDocument/2006/relationships/image" Target="media/image14.wmf"/><Relationship Id="rId34" Type="http://schemas.openxmlformats.org/officeDocument/2006/relationships/oleObject" Target="embeddings/oleObject14.bin"/><Relationship Id="rId33" Type="http://schemas.openxmlformats.org/officeDocument/2006/relationships/image" Target="media/image13.wmf"/><Relationship Id="rId32" Type="http://schemas.openxmlformats.org/officeDocument/2006/relationships/oleObject" Target="embeddings/oleObject13.bin"/><Relationship Id="rId31" Type="http://schemas.openxmlformats.org/officeDocument/2006/relationships/image" Target="media/image12.wmf"/><Relationship Id="rId30" Type="http://schemas.openxmlformats.org/officeDocument/2006/relationships/oleObject" Target="embeddings/oleObject12.bin"/><Relationship Id="rId3" Type="http://schemas.openxmlformats.org/officeDocument/2006/relationships/footer" Target="footer1.xml"/><Relationship Id="rId29" Type="http://schemas.openxmlformats.org/officeDocument/2006/relationships/image" Target="media/image11.wmf"/><Relationship Id="rId28" Type="http://schemas.openxmlformats.org/officeDocument/2006/relationships/oleObject" Target="embeddings/oleObject11.bin"/><Relationship Id="rId27" Type="http://schemas.openxmlformats.org/officeDocument/2006/relationships/image" Target="media/image10.wmf"/><Relationship Id="rId26" Type="http://schemas.openxmlformats.org/officeDocument/2006/relationships/oleObject" Target="embeddings/oleObject10.bin"/><Relationship Id="rId25" Type="http://schemas.openxmlformats.org/officeDocument/2006/relationships/image" Target="media/image9.wmf"/><Relationship Id="rId24" Type="http://schemas.openxmlformats.org/officeDocument/2006/relationships/oleObject" Target="embeddings/oleObject9.bin"/><Relationship Id="rId23" Type="http://schemas.openxmlformats.org/officeDocument/2006/relationships/image" Target="media/image8.wmf"/><Relationship Id="rId22" Type="http://schemas.openxmlformats.org/officeDocument/2006/relationships/oleObject" Target="embeddings/oleObject8.bin"/><Relationship Id="rId21" Type="http://schemas.openxmlformats.org/officeDocument/2006/relationships/image" Target="media/image7.wmf"/><Relationship Id="rId20" Type="http://schemas.openxmlformats.org/officeDocument/2006/relationships/oleObject" Target="embeddings/oleObject7.bin"/><Relationship Id="rId2" Type="http://schemas.openxmlformats.org/officeDocument/2006/relationships/settings" Target="settings.xml"/><Relationship Id="rId19" Type="http://schemas.openxmlformats.org/officeDocument/2006/relationships/image" Target="media/image6.wmf"/><Relationship Id="rId18" Type="http://schemas.openxmlformats.org/officeDocument/2006/relationships/oleObject" Target="embeddings/oleObject6.bin"/><Relationship Id="rId17" Type="http://schemas.openxmlformats.org/officeDocument/2006/relationships/image" Target="media/image5.wmf"/><Relationship Id="rId16" Type="http://schemas.openxmlformats.org/officeDocument/2006/relationships/oleObject" Target="embeddings/oleObject5.bin"/><Relationship Id="rId15" Type="http://schemas.openxmlformats.org/officeDocument/2006/relationships/image" Target="media/image4.wmf"/><Relationship Id="rId14" Type="http://schemas.openxmlformats.org/officeDocument/2006/relationships/oleObject" Target="embeddings/oleObject4.bin"/><Relationship Id="rId13" Type="http://schemas.openxmlformats.org/officeDocument/2006/relationships/image" Target="media/image3.wmf"/><Relationship Id="rId126" Type="http://schemas.openxmlformats.org/officeDocument/2006/relationships/fontTable" Target="fontTable.xml"/><Relationship Id="rId125" Type="http://schemas.openxmlformats.org/officeDocument/2006/relationships/numbering" Target="numbering.xml"/><Relationship Id="rId124" Type="http://schemas.openxmlformats.org/officeDocument/2006/relationships/customXml" Target="../customXml/item1.xml"/><Relationship Id="rId123" Type="http://schemas.openxmlformats.org/officeDocument/2006/relationships/image" Target="media/image68.png"/><Relationship Id="rId122" Type="http://schemas.openxmlformats.org/officeDocument/2006/relationships/image" Target="media/image67.png"/><Relationship Id="rId121" Type="http://schemas.openxmlformats.org/officeDocument/2006/relationships/image" Target="media/image66.png"/><Relationship Id="rId120" Type="http://schemas.openxmlformats.org/officeDocument/2006/relationships/image" Target="media/image65.png"/><Relationship Id="rId12" Type="http://schemas.openxmlformats.org/officeDocument/2006/relationships/oleObject" Target="embeddings/oleObject3.bin"/><Relationship Id="rId119" Type="http://schemas.openxmlformats.org/officeDocument/2006/relationships/image" Target="media/image64.png"/><Relationship Id="rId118" Type="http://schemas.openxmlformats.org/officeDocument/2006/relationships/image" Target="media/image63.png"/><Relationship Id="rId117" Type="http://schemas.openxmlformats.org/officeDocument/2006/relationships/image" Target="media/image62.png"/><Relationship Id="rId116" Type="http://schemas.openxmlformats.org/officeDocument/2006/relationships/image" Target="media/image61.png"/><Relationship Id="rId115" Type="http://schemas.openxmlformats.org/officeDocument/2006/relationships/image" Target="media/image60.png"/><Relationship Id="rId114" Type="http://schemas.openxmlformats.org/officeDocument/2006/relationships/image" Target="media/image59.png"/><Relationship Id="rId113" Type="http://schemas.openxmlformats.org/officeDocument/2006/relationships/image" Target="media/image58.png"/><Relationship Id="rId112" Type="http://schemas.openxmlformats.org/officeDocument/2006/relationships/image" Target="media/image57.wmf"/><Relationship Id="rId111" Type="http://schemas.openxmlformats.org/officeDocument/2006/relationships/oleObject" Target="embeddings/oleObject48.bin"/><Relationship Id="rId110" Type="http://schemas.openxmlformats.org/officeDocument/2006/relationships/image" Target="media/image56.wmf"/><Relationship Id="rId11" Type="http://schemas.openxmlformats.org/officeDocument/2006/relationships/image" Target="media/image2.wmf"/><Relationship Id="rId109" Type="http://schemas.openxmlformats.org/officeDocument/2006/relationships/oleObject" Target="embeddings/oleObject47.bin"/><Relationship Id="rId108" Type="http://schemas.openxmlformats.org/officeDocument/2006/relationships/image" Target="media/image55.png"/><Relationship Id="rId107" Type="http://schemas.openxmlformats.org/officeDocument/2006/relationships/image" Target="media/image54.png"/><Relationship Id="rId106" Type="http://schemas.openxmlformats.org/officeDocument/2006/relationships/image" Target="media/image53.png"/><Relationship Id="rId105" Type="http://schemas.openxmlformats.org/officeDocument/2006/relationships/image" Target="media/image52.wmf"/><Relationship Id="rId104" Type="http://schemas.openxmlformats.org/officeDocument/2006/relationships/oleObject" Target="embeddings/oleObject46.bin"/><Relationship Id="rId103" Type="http://schemas.openxmlformats.org/officeDocument/2006/relationships/oleObject" Target="embeddings/oleObject45.bin"/><Relationship Id="rId102" Type="http://schemas.openxmlformats.org/officeDocument/2006/relationships/oleObject" Target="embeddings/oleObject44.bin"/><Relationship Id="rId101" Type="http://schemas.openxmlformats.org/officeDocument/2006/relationships/oleObject" Target="embeddings/oleObject43.bin"/><Relationship Id="rId100" Type="http://schemas.openxmlformats.org/officeDocument/2006/relationships/oleObject" Target="embeddings/oleObject42.bin"/><Relationship Id="rId10" Type="http://schemas.openxmlformats.org/officeDocument/2006/relationships/oleObject" Target="embeddings/oleObject2.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133</Pages>
  <Words>80806</Words>
  <Characters>93521</Characters>
  <Lines>778</Lines>
  <Paragraphs>219</Paragraphs>
  <TotalTime>5</TotalTime>
  <ScaleCrop>false</ScaleCrop>
  <LinksUpToDate>false</LinksUpToDate>
  <CharactersWithSpaces>98800</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2020-11-29T11:56:00Z</dcterms:created>
  <dc:creator>HF</dc:creator>
  <cp:lastModifiedBy>金梅</cp:lastModifiedBy>
  <cp:lastPrinted>2021-11-09T17:03:00Z</cp:lastPrinted>
  <dcterms:modified xsi:type="dcterms:W3CDTF">2023-11-16T09:57:38Z</dcterms:modified>
  <cp:revision>116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B2BC44253BC145E99EE71C8F52A1D4C0</vt:lpwstr>
  </property>
</Properties>
</file>