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50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附件4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494949"/>
          <w:sz w:val="32"/>
          <w:szCs w:val="32"/>
        </w:rPr>
        <w:t>课题评分标准及内容</w:t>
      </w:r>
    </w:p>
    <w:tbl>
      <w:tblPr>
        <w:tblStyle w:val="2"/>
        <w:tblpPr w:leftFromText="180" w:rightFromText="180" w:vertAnchor="text" w:horzAnchor="margin" w:tblpXSpec="center" w:tblpY="482"/>
        <w:tblW w:w="89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1"/>
        <w:gridCol w:w="3284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评分因素</w:t>
            </w:r>
          </w:p>
        </w:tc>
        <w:tc>
          <w:tcPr>
            <w:tcW w:w="3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1．公司总体情况及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公司主要技术人员配备结构、类似项目经验、知识结构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0分）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较强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0分，一般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分，较弱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ascii="仿宋" w:hAnsi="仿宋" w:eastAsia="仿宋" w:cs="Arial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.项目负责人及研究团队呼应遴选情况，团队成员知识结构、研究专长合理，在项目涉及领域具有专业化程度较高的各类人员（</w:t>
            </w:r>
            <w:r>
              <w:rPr>
                <w:rFonts w:ascii="仿宋" w:hAnsi="仿宋" w:eastAsia="仿宋" w:cs="Arial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分）</w:t>
            </w:r>
            <w:r>
              <w:rPr>
                <w:rFonts w:ascii="仿宋" w:hAnsi="仿宋" w:eastAsia="仿宋" w:cs="Arial"/>
                <w:sz w:val="24"/>
                <w:szCs w:val="24"/>
              </w:rPr>
              <w:t>　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较强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0分，一般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分，较弱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0-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3．项目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方案合理，涉及全面，可行性强运行（30分）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较强20-30分，一般10-20分，较弱0-10分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0-30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．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实施方案细化到位。有合理的项目实施框架，保障措施有力；在项目实施的每个阶段能提供切实可行，切实解决问题。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较强20-30分，一般10-20分，较弱0-10分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0-30</w:t>
            </w:r>
          </w:p>
        </w:tc>
      </w:tr>
    </w:tbl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F8BAB"/>
    <w:rsid w:val="3EAB0813"/>
    <w:rsid w:val="F3FFA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uos</cp:lastModifiedBy>
  <dcterms:modified xsi:type="dcterms:W3CDTF">2022-04-11T09:56:16Z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