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6"/>
        <w:jc w:val="center"/>
        <w:rPr>
          <w:rFonts w:hint="eastAsia" w:ascii="方正小标宋简体" w:eastAsia="方正小标宋简体"/>
          <w:sz w:val="44"/>
          <w:szCs w:val="44"/>
        </w:rPr>
      </w:pPr>
      <w:r>
        <w:rPr>
          <w:rFonts w:hint="eastAsia" w:ascii="方正小标宋简体" w:eastAsia="方正小标宋简体"/>
          <w:sz w:val="44"/>
          <w:szCs w:val="44"/>
        </w:rPr>
        <w:t>北京市住建系统“防风险保平安迎大庆”</w:t>
      </w:r>
    </w:p>
    <w:p>
      <w:pPr>
        <w:spacing w:line="600" w:lineRule="exact"/>
        <w:ind w:right="-6"/>
        <w:jc w:val="center"/>
        <w:rPr>
          <w:rFonts w:ascii="方正小标宋简体" w:eastAsia="方正小标宋简体"/>
          <w:sz w:val="44"/>
          <w:szCs w:val="44"/>
        </w:rPr>
      </w:pPr>
      <w:r>
        <w:rPr>
          <w:rFonts w:hint="eastAsia" w:ascii="方正小标宋简体" w:eastAsia="方正小标宋简体"/>
          <w:sz w:val="44"/>
          <w:szCs w:val="44"/>
        </w:rPr>
        <w:t>消防安全执法检查专项行动方案</w:t>
      </w:r>
    </w:p>
    <w:p>
      <w:pPr>
        <w:spacing w:line="600" w:lineRule="exact"/>
        <w:ind w:firstLine="629"/>
        <w:rPr>
          <w:rFonts w:cs="仿宋_GB2312"/>
        </w:rPr>
      </w:pPr>
      <w:bookmarkStart w:id="0" w:name="_GoBack"/>
      <w:bookmarkEnd w:id="0"/>
    </w:p>
    <w:p>
      <w:pPr>
        <w:spacing w:line="600" w:lineRule="exact"/>
        <w:ind w:firstLine="632" w:firstLineChars="200"/>
      </w:pPr>
      <w:r>
        <w:rPr>
          <w:rFonts w:hint="eastAsia"/>
          <w:szCs w:val="32"/>
        </w:rPr>
        <w:t>为深入贯彻落实市政府“防风险保平安迎大庆”消防安全执法检查专项行动动员部署会议精神，</w:t>
      </w:r>
      <w:r>
        <w:rPr>
          <w:rFonts w:hint="eastAsia"/>
        </w:rPr>
        <w:t>为新中国成立70周年</w:t>
      </w:r>
      <w:r>
        <w:rPr>
          <w:rFonts w:hint="eastAsia" w:cs="仿宋_GB2312"/>
        </w:rPr>
        <w:t>重大活动创造良好的消防安全环境，依据</w:t>
      </w:r>
      <w:r>
        <w:rPr>
          <w:rFonts w:hint="eastAsia"/>
          <w:szCs w:val="32"/>
        </w:rPr>
        <w:t>《北京市安全生产委员会 北京市防火安全委员会关于印发“防风险保平安迎大庆”消防安全执法检查专项行动方案的通知》（防安字〔2019〕2号）</w:t>
      </w:r>
      <w:r>
        <w:rPr>
          <w:rFonts w:hint="eastAsia" w:cs="仿宋_GB2312"/>
        </w:rPr>
        <w:t>要求</w:t>
      </w:r>
      <w:r>
        <w:rPr>
          <w:rFonts w:hint="eastAsia"/>
          <w:szCs w:val="32"/>
        </w:rPr>
        <w:t>，</w:t>
      </w:r>
      <w:r>
        <w:rPr>
          <w:rFonts w:hint="eastAsia" w:cs="仿宋_GB2312"/>
        </w:rPr>
        <w:t>从2019年</w:t>
      </w:r>
      <w:r>
        <w:rPr>
          <w:rFonts w:hint="eastAsia"/>
          <w:szCs w:val="32"/>
        </w:rPr>
        <w:t>5</w:t>
      </w:r>
      <w:r>
        <w:rPr>
          <w:szCs w:val="32"/>
        </w:rPr>
        <w:t>月至1</w:t>
      </w:r>
      <w:r>
        <w:rPr>
          <w:rFonts w:hint="eastAsia"/>
          <w:szCs w:val="32"/>
        </w:rPr>
        <w:t>2</w:t>
      </w:r>
      <w:r>
        <w:rPr>
          <w:szCs w:val="32"/>
        </w:rPr>
        <w:t>月</w:t>
      </w:r>
      <w:r>
        <w:rPr>
          <w:rFonts w:hint="eastAsia"/>
          <w:szCs w:val="32"/>
        </w:rPr>
        <w:t>，</w:t>
      </w:r>
      <w:r>
        <w:rPr>
          <w:szCs w:val="32"/>
        </w:rPr>
        <w:t>在</w:t>
      </w:r>
      <w:r>
        <w:rPr>
          <w:rFonts w:hint="eastAsia"/>
          <w:szCs w:val="32"/>
        </w:rPr>
        <w:t>全市住建系统</w:t>
      </w:r>
      <w:r>
        <w:rPr>
          <w:szCs w:val="32"/>
        </w:rPr>
        <w:t>开展“防风险保平安迎大庆”消防安全执法检查专项行动</w:t>
      </w:r>
      <w:r>
        <w:rPr>
          <w:rFonts w:hint="eastAsia"/>
          <w:szCs w:val="32"/>
        </w:rPr>
        <w:t>，</w:t>
      </w:r>
      <w:r>
        <w:rPr>
          <w:rFonts w:hint="eastAsia"/>
        </w:rPr>
        <w:t>特制定工作方案如下：</w:t>
      </w:r>
    </w:p>
    <w:p>
      <w:pPr>
        <w:spacing w:line="600" w:lineRule="exact"/>
        <w:ind w:firstLine="629"/>
        <w:rPr>
          <w:rFonts w:ascii="黑体" w:eastAsia="黑体"/>
          <w:szCs w:val="32"/>
        </w:rPr>
      </w:pPr>
      <w:r>
        <w:rPr>
          <w:rFonts w:hint="eastAsia" w:ascii="黑体" w:eastAsia="黑体"/>
          <w:szCs w:val="32"/>
        </w:rPr>
        <w:t>一、工作目标</w:t>
      </w:r>
    </w:p>
    <w:p>
      <w:pPr>
        <w:snapToGrid w:val="0"/>
        <w:spacing w:line="600" w:lineRule="exact"/>
        <w:ind w:firstLine="632" w:firstLineChars="200"/>
        <w:rPr>
          <w:szCs w:val="32"/>
        </w:rPr>
      </w:pPr>
      <w:r>
        <w:rPr>
          <w:szCs w:val="32"/>
        </w:rPr>
        <w:t>深入贯彻落实习近平总书记关于安全生产和消防工作的重要指示精神</w:t>
      </w:r>
      <w:r>
        <w:rPr>
          <w:rFonts w:hint="eastAsia"/>
          <w:szCs w:val="32"/>
        </w:rPr>
        <w:t>，以及</w:t>
      </w:r>
      <w:r>
        <w:rPr>
          <w:rFonts w:hint="eastAsia" w:hAnsi="宋体"/>
        </w:rPr>
        <w:t>市委、市政府和应急管理部有关工作部署，</w:t>
      </w:r>
      <w:r>
        <w:rPr>
          <w:rFonts w:hint="eastAsia"/>
          <w:szCs w:val="32"/>
        </w:rPr>
        <w:t>坚持以人民为中心的发展思想，突出问题导向，强化底线思维，紧盯重大活动、重要区域、重点项目，深入推进火灾风险隐患“自知自查自改”活动，</w:t>
      </w:r>
      <w:r>
        <w:rPr>
          <w:rFonts w:hint="eastAsia"/>
        </w:rPr>
        <w:t>全力防范化解重大安全风险，</w:t>
      </w:r>
      <w:r>
        <w:rPr>
          <w:szCs w:val="32"/>
        </w:rPr>
        <w:t>坚决遏制群死群伤</w:t>
      </w:r>
      <w:r>
        <w:rPr>
          <w:rFonts w:hint="eastAsia"/>
          <w:szCs w:val="32"/>
        </w:rPr>
        <w:t>和有影响</w:t>
      </w:r>
      <w:r>
        <w:rPr>
          <w:szCs w:val="32"/>
        </w:rPr>
        <w:t>火灾事故，确保</w:t>
      </w:r>
      <w:r>
        <w:rPr>
          <w:rFonts w:hint="eastAsia"/>
          <w:szCs w:val="32"/>
        </w:rPr>
        <w:t>全市住建系统火灾形势</w:t>
      </w:r>
      <w:r>
        <w:rPr>
          <w:szCs w:val="32"/>
        </w:rPr>
        <w:t>持续平稳，为新中国成立70周年创造良好的消防安全环境。</w:t>
      </w:r>
    </w:p>
    <w:p>
      <w:pPr>
        <w:spacing w:line="600" w:lineRule="exact"/>
        <w:ind w:firstLine="629"/>
        <w:rPr>
          <w:rFonts w:ascii="黑体" w:eastAsia="黑体"/>
          <w:szCs w:val="32"/>
        </w:rPr>
      </w:pPr>
      <w:r>
        <w:rPr>
          <w:rFonts w:hint="eastAsia" w:ascii="黑体" w:eastAsia="黑体"/>
          <w:szCs w:val="32"/>
        </w:rPr>
        <w:t>二、检查重点场所和突出问题</w:t>
      </w:r>
    </w:p>
    <w:p>
      <w:pPr>
        <w:spacing w:line="600" w:lineRule="exact"/>
        <w:ind w:firstLine="629"/>
        <w:rPr>
          <w:szCs w:val="32"/>
        </w:rPr>
      </w:pPr>
      <w:r>
        <w:rPr>
          <w:rFonts w:hint="eastAsia"/>
          <w:szCs w:val="32"/>
        </w:rPr>
        <w:t>针对近十年来全国发生的35起群死群伤和本市发生的21起较大及以上火灾事故暴露出的主要问题和薄弱环节，此次住建系统消防安全执法检查专项行动的重点是：房屋建筑和市政基础设施建设工程施工现场及生活区，实施物业管理的高层建筑、老旧小区（含大屋脊筒子楼）等物业服务区域，重点排查整治11类突出问题：</w:t>
      </w:r>
    </w:p>
    <w:p>
      <w:pPr>
        <w:spacing w:line="600" w:lineRule="exact"/>
        <w:ind w:firstLine="632" w:firstLineChars="200"/>
        <w:rPr>
          <w:rFonts w:ascii="楷体_GB2312" w:eastAsia="楷体_GB2312"/>
          <w:szCs w:val="32"/>
        </w:rPr>
      </w:pPr>
      <w:r>
        <w:rPr>
          <w:rFonts w:hint="eastAsia" w:ascii="楷体_GB2312" w:eastAsia="楷体_GB2312"/>
          <w:szCs w:val="32"/>
        </w:rPr>
        <w:t>（一）违规用火用电用油用气。</w:t>
      </w:r>
      <w:r>
        <w:rPr>
          <w:rFonts w:hint="eastAsia"/>
          <w:szCs w:val="32"/>
        </w:rPr>
        <w:t>超过</w:t>
      </w:r>
      <w:r>
        <w:rPr>
          <w:szCs w:val="32"/>
        </w:rPr>
        <w:t>额定功率、超负荷</w:t>
      </w:r>
      <w:r>
        <w:rPr>
          <w:rFonts w:hint="eastAsia"/>
          <w:szCs w:val="32"/>
        </w:rPr>
        <w:t>安装</w:t>
      </w:r>
      <w:r>
        <w:rPr>
          <w:szCs w:val="32"/>
        </w:rPr>
        <w:t>使用电器设备；</w:t>
      </w:r>
      <w:r>
        <w:rPr>
          <w:rFonts w:hint="eastAsia"/>
          <w:szCs w:val="32"/>
        </w:rPr>
        <w:t>高温</w:t>
      </w:r>
      <w:r>
        <w:rPr>
          <w:szCs w:val="32"/>
        </w:rPr>
        <w:t>灯具、大功率电器等用电设备安装在可燃</w:t>
      </w:r>
      <w:r>
        <w:rPr>
          <w:rFonts w:hint="eastAsia"/>
          <w:szCs w:val="32"/>
        </w:rPr>
        <w:t>易燃</w:t>
      </w:r>
      <w:r>
        <w:rPr>
          <w:szCs w:val="32"/>
        </w:rPr>
        <w:t>物上</w:t>
      </w:r>
      <w:r>
        <w:rPr>
          <w:rFonts w:hint="eastAsia"/>
          <w:szCs w:val="32"/>
        </w:rPr>
        <w:t>或</w:t>
      </w:r>
      <w:r>
        <w:rPr>
          <w:szCs w:val="32"/>
        </w:rPr>
        <w:t>与可燃物</w:t>
      </w:r>
      <w:r>
        <w:rPr>
          <w:rFonts w:hint="eastAsia"/>
          <w:szCs w:val="32"/>
        </w:rPr>
        <w:t>距离过</w:t>
      </w:r>
      <w:r>
        <w:rPr>
          <w:szCs w:val="32"/>
        </w:rPr>
        <w:t>近。</w:t>
      </w:r>
      <w:r>
        <w:rPr>
          <w:rFonts w:hint="eastAsia"/>
          <w:szCs w:val="32"/>
        </w:rPr>
        <w:t>配电箱、弱电井、强电井电线交织，堆放可燃杂物。电线</w:t>
      </w:r>
      <w:r>
        <w:rPr>
          <w:szCs w:val="32"/>
        </w:rPr>
        <w:t>未做穿管保护直接穿过或敷设在易燃可燃物上以及炉灶、烟囱等高温部位周边</w:t>
      </w:r>
      <w:r>
        <w:rPr>
          <w:rFonts w:hint="eastAsia"/>
          <w:szCs w:val="32"/>
        </w:rPr>
        <w:t>。电气线路老化、乱拉乱接</w:t>
      </w:r>
      <w:r>
        <w:rPr>
          <w:szCs w:val="32"/>
        </w:rPr>
        <w:t>。</w:t>
      </w:r>
      <w:r>
        <w:rPr>
          <w:rFonts w:hint="eastAsia"/>
          <w:szCs w:val="32"/>
        </w:rPr>
        <w:t>UPS电源及蓄电池等备用电源保养检测不到位。餐饮</w:t>
      </w:r>
      <w:r>
        <w:rPr>
          <w:szCs w:val="32"/>
        </w:rPr>
        <w:t>场所</w:t>
      </w:r>
      <w:r>
        <w:rPr>
          <w:rFonts w:hint="eastAsia"/>
          <w:szCs w:val="32"/>
        </w:rPr>
        <w:t>和单位厨房</w:t>
      </w:r>
      <w:r>
        <w:rPr>
          <w:szCs w:val="32"/>
        </w:rPr>
        <w:t>油烟道、</w:t>
      </w:r>
      <w:r>
        <w:rPr>
          <w:rFonts w:hint="eastAsia"/>
          <w:szCs w:val="32"/>
        </w:rPr>
        <w:t>烤炉</w:t>
      </w:r>
      <w:r>
        <w:rPr>
          <w:szCs w:val="32"/>
        </w:rPr>
        <w:t>内油渍堆积过多，清洗不</w:t>
      </w:r>
      <w:r>
        <w:rPr>
          <w:rFonts w:hint="eastAsia"/>
          <w:szCs w:val="32"/>
        </w:rPr>
        <w:t>干净</w:t>
      </w:r>
      <w:r>
        <w:rPr>
          <w:szCs w:val="32"/>
        </w:rPr>
        <w:t>或</w:t>
      </w:r>
      <w:r>
        <w:rPr>
          <w:rFonts w:hint="eastAsia"/>
          <w:szCs w:val="32"/>
        </w:rPr>
        <w:t>未</w:t>
      </w:r>
      <w:r>
        <w:rPr>
          <w:szCs w:val="32"/>
        </w:rPr>
        <w:t>按规定及时清洗。</w:t>
      </w:r>
      <w:r>
        <w:rPr>
          <w:rFonts w:hint="eastAsia"/>
          <w:szCs w:val="32"/>
        </w:rPr>
        <w:t>燃气管线、连接软管、灶具老化，超出使用年限。违规存放、使用液化石油气。</w:t>
      </w:r>
    </w:p>
    <w:p>
      <w:pPr>
        <w:spacing w:line="600" w:lineRule="exact"/>
        <w:ind w:firstLine="629"/>
        <w:rPr>
          <w:rFonts w:ascii="楷体_GB2312" w:eastAsia="楷体_GB2312"/>
          <w:szCs w:val="32"/>
        </w:rPr>
      </w:pPr>
      <w:r>
        <w:rPr>
          <w:rFonts w:hint="eastAsia" w:ascii="楷体_GB2312" w:eastAsia="楷体_GB2312"/>
          <w:szCs w:val="32"/>
        </w:rPr>
        <w:t>（二）违规动火动焊施工作业。</w:t>
      </w:r>
      <w:r>
        <w:rPr>
          <w:rFonts w:hint="eastAsia"/>
          <w:szCs w:val="32"/>
        </w:rPr>
        <w:t>切割、焊接、防水施工等明火作业未清理作业点及其周边和下方易燃、可燃杂物，未封堵周边孔洞。明火作业</w:t>
      </w:r>
      <w:r>
        <w:rPr>
          <w:szCs w:val="32"/>
        </w:rPr>
        <w:t>人员</w:t>
      </w:r>
      <w:r>
        <w:rPr>
          <w:rFonts w:hint="eastAsia"/>
          <w:szCs w:val="32"/>
        </w:rPr>
        <w:t>未</w:t>
      </w:r>
      <w:r>
        <w:rPr>
          <w:szCs w:val="32"/>
        </w:rPr>
        <w:t>落实</w:t>
      </w:r>
      <w:r>
        <w:rPr>
          <w:rFonts w:hint="eastAsia"/>
          <w:szCs w:val="32"/>
        </w:rPr>
        <w:t>动火审批手续，超过规定时间和范围动用明火，无证操作或违反操作规程。</w:t>
      </w:r>
    </w:p>
    <w:p>
      <w:pPr>
        <w:spacing w:line="600" w:lineRule="exact"/>
        <w:ind w:firstLine="632" w:firstLineChars="200"/>
        <w:rPr>
          <w:szCs w:val="32"/>
        </w:rPr>
      </w:pPr>
      <w:r>
        <w:rPr>
          <w:rFonts w:hint="eastAsia" w:ascii="楷体_GB2312" w:eastAsia="楷体_GB2312"/>
          <w:szCs w:val="32"/>
        </w:rPr>
        <w:t>（三）电动自行车违规停放充电。</w:t>
      </w:r>
      <w:r>
        <w:rPr>
          <w:rFonts w:hint="eastAsia"/>
          <w:szCs w:val="32"/>
        </w:rPr>
        <w:t>在建筑门厅、楼梯间、共用走道以及地下室半地下室等室内公共区域停放充电。在施工现场、生活区宿舍内</w:t>
      </w:r>
      <w:r>
        <w:rPr>
          <w:szCs w:val="32"/>
        </w:rPr>
        <w:t>停放电动车。</w:t>
      </w:r>
      <w:r>
        <w:rPr>
          <w:rFonts w:hint="eastAsia"/>
          <w:szCs w:val="32"/>
        </w:rPr>
        <w:t>电动车停放位置与周围可燃物未落实防火措施。使用不匹配或质量不合格的充电器为电动车或其蓄电池充电或者从室内拉“飞线”充电。</w:t>
      </w:r>
    </w:p>
    <w:p>
      <w:pPr>
        <w:spacing w:line="600" w:lineRule="exact"/>
        <w:ind w:firstLine="629"/>
        <w:rPr>
          <w:rFonts w:hint="eastAsia"/>
          <w:szCs w:val="32"/>
        </w:rPr>
      </w:pPr>
      <w:r>
        <w:rPr>
          <w:rFonts w:hint="eastAsia" w:ascii="楷体_GB2312" w:eastAsia="楷体_GB2312"/>
          <w:szCs w:val="32"/>
        </w:rPr>
        <w:t>（四）违规存放易燃易爆危险品。</w:t>
      </w:r>
      <w:r>
        <w:rPr>
          <w:rFonts w:hint="eastAsia"/>
          <w:szCs w:val="32"/>
        </w:rPr>
        <w:t>施工现场及生活区、物业服务区域等场所违规使用、储存易燃易爆危险品，违规堆放易燃可燃物品。</w:t>
      </w:r>
    </w:p>
    <w:p>
      <w:pPr>
        <w:spacing w:line="600" w:lineRule="exact"/>
        <w:ind w:firstLine="629"/>
        <w:rPr>
          <w:szCs w:val="32"/>
        </w:rPr>
      </w:pPr>
      <w:r>
        <w:rPr>
          <w:rFonts w:hint="eastAsia" w:ascii="楷体_GB2312" w:eastAsia="楷体_GB2312"/>
          <w:szCs w:val="32"/>
        </w:rPr>
        <w:t>（五）疏散通道不畅通。</w:t>
      </w:r>
      <w:r>
        <w:rPr>
          <w:rFonts w:hint="eastAsia"/>
          <w:szCs w:val="32"/>
        </w:rPr>
        <w:t>疏散通道、安全出口数量不足或者被封闭、堵塞、占用。物业服务区域门窗上设置广告牌、金属</w:t>
      </w:r>
      <w:r>
        <w:rPr>
          <w:szCs w:val="32"/>
        </w:rPr>
        <w:t>栅栏</w:t>
      </w:r>
      <w:r>
        <w:rPr>
          <w:rFonts w:hint="eastAsia"/>
          <w:szCs w:val="32"/>
        </w:rPr>
        <w:t>等影响逃生和灭火救援的障碍物。</w:t>
      </w:r>
    </w:p>
    <w:p>
      <w:pPr>
        <w:spacing w:line="600" w:lineRule="exact"/>
        <w:ind w:firstLine="629"/>
        <w:rPr>
          <w:rFonts w:hint="eastAsia"/>
          <w:szCs w:val="32"/>
        </w:rPr>
      </w:pPr>
      <w:r>
        <w:rPr>
          <w:rFonts w:hint="eastAsia" w:ascii="楷体_GB2312" w:eastAsia="楷体_GB2312"/>
          <w:szCs w:val="32"/>
        </w:rPr>
        <w:t>（六）防火分隔不到位。</w:t>
      </w:r>
      <w:r>
        <w:rPr>
          <w:rFonts w:hint="eastAsia"/>
          <w:szCs w:val="32"/>
        </w:rPr>
        <w:t>建筑地下与地上部分、住宅与非住宅部分未按规范进行防火分隔。防火隔墙、防火卷帘、防火门等防火分隔设施缺失或者损坏。楼梯间、前室常闭式防火门常开。门窗孔洞、竖向管道井每层楼板处封堵不严密。</w:t>
      </w:r>
    </w:p>
    <w:p>
      <w:pPr>
        <w:spacing w:line="600" w:lineRule="exact"/>
        <w:ind w:firstLine="629"/>
        <w:rPr>
          <w:rFonts w:ascii="楷体_GB2312" w:eastAsia="楷体_GB2312"/>
          <w:szCs w:val="32"/>
        </w:rPr>
      </w:pPr>
      <w:r>
        <w:rPr>
          <w:rFonts w:hint="eastAsia" w:ascii="楷体_GB2312" w:eastAsia="楷体_GB2312"/>
          <w:szCs w:val="32"/>
        </w:rPr>
        <w:t>（七）消防设施损坏停用。</w:t>
      </w:r>
      <w:r>
        <w:rPr>
          <w:rFonts w:hint="eastAsia"/>
          <w:szCs w:val="32"/>
        </w:rPr>
        <w:t>火灾自动报警系统停用或者不能正常运行。消防水泵控制柜处于手动控制状态。自动喷水灭火系统、防火卷帘、机械防排烟等消防设施不能正常联动。消火栓、自动喷水灭火系统不能正常供水。</w:t>
      </w:r>
    </w:p>
    <w:p>
      <w:pPr>
        <w:spacing w:line="600" w:lineRule="exact"/>
        <w:ind w:firstLine="629"/>
        <w:rPr>
          <w:szCs w:val="32"/>
        </w:rPr>
      </w:pPr>
      <w:r>
        <w:rPr>
          <w:rFonts w:hint="eastAsia" w:ascii="楷体_GB2312" w:eastAsia="楷体_GB2312"/>
          <w:szCs w:val="32"/>
        </w:rPr>
        <w:t>（八）违规使用易燃可燃材料装修装饰。</w:t>
      </w:r>
      <w:r>
        <w:rPr>
          <w:rFonts w:hint="eastAsia"/>
          <w:szCs w:val="32"/>
        </w:rPr>
        <w:t>生活区宿舍等临建设施采用易燃可燃材料为芯材的彩钢板搭建。高层建筑使用易燃可燃外墙外保温材料。</w:t>
      </w:r>
    </w:p>
    <w:p>
      <w:pPr>
        <w:spacing w:line="600" w:lineRule="exact"/>
        <w:ind w:firstLine="629"/>
        <w:rPr>
          <w:szCs w:val="32"/>
        </w:rPr>
      </w:pPr>
      <w:r>
        <w:rPr>
          <w:rFonts w:hint="eastAsia" w:ascii="楷体_GB2312" w:eastAsia="楷体_GB2312"/>
          <w:szCs w:val="32"/>
        </w:rPr>
        <w:t>（九）重点岗位人员责任不落实。</w:t>
      </w:r>
      <w:r>
        <w:rPr>
          <w:rFonts w:hint="eastAsia"/>
          <w:szCs w:val="32"/>
        </w:rPr>
        <w:t>施工单位、物业服务企业未依法明确消防安全责任人、管理人及其职责。消防控制室值班人员不会熟练操作设施设备。微型消防站队员不能及时有效处置初起火灾。</w:t>
      </w:r>
    </w:p>
    <w:p>
      <w:pPr>
        <w:spacing w:line="600" w:lineRule="exact"/>
        <w:ind w:firstLine="629"/>
        <w:rPr>
          <w:szCs w:val="32"/>
        </w:rPr>
      </w:pPr>
      <w:r>
        <w:rPr>
          <w:rFonts w:hint="eastAsia" w:ascii="楷体_GB2312" w:eastAsia="楷体_GB2312"/>
          <w:szCs w:val="32"/>
        </w:rPr>
        <w:t>（十）日常管理机制不健全。</w:t>
      </w:r>
      <w:r>
        <w:rPr>
          <w:rFonts w:hint="eastAsia"/>
          <w:szCs w:val="32"/>
        </w:rPr>
        <w:t>施工单位及物业服务企业未定期开展消防设施检测和维护保养，并完整准确记录。未定期开展防火检查巡查，并如实登记报告。未及时整改消除隐患问题，并落实安全防范措施。</w:t>
      </w:r>
    </w:p>
    <w:p>
      <w:pPr>
        <w:spacing w:line="600" w:lineRule="exact"/>
        <w:ind w:firstLine="629"/>
      </w:pPr>
      <w:r>
        <w:rPr>
          <w:rFonts w:hint="eastAsia" w:ascii="楷体_GB2312" w:eastAsia="楷体_GB2312"/>
          <w:szCs w:val="32"/>
        </w:rPr>
        <w:t>（十一）宣传教育培训不深入。</w:t>
      </w:r>
      <w:r>
        <w:rPr>
          <w:rFonts w:hint="eastAsia"/>
          <w:szCs w:val="32"/>
        </w:rPr>
        <w:t>各单位检查整改隐患、扑救初起火灾、组织人员疏散、开展宣传培训能力不足。从业人员不了解本场所火灾危险性，不会报警、不会灭火、不会逃生。</w:t>
      </w:r>
    </w:p>
    <w:p>
      <w:pPr>
        <w:spacing w:line="600" w:lineRule="exact"/>
        <w:ind w:firstLine="629"/>
        <w:rPr>
          <w:rFonts w:ascii="黑体" w:eastAsia="黑体"/>
          <w:szCs w:val="32"/>
        </w:rPr>
      </w:pPr>
      <w:r>
        <w:rPr>
          <w:rFonts w:hint="eastAsia" w:ascii="黑体" w:eastAsia="黑体"/>
          <w:szCs w:val="32"/>
        </w:rPr>
        <w:t>三、组织领导和职责分工</w:t>
      </w:r>
    </w:p>
    <w:p>
      <w:pPr>
        <w:spacing w:line="600" w:lineRule="exact"/>
        <w:ind w:right="-6" w:firstLine="632" w:firstLineChars="200"/>
        <w:rPr>
          <w:szCs w:val="32"/>
        </w:rPr>
      </w:pPr>
      <w:r>
        <w:rPr>
          <w:rFonts w:hint="eastAsia"/>
          <w:szCs w:val="32"/>
        </w:rPr>
        <w:t>市住建委成立全市住建系统“防风险保平安迎大庆”消防安全执法检查专项行动领导小组，赵成副巡视员、王鑫副巡视员为组长，施工安全管理处、房屋安全和设备管理处、物业管理处、房屋租赁处、建设工程安全质量监督总站、物业服务指导中心主要负责人为副组长，各区住建委（房管局）、各集团总公司、各物业服务企业分管安全生产领导为成员。领导小组办公室设在施工安全管理处，凌振军处长兼任办公室主任。各区住建委（房管局）、各集团总公司、各物业服务企业要依据职责，认真落实消防安全执法检查专项行动各项工作。</w:t>
      </w:r>
    </w:p>
    <w:p>
      <w:pPr>
        <w:spacing w:line="600" w:lineRule="exact"/>
        <w:ind w:firstLine="629"/>
        <w:rPr>
          <w:szCs w:val="32"/>
        </w:rPr>
      </w:pPr>
      <w:r>
        <w:rPr>
          <w:rFonts w:hint="eastAsia" w:ascii="楷体_GB2312" w:eastAsia="楷体_GB2312"/>
          <w:szCs w:val="32"/>
        </w:rPr>
        <w:t>（一）督促各工程参建单位、物业服务企业落实主体责任。</w:t>
      </w:r>
      <w:r>
        <w:rPr>
          <w:rFonts w:hint="eastAsia" w:hAnsi="黑体"/>
          <w:szCs w:val="32"/>
        </w:rPr>
        <w:t>1.实名制</w:t>
      </w:r>
      <w:r>
        <w:rPr>
          <w:rFonts w:hAnsi="黑体"/>
          <w:szCs w:val="32"/>
        </w:rPr>
        <w:t>明确</w:t>
      </w:r>
      <w:r>
        <w:rPr>
          <w:rFonts w:hint="eastAsia" w:hAnsi="黑体"/>
          <w:szCs w:val="32"/>
        </w:rPr>
        <w:t>单位</w:t>
      </w:r>
      <w:r>
        <w:rPr>
          <w:rFonts w:hAnsi="黑体"/>
          <w:szCs w:val="32"/>
        </w:rPr>
        <w:t>消防安全责任人</w:t>
      </w:r>
      <w:r>
        <w:rPr>
          <w:rFonts w:hint="eastAsia" w:hAnsi="黑体"/>
          <w:szCs w:val="32"/>
        </w:rPr>
        <w:t>、管理人，牵头组织开展单位内部自查自改工作，制定完善</w:t>
      </w:r>
      <w:r>
        <w:rPr>
          <w:rFonts w:hAnsi="黑体"/>
          <w:szCs w:val="32"/>
        </w:rPr>
        <w:t>消防安全制度、消防安全操作规程、灭火和应急疏散预案</w:t>
      </w:r>
      <w:r>
        <w:rPr>
          <w:rFonts w:hint="eastAsia"/>
          <w:szCs w:val="32"/>
        </w:rPr>
        <w:t>。</w:t>
      </w:r>
      <w:r>
        <w:rPr>
          <w:rFonts w:hint="eastAsia" w:hAnsi="黑体"/>
          <w:szCs w:val="32"/>
        </w:rPr>
        <w:t>2.按照</w:t>
      </w:r>
      <w:r>
        <w:rPr>
          <w:rFonts w:hint="eastAsia"/>
          <w:szCs w:val="32"/>
        </w:rPr>
        <w:t>整治要求（附件1），对照11类风险50项内容逐一开展安全自查，如实填写自查自改</w:t>
      </w:r>
      <w:r>
        <w:rPr>
          <w:szCs w:val="32"/>
        </w:rPr>
        <w:t>登记表</w:t>
      </w:r>
      <w:r>
        <w:rPr>
          <w:rFonts w:hint="eastAsia"/>
          <w:szCs w:val="32"/>
        </w:rPr>
        <w:t>，按时报送至属地乡镇（街道）。3.开展“三自主两公开一承诺”，即：自主评估风险、自主检查安全、自主整改隐患，向社会公开本单位消防安全责任人、管理人及其职责，公开承诺本场所不存在突出风险或者已落实防范措施。4.对自</w:t>
      </w:r>
      <w:r>
        <w:rPr>
          <w:szCs w:val="32"/>
        </w:rPr>
        <w:t>查</w:t>
      </w:r>
      <w:r>
        <w:rPr>
          <w:rFonts w:hint="eastAsia"/>
          <w:szCs w:val="32"/>
        </w:rPr>
        <w:t>发现</w:t>
      </w:r>
      <w:r>
        <w:rPr>
          <w:szCs w:val="32"/>
        </w:rPr>
        <w:t>的隐患</w:t>
      </w:r>
      <w:r>
        <w:rPr>
          <w:rFonts w:hint="eastAsia"/>
          <w:szCs w:val="32"/>
        </w:rPr>
        <w:t>要对照标准，自主</w:t>
      </w:r>
      <w:r>
        <w:rPr>
          <w:szCs w:val="32"/>
        </w:rPr>
        <w:t>整改</w:t>
      </w:r>
      <w:r>
        <w:rPr>
          <w:rFonts w:hint="eastAsia"/>
          <w:szCs w:val="32"/>
        </w:rPr>
        <w:t>。一时无法整改的，要逐级上报行业主管部门，</w:t>
      </w:r>
      <w:r>
        <w:rPr>
          <w:szCs w:val="32"/>
        </w:rPr>
        <w:t>明确整改责任、整改标准和</w:t>
      </w:r>
      <w:r>
        <w:rPr>
          <w:rFonts w:hint="eastAsia"/>
          <w:szCs w:val="32"/>
        </w:rPr>
        <w:t>时限</w:t>
      </w:r>
      <w:r>
        <w:rPr>
          <w:szCs w:val="32"/>
        </w:rPr>
        <w:t>要求</w:t>
      </w:r>
      <w:r>
        <w:rPr>
          <w:rFonts w:hint="eastAsia"/>
          <w:szCs w:val="32"/>
        </w:rPr>
        <w:t>。</w:t>
      </w:r>
    </w:p>
    <w:p>
      <w:pPr>
        <w:spacing w:line="600" w:lineRule="exact"/>
        <w:ind w:firstLine="632" w:firstLineChars="200"/>
        <w:rPr>
          <w:rFonts w:hint="eastAsia" w:ascii="黑体" w:eastAsia="黑体"/>
          <w:szCs w:val="32"/>
        </w:rPr>
      </w:pPr>
      <w:r>
        <w:rPr>
          <w:rFonts w:hint="eastAsia" w:ascii="楷体_GB2312" w:eastAsia="楷体_GB2312"/>
          <w:szCs w:val="32"/>
        </w:rPr>
        <w:t>（二）各区住建（房管）部门要落实监管责任。</w:t>
      </w:r>
      <w:r>
        <w:rPr>
          <w:rFonts w:hint="eastAsia" w:hAnsi="宋体"/>
          <w:szCs w:val="32"/>
        </w:rPr>
        <w:t>按照“管行业必须管安全”、“谁主管谁负责”的原则，各区住建（房管）部门要</w:t>
      </w:r>
      <w:r>
        <w:rPr>
          <w:rFonts w:hint="eastAsia"/>
          <w:szCs w:val="32"/>
        </w:rPr>
        <w:t>按照《北京城市安全隐患治理三年行动方案（2018-2020年）》要求，推进防护层破损的可燃外保温材料更换或修补，加强施工现场消防安全管理，督促房屋管理单位、物业服务企业严格履行安全管理职责和义务，完善管理制度，加强安全检查，规范电动自行车停放、充电等行为。要</w:t>
      </w:r>
      <w:r>
        <w:rPr>
          <w:rFonts w:hint="eastAsia" w:hAnsi="宋体"/>
          <w:szCs w:val="32"/>
        </w:rPr>
        <w:t>对照整治要求，细化整治标准，指导落实整改措施。要对照施工单位、物业服务企业汇总上报的台账，进行梳理比对，防止失控漏管。对</w:t>
      </w:r>
      <w:r>
        <w:rPr>
          <w:rFonts w:hint="eastAsia"/>
          <w:szCs w:val="32"/>
        </w:rPr>
        <w:t>施工现场及实施物业管理的高层建筑、老旧小区、大屋脊筒子楼消防安全隐患排查整治情况</w:t>
      </w:r>
      <w:r>
        <w:rPr>
          <w:rFonts w:hint="eastAsia" w:hAnsi="宋体"/>
          <w:szCs w:val="32"/>
        </w:rPr>
        <w:t>要按照一定比例进行抽查，并于8月20日前将抽查情况书面报送市住建委（涉及施工现场及生活区的报送施工安全管理处、涉及物业管理的报送物业服务指导中心）</w:t>
      </w:r>
      <w:r>
        <w:rPr>
          <w:rFonts w:hint="eastAsia"/>
          <w:szCs w:val="32"/>
        </w:rPr>
        <w:t>。</w:t>
      </w:r>
    </w:p>
    <w:p>
      <w:pPr>
        <w:spacing w:line="600" w:lineRule="exact"/>
        <w:ind w:firstLine="629"/>
        <w:rPr>
          <w:rFonts w:ascii="黑体" w:eastAsia="黑体"/>
          <w:szCs w:val="32"/>
        </w:rPr>
      </w:pPr>
      <w:r>
        <w:rPr>
          <w:rFonts w:hint="eastAsia" w:ascii="黑体" w:eastAsia="黑体"/>
          <w:szCs w:val="32"/>
        </w:rPr>
        <w:t>四、工作安排</w:t>
      </w:r>
    </w:p>
    <w:p>
      <w:pPr>
        <w:spacing w:line="600" w:lineRule="exact"/>
        <w:ind w:firstLine="632" w:firstLineChars="200"/>
        <w:rPr>
          <w:szCs w:val="32"/>
        </w:rPr>
      </w:pPr>
      <w:r>
        <w:rPr>
          <w:rFonts w:hint="eastAsia"/>
          <w:szCs w:val="32"/>
        </w:rPr>
        <w:t>从2019年5月份开始到12月份结束，集中利用7个月时间，开展全市住建系统“防风险保平安迎大庆”消防安全执法检查专项行动。</w:t>
      </w:r>
    </w:p>
    <w:p>
      <w:pPr>
        <w:spacing w:line="600" w:lineRule="exact"/>
        <w:ind w:firstLine="540"/>
        <w:rPr>
          <w:rFonts w:ascii="楷体_GB2312" w:eastAsia="楷体_GB2312"/>
        </w:rPr>
      </w:pPr>
      <w:r>
        <w:rPr>
          <w:rFonts w:hint="eastAsia" w:ascii="楷体_GB2312" w:eastAsia="楷体_GB2312"/>
        </w:rPr>
        <w:t>（一）部署排查阶段（5月30日-</w:t>
      </w:r>
      <w:r>
        <w:rPr>
          <w:rFonts w:ascii="楷体_GB2312" w:eastAsia="楷体_GB2312"/>
        </w:rPr>
        <w:t>6</w:t>
      </w:r>
      <w:r>
        <w:rPr>
          <w:rFonts w:hint="eastAsia" w:ascii="楷体_GB2312" w:eastAsia="楷体_GB2312"/>
        </w:rPr>
        <w:t>月底）</w:t>
      </w:r>
    </w:p>
    <w:p>
      <w:pPr>
        <w:spacing w:line="600" w:lineRule="exact"/>
        <w:ind w:firstLine="540"/>
      </w:pPr>
      <w:r>
        <w:rPr>
          <w:rFonts w:hint="eastAsia"/>
        </w:rPr>
        <w:t>各单位要结合本地区、本行业实际特点，全面部署开展专项检查行动。</w:t>
      </w:r>
    </w:p>
    <w:p>
      <w:pPr>
        <w:spacing w:line="600" w:lineRule="exact"/>
        <w:ind w:firstLine="540"/>
      </w:pPr>
      <w:r>
        <w:rPr>
          <w:rFonts w:hint="eastAsia"/>
        </w:rPr>
        <w:t>1.各单位要结合实际制定具体实施方案，</w:t>
      </w:r>
      <w:r>
        <w:rPr>
          <w:rFonts w:hint="eastAsia"/>
          <w:szCs w:val="32"/>
        </w:rPr>
        <w:t>明确职责任务、</w:t>
      </w:r>
      <w:r>
        <w:rPr>
          <w:rFonts w:hint="eastAsia"/>
        </w:rPr>
        <w:t>检查标准、方法措施</w:t>
      </w:r>
      <w:r>
        <w:rPr>
          <w:szCs w:val="32"/>
        </w:rPr>
        <w:t>、工作要求</w:t>
      </w:r>
      <w:r>
        <w:rPr>
          <w:rFonts w:hint="eastAsia"/>
        </w:rPr>
        <w:t>，落实责任、细化措施，层层动员部署，广泛宣传发动。</w:t>
      </w:r>
    </w:p>
    <w:p>
      <w:pPr>
        <w:spacing w:line="600" w:lineRule="exact"/>
        <w:ind w:firstLine="540"/>
      </w:pPr>
      <w:r>
        <w:rPr>
          <w:rFonts w:hint="eastAsia"/>
        </w:rPr>
        <w:t>2.各单位要按照专项行动部署要求，将工作方案下发到各工程参建单位、物业服务区域，督促指导各单位（场所）深入开展自查自改。</w:t>
      </w:r>
    </w:p>
    <w:p>
      <w:pPr>
        <w:spacing w:line="600" w:lineRule="exact"/>
        <w:ind w:firstLine="540"/>
        <w:rPr>
          <w:rFonts w:hAnsi="宋体"/>
          <w:szCs w:val="32"/>
        </w:rPr>
      </w:pPr>
      <w:r>
        <w:rPr>
          <w:rFonts w:hint="eastAsia"/>
          <w:szCs w:val="32"/>
        </w:rPr>
        <w:t>3.6月15日前，施工单位、物业服务企业要将消防</w:t>
      </w:r>
      <w:r>
        <w:rPr>
          <w:szCs w:val="32"/>
        </w:rPr>
        <w:t>安全</w:t>
      </w:r>
      <w:r>
        <w:rPr>
          <w:rFonts w:hint="eastAsia"/>
          <w:szCs w:val="32"/>
        </w:rPr>
        <w:t>评估结果、自查自改</w:t>
      </w:r>
      <w:r>
        <w:rPr>
          <w:szCs w:val="32"/>
        </w:rPr>
        <w:t>登记表</w:t>
      </w:r>
      <w:r>
        <w:rPr>
          <w:rFonts w:hint="eastAsia"/>
          <w:szCs w:val="32"/>
        </w:rPr>
        <w:t>（附件</w:t>
      </w:r>
      <w:r>
        <w:rPr>
          <w:szCs w:val="32"/>
        </w:rPr>
        <w:t>2</w:t>
      </w:r>
      <w:r>
        <w:rPr>
          <w:rFonts w:hint="eastAsia"/>
          <w:szCs w:val="32"/>
        </w:rPr>
        <w:t>）、消防安全承诺（附件</w:t>
      </w:r>
      <w:r>
        <w:rPr>
          <w:szCs w:val="32"/>
        </w:rPr>
        <w:t>3</w:t>
      </w:r>
      <w:r>
        <w:rPr>
          <w:rFonts w:hint="eastAsia"/>
          <w:szCs w:val="32"/>
        </w:rPr>
        <w:t>）书面报告</w:t>
      </w:r>
      <w:r>
        <w:rPr>
          <w:szCs w:val="32"/>
        </w:rPr>
        <w:t>街道乡镇</w:t>
      </w:r>
      <w:r>
        <w:rPr>
          <w:rFonts w:hint="eastAsia" w:hAnsi="宋体"/>
          <w:szCs w:val="32"/>
        </w:rPr>
        <w:t>。</w:t>
      </w:r>
    </w:p>
    <w:p>
      <w:pPr>
        <w:spacing w:line="600" w:lineRule="exact"/>
        <w:ind w:firstLine="540"/>
        <w:rPr>
          <w:rFonts w:ascii="楷体_GB2312" w:eastAsia="楷体_GB2312"/>
        </w:rPr>
      </w:pPr>
      <w:r>
        <w:rPr>
          <w:rFonts w:hint="eastAsia" w:ascii="楷体_GB2312" w:eastAsia="楷体_GB2312"/>
        </w:rPr>
        <w:t>（二）集中整治阶段（</w:t>
      </w:r>
      <w:r>
        <w:rPr>
          <w:rFonts w:ascii="楷体_GB2312" w:eastAsia="楷体_GB2312"/>
        </w:rPr>
        <w:t>7</w:t>
      </w:r>
      <w:r>
        <w:rPr>
          <w:rFonts w:hint="eastAsia" w:ascii="楷体_GB2312" w:eastAsia="楷体_GB2312"/>
        </w:rPr>
        <w:t>月1日至</w:t>
      </w:r>
      <w:r>
        <w:rPr>
          <w:rFonts w:ascii="楷体_GB2312" w:eastAsia="楷体_GB2312"/>
        </w:rPr>
        <w:t>9</w:t>
      </w:r>
      <w:r>
        <w:rPr>
          <w:rFonts w:hint="eastAsia" w:ascii="楷体_GB2312" w:eastAsia="楷体_GB2312"/>
        </w:rPr>
        <w:t>月底）</w:t>
      </w:r>
    </w:p>
    <w:p>
      <w:pPr>
        <w:spacing w:line="600" w:lineRule="exact"/>
        <w:ind w:firstLine="632" w:firstLineChars="200"/>
      </w:pPr>
      <w:r>
        <w:rPr>
          <w:rFonts w:hint="eastAsia"/>
        </w:rPr>
        <w:t>按照方案部署要求和各项规定动作，</w:t>
      </w:r>
      <w:r>
        <w:rPr>
          <w:rFonts w:hint="eastAsia"/>
          <w:szCs w:val="28"/>
        </w:rPr>
        <w:t>落实属地监管、行业监管、专项监管、综合监管责任，统筹推动各项工作落实。</w:t>
      </w:r>
    </w:p>
    <w:p>
      <w:pPr>
        <w:spacing w:line="600" w:lineRule="exact"/>
        <w:ind w:firstLine="632" w:firstLineChars="200"/>
      </w:pPr>
      <w:r>
        <w:rPr>
          <w:rFonts w:hint="eastAsia"/>
        </w:rPr>
        <w:t>1.各区住建委（房管局）、各集团总公司、各物业服务企业要结合实际制定检查表，详细列明检查事项、具体内容和检查标准，在施工现场及生活区、物业服务区域等自查自改的基础上组织开展消防安全隐患抽查检查。</w:t>
      </w:r>
    </w:p>
    <w:p>
      <w:pPr>
        <w:spacing w:line="600" w:lineRule="exact"/>
        <w:ind w:firstLine="632" w:firstLineChars="200"/>
      </w:pPr>
      <w:r>
        <w:rPr>
          <w:rFonts w:hint="eastAsia"/>
        </w:rPr>
        <w:t>2.对检查发现的违法违规行为要依法进行高限处罚，并责令立即整改。</w:t>
      </w:r>
    </w:p>
    <w:p>
      <w:pPr>
        <w:spacing w:line="600" w:lineRule="exact"/>
        <w:ind w:firstLine="632" w:firstLineChars="200"/>
      </w:pPr>
      <w:r>
        <w:rPr>
          <w:rFonts w:hint="eastAsia"/>
        </w:rPr>
        <w:t>3.9月底前，未整改到位的突出火灾隐患，要采取停止施工、停止动火动焊施工、切断电源气源、实名制看护等严管严控措施。对不放心、不托底的薄弱环节，要部署应急力量前置备勤</w:t>
      </w:r>
      <w:r>
        <w:t>。</w:t>
      </w:r>
    </w:p>
    <w:p>
      <w:pPr>
        <w:spacing w:line="600" w:lineRule="exact"/>
        <w:ind w:firstLine="632" w:firstLineChars="200"/>
      </w:pPr>
      <w:r>
        <w:rPr>
          <w:rFonts w:hint="eastAsia"/>
        </w:rPr>
        <w:t>4.各单位要加强警示教育和联合惩戒，对消防安全隐患整改不力、存在严重违法违规行为、发生火情事故的单位，要加大处罚力度，并在全市范围内进行通报。</w:t>
      </w:r>
    </w:p>
    <w:p>
      <w:pPr>
        <w:spacing w:line="600" w:lineRule="exact"/>
        <w:ind w:firstLine="632" w:firstLineChars="200"/>
        <w:rPr>
          <w:rFonts w:cs="微软雅黑"/>
          <w:kern w:val="0"/>
          <w:szCs w:val="32"/>
        </w:rPr>
      </w:pPr>
      <w:r>
        <w:rPr>
          <w:rFonts w:hint="eastAsia" w:cs="微软雅黑"/>
          <w:kern w:val="0"/>
          <w:szCs w:val="32"/>
        </w:rPr>
        <w:t>5.</w:t>
      </w:r>
      <w:r>
        <w:rPr>
          <w:rFonts w:hint="eastAsia" w:cs="微软雅黑"/>
          <w:kern w:val="0"/>
          <w:szCs w:val="32"/>
          <w:lang w:val="zh-CN"/>
        </w:rPr>
        <w:t>注重工作</w:t>
      </w:r>
      <w:r>
        <w:rPr>
          <w:rFonts w:cs="微软雅黑"/>
          <w:kern w:val="0"/>
          <w:szCs w:val="32"/>
          <w:lang w:val="zh-CN"/>
        </w:rPr>
        <w:t>方式方法</w:t>
      </w:r>
      <w:r>
        <w:rPr>
          <w:rFonts w:cs="微软雅黑"/>
          <w:kern w:val="0"/>
          <w:szCs w:val="32"/>
        </w:rPr>
        <w:t>，</w:t>
      </w:r>
      <w:r>
        <w:rPr>
          <w:rFonts w:hint="eastAsia" w:cs="微软雅黑"/>
          <w:kern w:val="0"/>
          <w:szCs w:val="32"/>
        </w:rPr>
        <w:t>坚持</w:t>
      </w:r>
      <w:r>
        <w:rPr>
          <w:rFonts w:hint="eastAsia" w:cs="微软雅黑"/>
          <w:kern w:val="0"/>
          <w:szCs w:val="32"/>
          <w:lang w:val="zh-CN"/>
        </w:rPr>
        <w:t>坚定不移、平稳有序、人文关怀、</w:t>
      </w:r>
      <w:r>
        <w:rPr>
          <w:rFonts w:hint="eastAsia" w:cs="微软雅黑"/>
          <w:kern w:val="0"/>
          <w:szCs w:val="32"/>
        </w:rPr>
        <w:t>文明规范的执法理念，讲清危害、讲清后果、讲清责任，杜绝简单粗暴、机械执法。</w:t>
      </w:r>
    </w:p>
    <w:p>
      <w:pPr>
        <w:spacing w:line="600" w:lineRule="exact"/>
        <w:ind w:firstLine="632" w:firstLineChars="200"/>
        <w:rPr>
          <w:rFonts w:ascii="楷体_GB2312" w:eastAsia="楷体_GB2312"/>
        </w:rPr>
      </w:pPr>
      <w:r>
        <w:rPr>
          <w:rFonts w:hint="eastAsia" w:ascii="楷体_GB2312" w:eastAsia="楷体_GB2312"/>
        </w:rPr>
        <w:t>（三）总结验收阶段（10月1日至年底）。</w:t>
      </w:r>
    </w:p>
    <w:p>
      <w:pPr>
        <w:spacing w:line="600" w:lineRule="exact"/>
        <w:ind w:firstLine="632" w:firstLineChars="200"/>
        <w:rPr>
          <w:szCs w:val="32"/>
        </w:rPr>
      </w:pPr>
      <w:r>
        <w:rPr>
          <w:rFonts w:hint="eastAsia"/>
          <w:szCs w:val="28"/>
        </w:rPr>
        <w:t>各单位要</w:t>
      </w:r>
      <w:r>
        <w:rPr>
          <w:rFonts w:hint="eastAsia"/>
          <w:szCs w:val="32"/>
        </w:rPr>
        <w:t>组织对专项行动进行检查验收，健全完善防范化解重大安全风险工作机制和具体措施。</w:t>
      </w:r>
    </w:p>
    <w:p>
      <w:pPr>
        <w:spacing w:line="600" w:lineRule="exact"/>
        <w:ind w:firstLine="632" w:firstLineChars="200"/>
        <w:rPr>
          <w:szCs w:val="32"/>
        </w:rPr>
      </w:pPr>
      <w:r>
        <w:rPr>
          <w:rFonts w:hint="eastAsia"/>
          <w:szCs w:val="32"/>
        </w:rPr>
        <w:t>各单位要组织开展“回头看”检查，抽查比例不低于10%。突出对重要区域、重点工程进行重点抽查检查，对存在较大消防安全隐患风险以及发生过火情事故的单位要进行跟踪复查。</w:t>
      </w:r>
    </w:p>
    <w:p>
      <w:pPr>
        <w:spacing w:line="600" w:lineRule="exact"/>
        <w:ind w:firstLine="629"/>
        <w:rPr>
          <w:rFonts w:eastAsia="黑体"/>
          <w:szCs w:val="32"/>
        </w:rPr>
      </w:pPr>
      <w:r>
        <w:rPr>
          <w:rFonts w:hint="eastAsia" w:ascii="黑体" w:eastAsia="黑体"/>
          <w:szCs w:val="32"/>
        </w:rPr>
        <w:t>五</w:t>
      </w:r>
      <w:r>
        <w:rPr>
          <w:rFonts w:ascii="黑体" w:eastAsia="黑体"/>
          <w:szCs w:val="32"/>
        </w:rPr>
        <w:t>、</w:t>
      </w:r>
      <w:r>
        <w:rPr>
          <w:rFonts w:hint="eastAsia" w:ascii="黑体" w:eastAsia="黑体"/>
          <w:szCs w:val="32"/>
        </w:rPr>
        <w:t>工作要求</w:t>
      </w:r>
    </w:p>
    <w:p>
      <w:pPr>
        <w:spacing w:line="600" w:lineRule="exact"/>
        <w:ind w:firstLine="632" w:firstLineChars="200"/>
        <w:rPr>
          <w:rFonts w:cs="微软雅黑"/>
          <w:kern w:val="0"/>
          <w:szCs w:val="32"/>
          <w:lang w:val="zh-CN"/>
        </w:rPr>
      </w:pPr>
      <w:r>
        <w:rPr>
          <w:rFonts w:hint="eastAsia" w:ascii="楷体_GB2312" w:eastAsia="楷体_GB2312" w:cs="微软雅黑"/>
          <w:kern w:val="0"/>
          <w:szCs w:val="32"/>
          <w:lang w:val="zh-CN"/>
        </w:rPr>
        <w:t>（一）坚持党政同责，落实安全责任。</w:t>
      </w:r>
      <w:r>
        <w:rPr>
          <w:rFonts w:hint="eastAsia" w:cs="微软雅黑"/>
          <w:kern w:val="0"/>
          <w:szCs w:val="32"/>
          <w:lang w:val="zh-CN"/>
        </w:rPr>
        <w:t>各单位要坚持科学发展、安全发展，切实加强对住建系统消防安全的管理。要高度重视此次专项行动，进一步强化责任担当，各单位主要负责同志要亲自抓直接管，分管领导要具体</w:t>
      </w:r>
      <w:r>
        <w:rPr>
          <w:rFonts w:cs="微软雅黑"/>
          <w:kern w:val="0"/>
          <w:szCs w:val="32"/>
          <w:lang w:val="zh-CN"/>
        </w:rPr>
        <w:t>负责</w:t>
      </w:r>
      <w:r>
        <w:rPr>
          <w:rFonts w:hint="eastAsia" w:cs="微软雅黑"/>
          <w:kern w:val="0"/>
          <w:szCs w:val="32"/>
          <w:lang w:val="zh-CN"/>
        </w:rPr>
        <w:t>，加强组织协调、检查指导，组织</w:t>
      </w:r>
      <w:r>
        <w:rPr>
          <w:rFonts w:cs="微软雅黑"/>
          <w:kern w:val="0"/>
          <w:szCs w:val="32"/>
          <w:lang w:val="zh-CN"/>
        </w:rPr>
        <w:t>建立</w:t>
      </w:r>
      <w:r>
        <w:rPr>
          <w:rFonts w:hint="eastAsia" w:cs="微软雅黑"/>
          <w:kern w:val="0"/>
          <w:szCs w:val="32"/>
          <w:lang w:val="zh-CN"/>
        </w:rPr>
        <w:t>工作专班</w:t>
      </w:r>
      <w:r>
        <w:rPr>
          <w:rFonts w:cs="微软雅黑"/>
          <w:kern w:val="0"/>
          <w:szCs w:val="32"/>
          <w:lang w:val="zh-CN"/>
        </w:rPr>
        <w:t>和协调机制，</w:t>
      </w:r>
      <w:r>
        <w:rPr>
          <w:rFonts w:hint="eastAsia" w:cs="微软雅黑"/>
          <w:kern w:val="0"/>
          <w:szCs w:val="32"/>
          <w:lang w:val="zh-CN"/>
        </w:rPr>
        <w:t>确保组织领导到位。</w:t>
      </w:r>
    </w:p>
    <w:p>
      <w:pPr>
        <w:spacing w:line="600" w:lineRule="exact"/>
        <w:ind w:firstLine="632" w:firstLineChars="200"/>
        <w:rPr>
          <w:rFonts w:cs="微软雅黑"/>
          <w:kern w:val="0"/>
          <w:szCs w:val="32"/>
          <w:lang w:val="zh-CN"/>
        </w:rPr>
      </w:pPr>
      <w:r>
        <w:rPr>
          <w:rFonts w:hint="eastAsia" w:ascii="楷体_GB2312" w:eastAsia="楷体_GB2312" w:cs="微软雅黑"/>
          <w:kern w:val="0"/>
          <w:szCs w:val="32"/>
          <w:lang w:val="zh-CN"/>
        </w:rPr>
        <w:t>（二）健全工作机制，强化协调配合。各单位要</w:t>
      </w:r>
      <w:r>
        <w:rPr>
          <w:rFonts w:hint="eastAsia" w:cs="微软雅黑"/>
          <w:kern w:val="0"/>
          <w:szCs w:val="32"/>
          <w:lang w:val="zh-CN"/>
        </w:rPr>
        <w:t>健全完善情况通报、定期会商、约谈培训等工作机制，形成联勤联动的整体工作合力。</w:t>
      </w:r>
      <w:r>
        <w:rPr>
          <w:rFonts w:hint="eastAsia" w:hAnsi="黑体" w:cs="微软雅黑"/>
          <w:kern w:val="0"/>
          <w:szCs w:val="32"/>
          <w:lang w:val="zh-CN"/>
        </w:rPr>
        <w:t>完善通报制度，自2019年6月开始，每月在安全生产和绿色施工例会上通报消防安全执法专项行动开展情况，市住建委定期统计相关数据，并将专项行动开展情况上报</w:t>
      </w:r>
      <w:r>
        <w:rPr>
          <w:rFonts w:hint="eastAsia" w:hAnsi="楷体"/>
          <w:szCs w:val="32"/>
        </w:rPr>
        <w:t>市安全委员会、市防火委员会。</w:t>
      </w:r>
      <w:r>
        <w:rPr>
          <w:rFonts w:hint="eastAsia" w:hAnsi="仿宋"/>
          <w:szCs w:val="32"/>
        </w:rPr>
        <w:t>完善约谈培训机制，</w:t>
      </w:r>
      <w:r>
        <w:rPr>
          <w:rFonts w:hint="eastAsia"/>
          <w:szCs w:val="32"/>
        </w:rPr>
        <w:t>对消防安全责任人、管理人以及消防控制室值班人员、微型消防站主管人员等集中开展约谈培训，提示突出风险，明确工作责任，宣讲检查重点、标准和要求</w:t>
      </w:r>
      <w:r>
        <w:rPr>
          <w:rFonts w:hint="eastAsia" w:hAnsi="宋体"/>
          <w:szCs w:val="32"/>
        </w:rPr>
        <w:t>。</w:t>
      </w:r>
    </w:p>
    <w:p>
      <w:pPr>
        <w:spacing w:line="600" w:lineRule="exact"/>
        <w:ind w:firstLine="632" w:firstLineChars="200"/>
        <w:rPr>
          <w:rFonts w:cs="微软雅黑"/>
          <w:kern w:val="0"/>
          <w:szCs w:val="32"/>
          <w:lang w:val="zh-CN"/>
        </w:rPr>
      </w:pPr>
      <w:r>
        <w:rPr>
          <w:rFonts w:hint="eastAsia" w:ascii="楷体_GB2312" w:eastAsia="楷体_GB2312" w:cs="微软雅黑"/>
          <w:kern w:val="0"/>
          <w:szCs w:val="32"/>
          <w:lang w:val="zh-CN"/>
        </w:rPr>
        <w:t>（三）做好宣传引导，营造强大声势。</w:t>
      </w:r>
      <w:r>
        <w:rPr>
          <w:rFonts w:hint="eastAsia" w:cs="微软雅黑"/>
          <w:kern w:val="0"/>
          <w:szCs w:val="32"/>
          <w:lang w:val="zh-CN"/>
        </w:rPr>
        <w:t>要</w:t>
      </w:r>
      <w:r>
        <w:rPr>
          <w:rFonts w:hint="eastAsia"/>
          <w:szCs w:val="32"/>
        </w:rPr>
        <w:t>持续深化火灾风险隐患“自知、自查、自改”活动，充分利用各种媒体资源和宣传阵地，</w:t>
      </w:r>
      <w:r>
        <w:rPr>
          <w:rFonts w:hint="eastAsia"/>
          <w:kern w:val="0"/>
          <w:szCs w:val="32"/>
        </w:rPr>
        <w:t>全面普及消防常识</w:t>
      </w:r>
      <w:r>
        <w:rPr>
          <w:rFonts w:hint="eastAsia" w:cs="微软雅黑"/>
          <w:kern w:val="0"/>
          <w:szCs w:val="32"/>
          <w:lang w:val="zh-CN"/>
        </w:rPr>
        <w:t>，广泛宣传专项行动开展情况以及重点工作成效，推广典型经验，营造浓厚氛围。</w:t>
      </w:r>
    </w:p>
    <w:p>
      <w:pPr>
        <w:spacing w:line="600" w:lineRule="exact"/>
        <w:ind w:firstLine="632" w:firstLineChars="200"/>
        <w:rPr>
          <w:rFonts w:hAnsi="仿宋"/>
          <w:szCs w:val="32"/>
        </w:rPr>
      </w:pPr>
      <w:r>
        <w:rPr>
          <w:rFonts w:hint="eastAsia" w:ascii="楷体_GB2312" w:eastAsia="楷体_GB2312"/>
          <w:szCs w:val="32"/>
        </w:rPr>
        <w:t>（四）加大督查力度，从严查处违法违规行为。</w:t>
      </w:r>
      <w:r>
        <w:rPr>
          <w:rFonts w:hint="eastAsia"/>
          <w:szCs w:val="32"/>
        </w:rPr>
        <w:t>市、区两级住建（房管）部门将组织</w:t>
      </w:r>
      <w:r>
        <w:rPr>
          <w:szCs w:val="32"/>
        </w:rPr>
        <w:t>成立督查</w:t>
      </w:r>
      <w:r>
        <w:rPr>
          <w:rFonts w:hint="eastAsia"/>
          <w:szCs w:val="32"/>
        </w:rPr>
        <w:t>组，开展明察暗访，督办工作落实，</w:t>
      </w:r>
      <w:r>
        <w:rPr>
          <w:rFonts w:hint="eastAsia" w:hAnsi="仿宋"/>
          <w:szCs w:val="32"/>
        </w:rPr>
        <w:t>对工作迟缓、整治不力、火灾频发的，将进行从严查处。对自查自改不认真、消防安全隐患整治不彻底、专项检查责任不落实的，将实行差别化监管。对发生亡人和造成重大社会影响的火灾事故的，将依法严惩事故责任单位。</w:t>
      </w:r>
    </w:p>
    <w:p>
      <w:pPr>
        <w:adjustRightInd w:val="0"/>
        <w:snapToGrid w:val="0"/>
        <w:spacing w:line="600" w:lineRule="exact"/>
        <w:ind w:firstLine="632" w:firstLineChars="200"/>
        <w:rPr>
          <w:rFonts w:hint="eastAsia" w:cs="微软雅黑"/>
          <w:kern w:val="0"/>
          <w:szCs w:val="32"/>
          <w:lang w:val="zh-CN"/>
        </w:rPr>
      </w:pPr>
      <w:r>
        <w:rPr>
          <w:rFonts w:hint="eastAsia" w:ascii="楷体_GB2312" w:eastAsia="楷体_GB2312" w:cs="微软雅黑"/>
          <w:kern w:val="0"/>
          <w:szCs w:val="32"/>
          <w:lang w:val="zh-CN"/>
        </w:rPr>
        <w:t>（五）加强信息报送，确保信息畅通。</w:t>
      </w:r>
      <w:r>
        <w:rPr>
          <w:rFonts w:hint="eastAsia" w:cs="微软雅黑"/>
          <w:kern w:val="0"/>
          <w:szCs w:val="32"/>
          <w:lang w:val="zh-CN"/>
        </w:rPr>
        <w:t>专项行动期间，各单位要加强情况信息收集汇总，认真总结提炼经验做法，明确专人负责，及时反馈工作情况。6月4日前各区住建委（房管局）上报主管领导、联络员名单（附件</w:t>
      </w:r>
      <w:r>
        <w:rPr>
          <w:rFonts w:cs="微软雅黑"/>
          <w:kern w:val="0"/>
          <w:szCs w:val="32"/>
          <w:lang w:val="zh-CN"/>
        </w:rPr>
        <w:t>5</w:t>
      </w:r>
      <w:r>
        <w:rPr>
          <w:rFonts w:hint="eastAsia" w:cs="微软雅黑"/>
          <w:kern w:val="0"/>
          <w:szCs w:val="32"/>
          <w:lang w:val="zh-CN"/>
        </w:rPr>
        <w:t>）、专项行动</w:t>
      </w:r>
      <w:r>
        <w:rPr>
          <w:rFonts w:cs="微软雅黑"/>
          <w:kern w:val="0"/>
          <w:szCs w:val="32"/>
          <w:lang w:val="zh-CN"/>
        </w:rPr>
        <w:t>方案、动员</w:t>
      </w:r>
      <w:r>
        <w:rPr>
          <w:rFonts w:hint="eastAsia" w:cs="微软雅黑"/>
          <w:kern w:val="0"/>
          <w:szCs w:val="32"/>
          <w:lang w:val="zh-CN"/>
        </w:rPr>
        <w:t>部署情况；</w:t>
      </w:r>
      <w:r>
        <w:rPr>
          <w:rFonts w:hint="eastAsia"/>
        </w:rPr>
        <w:t>8月20日前上报抽查情况；</w:t>
      </w:r>
      <w:r>
        <w:rPr>
          <w:rFonts w:hint="eastAsia" w:cs="微软雅黑"/>
          <w:kern w:val="0"/>
          <w:szCs w:val="32"/>
          <w:lang w:val="zh-CN"/>
        </w:rPr>
        <w:t>5月至12月，每月20日前上报月工作小结；12月10日前报送工作总结。材料上报方式：市住房城乡建设委</w:t>
      </w:r>
      <w:r>
        <w:rPr>
          <w:rFonts w:cs="微软雅黑"/>
          <w:kern w:val="0"/>
          <w:szCs w:val="32"/>
          <w:lang w:val="zh-CN"/>
        </w:rPr>
        <w:fldChar w:fldCharType="begin"/>
      </w:r>
      <w:r>
        <w:rPr>
          <w:rFonts w:cs="微软雅黑"/>
          <w:kern w:val="0"/>
          <w:szCs w:val="32"/>
          <w:lang w:val="zh-CN"/>
        </w:rPr>
        <w:instrText xml:space="preserve"> HYPERLINK "mailto:</w:instrText>
      </w:r>
      <w:r>
        <w:rPr>
          <w:rFonts w:hint="eastAsia" w:cs="微软雅黑"/>
          <w:kern w:val="0"/>
          <w:szCs w:val="32"/>
          <w:lang w:val="zh-CN"/>
        </w:rPr>
        <w:instrText xml:space="preserve">施工安全管理处邮箱：shigongchu211@163.com，联系人：吴锋，联系电话：55597183</w:instrText>
      </w:r>
      <w:r>
        <w:rPr>
          <w:rFonts w:cs="微软雅黑"/>
          <w:kern w:val="0"/>
          <w:szCs w:val="32"/>
          <w:lang w:val="zh-CN"/>
        </w:rPr>
        <w:instrText xml:space="preserve">" </w:instrText>
      </w:r>
      <w:r>
        <w:rPr>
          <w:rFonts w:cs="微软雅黑"/>
          <w:kern w:val="0"/>
          <w:szCs w:val="32"/>
          <w:lang w:val="zh-CN"/>
        </w:rPr>
        <w:fldChar w:fldCharType="separate"/>
      </w:r>
      <w:r>
        <w:rPr>
          <w:rStyle w:val="7"/>
          <w:rFonts w:hint="eastAsia" w:ascii="仿宋_GB2312" w:hAnsi="Times New Roman" w:cs="微软雅黑"/>
          <w:color w:val="auto"/>
          <w:sz w:val="32"/>
          <w:szCs w:val="32"/>
          <w:u w:val="none"/>
          <w:lang w:val="zh-CN" w:eastAsia="zh-CN"/>
        </w:rPr>
        <w:t>施工安全管理处邮箱：shigongchu211@163.com，联系人：吴锋，联系电话：55597183</w:t>
      </w:r>
      <w:r>
        <w:rPr>
          <w:rFonts w:cs="微软雅黑"/>
          <w:kern w:val="0"/>
          <w:szCs w:val="32"/>
          <w:lang w:val="zh-CN"/>
        </w:rPr>
        <w:fldChar w:fldCharType="end"/>
      </w:r>
      <w:r>
        <w:rPr>
          <w:rFonts w:hint="eastAsia" w:cs="微软雅黑"/>
          <w:kern w:val="0"/>
          <w:szCs w:val="32"/>
          <w:lang w:val="zh-CN"/>
        </w:rPr>
        <w:t>；物业服务指导中心邮箱：</w:t>
      </w:r>
      <w:r>
        <w:rPr>
          <w:rFonts w:cs="华文中宋"/>
          <w:kern w:val="0"/>
          <w:szCs w:val="32"/>
          <w:lang w:val="zh-CN"/>
        </w:rPr>
        <w:fldChar w:fldCharType="begin"/>
      </w:r>
      <w:r>
        <w:rPr>
          <w:rFonts w:cs="华文中宋"/>
          <w:kern w:val="0"/>
          <w:szCs w:val="32"/>
          <w:lang w:val="zh-CN"/>
        </w:rPr>
        <w:instrText xml:space="preserve"> HYPERLINK "mailto:sjwwdss@163.com</w:instrText>
      </w:r>
      <w:r>
        <w:rPr>
          <w:rFonts w:hint="eastAsia" w:cs="微软雅黑"/>
          <w:kern w:val="0"/>
          <w:szCs w:val="32"/>
          <w:lang w:val="zh-CN"/>
        </w:rPr>
        <w:instrText xml:space="preserve">，联系人：</w:instrText>
      </w:r>
      <w:r>
        <w:rPr>
          <w:rFonts w:hint="eastAsia" w:cs="华文中宋"/>
          <w:kern w:val="0"/>
          <w:szCs w:val="32"/>
          <w:lang w:val="zh-CN"/>
        </w:rPr>
        <w:instrText xml:space="preserve">卢杰，联系电话：55597762</w:instrText>
      </w:r>
      <w:r>
        <w:rPr>
          <w:rFonts w:cs="华文中宋"/>
          <w:kern w:val="0"/>
          <w:szCs w:val="32"/>
          <w:lang w:val="zh-CN"/>
        </w:rPr>
        <w:instrText xml:space="preserve">" </w:instrText>
      </w:r>
      <w:r>
        <w:rPr>
          <w:rFonts w:cs="华文中宋"/>
          <w:kern w:val="0"/>
          <w:szCs w:val="32"/>
          <w:lang w:val="zh-CN"/>
        </w:rPr>
        <w:fldChar w:fldCharType="separate"/>
      </w:r>
      <w:r>
        <w:rPr>
          <w:rStyle w:val="7"/>
          <w:rFonts w:ascii="仿宋_GB2312" w:hAnsi="Times New Roman" w:cs="华文中宋"/>
          <w:color w:val="auto"/>
          <w:sz w:val="32"/>
          <w:szCs w:val="32"/>
          <w:u w:val="none"/>
          <w:lang w:val="zh-CN" w:eastAsia="zh-CN"/>
        </w:rPr>
        <w:t>sjwwdss@163.com</w:t>
      </w:r>
      <w:r>
        <w:rPr>
          <w:rStyle w:val="7"/>
          <w:rFonts w:hint="eastAsia" w:ascii="仿宋_GB2312" w:hAnsi="Times New Roman" w:cs="微软雅黑"/>
          <w:color w:val="auto"/>
          <w:sz w:val="32"/>
          <w:szCs w:val="32"/>
          <w:u w:val="none"/>
          <w:lang w:val="zh-CN" w:eastAsia="zh-CN"/>
        </w:rPr>
        <w:t>，联系人：</w:t>
      </w:r>
      <w:r>
        <w:rPr>
          <w:rStyle w:val="7"/>
          <w:rFonts w:hint="eastAsia" w:ascii="仿宋_GB2312" w:hAnsi="Times New Roman" w:cs="华文中宋"/>
          <w:color w:val="auto"/>
          <w:sz w:val="32"/>
          <w:szCs w:val="32"/>
          <w:u w:val="none"/>
          <w:lang w:val="zh-CN" w:eastAsia="zh-CN"/>
        </w:rPr>
        <w:t>卢杰，联系电话：55597762</w:t>
      </w:r>
      <w:r>
        <w:rPr>
          <w:rFonts w:cs="华文中宋"/>
          <w:kern w:val="0"/>
          <w:szCs w:val="32"/>
          <w:lang w:val="zh-CN"/>
        </w:rPr>
        <w:fldChar w:fldCharType="end"/>
      </w:r>
      <w:r>
        <w:rPr>
          <w:rFonts w:hint="eastAsia" w:cs="华文中宋"/>
          <w:kern w:val="0"/>
          <w:szCs w:val="32"/>
          <w:lang w:val="zh-CN"/>
        </w:rPr>
        <w:t>。</w:t>
      </w:r>
    </w:p>
    <w:p>
      <w:pPr>
        <w:adjustRightInd w:val="0"/>
        <w:snapToGrid w:val="0"/>
        <w:spacing w:line="600" w:lineRule="exact"/>
        <w:rPr>
          <w:rFonts w:hint="eastAsia" w:cs="微软雅黑"/>
          <w:kern w:val="0"/>
          <w:szCs w:val="32"/>
          <w:lang w:val="zh-CN"/>
        </w:rPr>
      </w:pPr>
      <w:r>
        <w:rPr>
          <w:rFonts w:hint="eastAsia" w:cs="微软雅黑"/>
          <w:kern w:val="0"/>
          <w:szCs w:val="32"/>
          <w:lang w:val="zh-CN"/>
        </w:rPr>
        <w:t xml:space="preserve">    </w:t>
      </w:r>
    </w:p>
    <w:p>
      <w:pPr>
        <w:adjustRightInd w:val="0"/>
        <w:snapToGrid w:val="0"/>
        <w:spacing w:line="600" w:lineRule="exact"/>
        <w:ind w:firstLine="632" w:firstLineChars="200"/>
        <w:rPr>
          <w:rFonts w:cs="微软雅黑"/>
          <w:kern w:val="0"/>
          <w:szCs w:val="32"/>
          <w:lang w:val="zh-CN"/>
        </w:rPr>
      </w:pPr>
      <w:r>
        <w:rPr>
          <w:rFonts w:hint="eastAsia" w:cs="微软雅黑"/>
          <w:kern w:val="0"/>
          <w:szCs w:val="32"/>
          <w:lang w:val="zh-CN"/>
        </w:rPr>
        <w:t>附件：1.十一</w:t>
      </w:r>
      <w:r>
        <w:rPr>
          <w:rFonts w:cs="微软雅黑"/>
          <w:kern w:val="0"/>
          <w:szCs w:val="32"/>
          <w:lang w:val="zh-CN"/>
        </w:rPr>
        <w:t>类消防安全突出风险整治要求</w:t>
      </w:r>
    </w:p>
    <w:p>
      <w:pPr>
        <w:adjustRightInd w:val="0"/>
        <w:snapToGrid w:val="0"/>
        <w:spacing w:line="600" w:lineRule="exact"/>
        <w:ind w:firstLine="1580" w:firstLineChars="500"/>
        <w:rPr>
          <w:rFonts w:hint="eastAsia" w:cs="微软雅黑"/>
          <w:kern w:val="0"/>
          <w:szCs w:val="32"/>
          <w:lang w:val="zh-CN"/>
        </w:rPr>
      </w:pPr>
      <w:r>
        <w:rPr>
          <w:rFonts w:hint="eastAsia" w:cs="微软雅黑"/>
          <w:kern w:val="0"/>
          <w:szCs w:val="32"/>
          <w:lang w:val="zh-CN"/>
        </w:rPr>
        <w:t>2.消防</w:t>
      </w:r>
      <w:r>
        <w:rPr>
          <w:rFonts w:cs="微软雅黑"/>
          <w:kern w:val="0"/>
          <w:szCs w:val="32"/>
          <w:lang w:val="zh-CN"/>
        </w:rPr>
        <w:t>安全突出风险自查自改情况登记表</w:t>
      </w:r>
    </w:p>
    <w:p>
      <w:pPr>
        <w:adjustRightInd w:val="0"/>
        <w:snapToGrid w:val="0"/>
        <w:spacing w:line="600" w:lineRule="exact"/>
        <w:ind w:firstLine="1580" w:firstLineChars="500"/>
        <w:rPr>
          <w:rFonts w:hint="eastAsia" w:cs="微软雅黑"/>
          <w:kern w:val="0"/>
          <w:szCs w:val="32"/>
          <w:lang w:val="zh-CN"/>
        </w:rPr>
      </w:pPr>
      <w:r>
        <w:rPr>
          <w:rFonts w:hint="eastAsia" w:cs="微软雅黑"/>
          <w:kern w:val="0"/>
          <w:szCs w:val="32"/>
          <w:lang w:val="zh-CN"/>
        </w:rPr>
        <w:t>3.</w:t>
      </w:r>
      <w:r>
        <w:rPr>
          <w:rFonts w:cs="微软雅黑"/>
          <w:kern w:val="0"/>
          <w:szCs w:val="32"/>
          <w:lang w:val="zh-CN"/>
        </w:rPr>
        <w:t>消防安全承诺书</w:t>
      </w:r>
      <w:r>
        <w:rPr>
          <w:rFonts w:hint="eastAsia" w:cs="微软雅黑"/>
          <w:kern w:val="0"/>
          <w:szCs w:val="32"/>
          <w:lang w:val="zh-CN"/>
        </w:rPr>
        <w:t>（模板）</w:t>
      </w:r>
    </w:p>
    <w:p>
      <w:pPr>
        <w:spacing w:line="600" w:lineRule="exact"/>
        <w:ind w:firstLine="1580" w:firstLineChars="500"/>
        <w:rPr>
          <w:rFonts w:hint="eastAsia" w:cs="微软雅黑"/>
          <w:kern w:val="0"/>
          <w:szCs w:val="32"/>
          <w:lang w:val="zh-CN"/>
        </w:rPr>
      </w:pPr>
      <w:r>
        <w:rPr>
          <w:rFonts w:hint="eastAsia" w:cs="微软雅黑"/>
          <w:kern w:val="0"/>
          <w:szCs w:val="32"/>
          <w:lang w:val="zh-CN"/>
        </w:rPr>
        <w:t>4.住建系统消防安全风险自查自改工作台账</w:t>
      </w:r>
    </w:p>
    <w:p>
      <w:pPr>
        <w:spacing w:line="600" w:lineRule="exact"/>
        <w:ind w:firstLine="1580" w:firstLineChars="500"/>
        <w:rPr>
          <w:rFonts w:cs="微软雅黑"/>
          <w:kern w:val="0"/>
          <w:szCs w:val="32"/>
          <w:lang w:val="zh-CN"/>
        </w:rPr>
      </w:pPr>
      <w:r>
        <w:rPr>
          <w:rFonts w:hint="eastAsia" w:cs="微软雅黑"/>
          <w:kern w:val="0"/>
          <w:szCs w:val="32"/>
          <w:lang w:val="zh-CN"/>
        </w:rPr>
        <w:t>5.工作联络表</w:t>
      </w:r>
    </w:p>
    <w:p>
      <w:pPr>
        <w:adjustRightInd w:val="0"/>
        <w:snapToGrid w:val="0"/>
        <w:spacing w:line="600" w:lineRule="exact"/>
        <w:rPr>
          <w:rFonts w:ascii="方正小标宋简体" w:hAnsi="Calibri" w:eastAsia="方正小标宋简体"/>
          <w:szCs w:val="32"/>
        </w:rPr>
      </w:pPr>
    </w:p>
    <w:p>
      <w:pPr>
        <w:adjustRightInd w:val="0"/>
        <w:snapToGrid w:val="0"/>
        <w:spacing w:line="600" w:lineRule="exact"/>
        <w:ind w:firstLine="632" w:firstLineChars="200"/>
        <w:rPr>
          <w:rFonts w:cs="微软雅黑"/>
          <w:kern w:val="0"/>
          <w:szCs w:val="32"/>
        </w:rPr>
      </w:pPr>
    </w:p>
    <w:p>
      <w:pPr>
        <w:widowControl/>
        <w:spacing w:line="600" w:lineRule="exact"/>
        <w:jc w:val="left"/>
        <w:rPr>
          <w:rFonts w:cs="微软雅黑"/>
          <w:kern w:val="0"/>
          <w:szCs w:val="32"/>
          <w:lang w:val="zh-CN"/>
        </w:rPr>
      </w:pPr>
      <w:r>
        <w:rPr>
          <w:rFonts w:cs="微软雅黑"/>
          <w:kern w:val="0"/>
          <w:szCs w:val="32"/>
          <w:lang w:val="zh-CN"/>
        </w:rPr>
        <w:br w:type="page"/>
      </w:r>
      <w:r>
        <w:rPr>
          <w:rFonts w:hint="eastAsia" w:ascii="黑体" w:hAnsi="宋体" w:eastAsia="黑体"/>
        </w:rPr>
        <w:t>附件1</w:t>
      </w:r>
    </w:p>
    <w:p>
      <w:pPr>
        <w:snapToGrid w:val="0"/>
        <w:spacing w:line="600" w:lineRule="exact"/>
        <w:jc w:val="center"/>
        <w:rPr>
          <w:rFonts w:eastAsia="方正小标宋_GBK"/>
          <w:sz w:val="44"/>
          <w:szCs w:val="44"/>
        </w:rPr>
      </w:pPr>
      <w:r>
        <w:rPr>
          <w:rFonts w:hint="eastAsia" w:eastAsia="方正小标宋_GBK"/>
          <w:sz w:val="44"/>
          <w:szCs w:val="44"/>
        </w:rPr>
        <w:t>十一</w:t>
      </w:r>
      <w:r>
        <w:rPr>
          <w:rFonts w:eastAsia="方正小标宋_GBK"/>
          <w:sz w:val="44"/>
          <w:szCs w:val="44"/>
        </w:rPr>
        <w:t>类消防安全突出风险整治要求</w:t>
      </w:r>
    </w:p>
    <w:p>
      <w:pPr>
        <w:snapToGrid w:val="0"/>
        <w:spacing w:line="600" w:lineRule="exact"/>
        <w:jc w:val="center"/>
        <w:rPr>
          <w:rFonts w:eastAsia="方正仿宋_GBK"/>
        </w:rPr>
      </w:pPr>
    </w:p>
    <w:p>
      <w:pPr>
        <w:numPr>
          <w:ilvl w:val="0"/>
          <w:numId w:val="1"/>
        </w:numPr>
        <w:spacing w:line="600" w:lineRule="exact"/>
        <w:rPr>
          <w:szCs w:val="32"/>
        </w:rPr>
      </w:pPr>
      <w:r>
        <w:rPr>
          <w:rFonts w:ascii="黑体" w:hAnsi="黑体" w:eastAsia="黑体"/>
          <w:szCs w:val="32"/>
        </w:rPr>
        <w:t>违规用火用电用油用气</w:t>
      </w:r>
    </w:p>
    <w:p>
      <w:pPr>
        <w:spacing w:line="600" w:lineRule="exact"/>
        <w:ind w:firstLine="632" w:firstLineChars="200"/>
        <w:rPr>
          <w:szCs w:val="32"/>
        </w:rPr>
      </w:pPr>
      <w:r>
        <w:rPr>
          <w:rFonts w:hint="eastAsia"/>
          <w:szCs w:val="32"/>
        </w:rPr>
        <w:t>1.超过</w:t>
      </w:r>
      <w:r>
        <w:rPr>
          <w:szCs w:val="32"/>
        </w:rPr>
        <w:t>额定功率、超负荷</w:t>
      </w:r>
      <w:r>
        <w:rPr>
          <w:rFonts w:hint="eastAsia"/>
          <w:szCs w:val="32"/>
        </w:rPr>
        <w:t>安装</w:t>
      </w:r>
      <w:r>
        <w:rPr>
          <w:szCs w:val="32"/>
        </w:rPr>
        <w:t>使用电器设备</w:t>
      </w:r>
      <w:r>
        <w:rPr>
          <w:rFonts w:hint="eastAsia"/>
          <w:szCs w:val="32"/>
        </w:rPr>
        <w:t>的，必须及时纠正</w:t>
      </w:r>
      <w:r>
        <w:rPr>
          <w:szCs w:val="32"/>
        </w:rPr>
        <w:t>；</w:t>
      </w:r>
    </w:p>
    <w:p>
      <w:pPr>
        <w:spacing w:line="600" w:lineRule="exact"/>
        <w:ind w:firstLine="632" w:firstLineChars="200"/>
        <w:rPr>
          <w:szCs w:val="32"/>
        </w:rPr>
      </w:pPr>
      <w:r>
        <w:rPr>
          <w:rFonts w:hint="eastAsia"/>
          <w:szCs w:val="32"/>
        </w:rPr>
        <w:t>2.高温</w:t>
      </w:r>
      <w:r>
        <w:rPr>
          <w:szCs w:val="32"/>
        </w:rPr>
        <w:t>灯具、大功率电器等用电设备安装在可燃</w:t>
      </w:r>
      <w:r>
        <w:rPr>
          <w:rFonts w:hint="eastAsia"/>
          <w:szCs w:val="32"/>
        </w:rPr>
        <w:t>易燃</w:t>
      </w:r>
      <w:r>
        <w:rPr>
          <w:szCs w:val="32"/>
        </w:rPr>
        <w:t>物上</w:t>
      </w:r>
      <w:r>
        <w:rPr>
          <w:rFonts w:hint="eastAsia"/>
          <w:szCs w:val="32"/>
        </w:rPr>
        <w:t>的，必须及时整改；</w:t>
      </w:r>
      <w:r>
        <w:rPr>
          <w:szCs w:val="32"/>
        </w:rPr>
        <w:t>与可燃物</w:t>
      </w:r>
      <w:r>
        <w:rPr>
          <w:rFonts w:hint="eastAsia"/>
          <w:szCs w:val="32"/>
        </w:rPr>
        <w:t>距离过</w:t>
      </w:r>
      <w:r>
        <w:rPr>
          <w:szCs w:val="32"/>
        </w:rPr>
        <w:t>近</w:t>
      </w:r>
      <w:r>
        <w:rPr>
          <w:rFonts w:hint="eastAsia"/>
          <w:szCs w:val="32"/>
        </w:rPr>
        <w:t>的，必须及时清理可燃物。</w:t>
      </w:r>
    </w:p>
    <w:p>
      <w:pPr>
        <w:spacing w:line="600" w:lineRule="exact"/>
        <w:ind w:firstLine="632" w:firstLineChars="200"/>
        <w:rPr>
          <w:szCs w:val="32"/>
        </w:rPr>
      </w:pPr>
      <w:r>
        <w:rPr>
          <w:rFonts w:hint="eastAsia"/>
          <w:szCs w:val="32"/>
        </w:rPr>
        <w:t>3.配电箱、弱电井、强电井</w:t>
      </w:r>
      <w:r>
        <w:rPr>
          <w:szCs w:val="32"/>
        </w:rPr>
        <w:t>应规范敷设</w:t>
      </w:r>
      <w:r>
        <w:rPr>
          <w:rFonts w:hint="eastAsia"/>
          <w:szCs w:val="32"/>
        </w:rPr>
        <w:t>电线，严禁堆放可燃杂物。</w:t>
      </w:r>
    </w:p>
    <w:p>
      <w:pPr>
        <w:spacing w:line="600" w:lineRule="exact"/>
        <w:ind w:firstLine="632" w:firstLineChars="200"/>
        <w:rPr>
          <w:szCs w:val="32"/>
        </w:rPr>
      </w:pPr>
      <w:r>
        <w:rPr>
          <w:rFonts w:hint="eastAsia"/>
          <w:szCs w:val="32"/>
        </w:rPr>
        <w:t>4.电线</w:t>
      </w:r>
      <w:r>
        <w:rPr>
          <w:szCs w:val="32"/>
        </w:rPr>
        <w:t>直接穿过或敷设在易燃可燃物上以及炉灶、烟囱等高温部位周边</w:t>
      </w:r>
      <w:r>
        <w:rPr>
          <w:rFonts w:hint="eastAsia"/>
          <w:szCs w:val="32"/>
        </w:rPr>
        <w:t>的，必须采取穿管保护等防火措施。</w:t>
      </w:r>
    </w:p>
    <w:p>
      <w:pPr>
        <w:spacing w:line="600" w:lineRule="exact"/>
        <w:ind w:firstLine="632" w:firstLineChars="200"/>
        <w:rPr>
          <w:szCs w:val="32"/>
        </w:rPr>
      </w:pPr>
      <w:r>
        <w:rPr>
          <w:rFonts w:hint="eastAsia"/>
          <w:szCs w:val="32"/>
        </w:rPr>
        <w:t>5.电气线路老化、乱拉乱接,使用</w:t>
      </w:r>
      <w:r>
        <w:rPr>
          <w:szCs w:val="32"/>
        </w:rPr>
        <w:t>麻花线、铰接方式连接</w:t>
      </w:r>
      <w:r>
        <w:rPr>
          <w:rFonts w:hint="eastAsia"/>
          <w:szCs w:val="32"/>
        </w:rPr>
        <w:t>或将</w:t>
      </w:r>
      <w:r>
        <w:rPr>
          <w:szCs w:val="32"/>
        </w:rPr>
        <w:t>不同型号、规格的电线连接</w:t>
      </w:r>
      <w:r>
        <w:rPr>
          <w:rFonts w:hint="eastAsia"/>
          <w:szCs w:val="32"/>
        </w:rPr>
        <w:t>的，必须及时更换、规范敷设。</w:t>
      </w:r>
    </w:p>
    <w:p>
      <w:pPr>
        <w:spacing w:line="600" w:lineRule="exact"/>
        <w:ind w:firstLine="632" w:firstLineChars="200"/>
        <w:rPr>
          <w:szCs w:val="32"/>
        </w:rPr>
      </w:pPr>
      <w:r>
        <w:rPr>
          <w:rFonts w:hint="eastAsia"/>
          <w:szCs w:val="32"/>
        </w:rPr>
        <w:t>6.UPS电源及蓄电池等备用电源应</w:t>
      </w:r>
      <w:r>
        <w:rPr>
          <w:szCs w:val="32"/>
        </w:rPr>
        <w:t>及时更换，加强</w:t>
      </w:r>
      <w:r>
        <w:rPr>
          <w:rFonts w:hint="eastAsia"/>
          <w:szCs w:val="32"/>
        </w:rPr>
        <w:t>保养检测。</w:t>
      </w:r>
    </w:p>
    <w:p>
      <w:pPr>
        <w:spacing w:line="600" w:lineRule="exact"/>
        <w:ind w:firstLine="632" w:firstLineChars="200"/>
        <w:rPr>
          <w:szCs w:val="32"/>
        </w:rPr>
      </w:pPr>
      <w:r>
        <w:rPr>
          <w:rFonts w:hint="eastAsia"/>
          <w:szCs w:val="32"/>
        </w:rPr>
        <w:t>7.燃气管线、连接软管、灶具老化，超出使用年限的，</w:t>
      </w:r>
      <w:r>
        <w:rPr>
          <w:szCs w:val="32"/>
        </w:rPr>
        <w:t>必须</w:t>
      </w:r>
      <w:r>
        <w:rPr>
          <w:rFonts w:hint="eastAsia"/>
          <w:szCs w:val="32"/>
        </w:rPr>
        <w:t>及时组织</w:t>
      </w:r>
      <w:r>
        <w:rPr>
          <w:szCs w:val="32"/>
        </w:rPr>
        <w:t>更换，并加强</w:t>
      </w:r>
      <w:r>
        <w:rPr>
          <w:rFonts w:hint="eastAsia"/>
          <w:szCs w:val="32"/>
        </w:rPr>
        <w:t>定期检测维护。</w:t>
      </w:r>
    </w:p>
    <w:p>
      <w:pPr>
        <w:spacing w:line="600" w:lineRule="exact"/>
        <w:ind w:firstLine="632" w:firstLineChars="200"/>
        <w:rPr>
          <w:szCs w:val="32"/>
        </w:rPr>
      </w:pPr>
      <w:r>
        <w:rPr>
          <w:rFonts w:hint="eastAsia"/>
          <w:szCs w:val="32"/>
        </w:rPr>
        <w:t>8.</w:t>
      </w:r>
      <w:r>
        <w:rPr>
          <w:szCs w:val="32"/>
        </w:rPr>
        <w:t>液化石油气</w:t>
      </w:r>
      <w:r>
        <w:rPr>
          <w:rFonts w:hint="eastAsia"/>
          <w:szCs w:val="32"/>
        </w:rPr>
        <w:t>罐严禁</w:t>
      </w:r>
      <w:r>
        <w:rPr>
          <w:szCs w:val="32"/>
        </w:rPr>
        <w:t>存放在住人的房间、办公室和人员稠密的公共场所</w:t>
      </w:r>
      <w:r>
        <w:rPr>
          <w:rFonts w:hint="eastAsia"/>
          <w:szCs w:val="32"/>
        </w:rPr>
        <w:t>，严禁存放</w:t>
      </w:r>
      <w:r>
        <w:rPr>
          <w:szCs w:val="32"/>
        </w:rPr>
        <w:t>在地下室、半地下室或通风不良的场所</w:t>
      </w:r>
      <w:r>
        <w:rPr>
          <w:rFonts w:hint="eastAsia"/>
          <w:szCs w:val="32"/>
        </w:rPr>
        <w:t>，</w:t>
      </w:r>
      <w:r>
        <w:rPr>
          <w:szCs w:val="32"/>
        </w:rPr>
        <w:t>严禁与其他火源同室布置</w:t>
      </w:r>
      <w:r>
        <w:rPr>
          <w:rFonts w:hint="eastAsia"/>
          <w:szCs w:val="32"/>
        </w:rPr>
        <w:t>；严禁超量储存液化石油气罐；液化石油气罐</w:t>
      </w:r>
      <w:r>
        <w:rPr>
          <w:szCs w:val="32"/>
        </w:rPr>
        <w:t>总重量超过100公斤</w:t>
      </w:r>
      <w:r>
        <w:rPr>
          <w:rFonts w:hint="eastAsia"/>
          <w:szCs w:val="32"/>
        </w:rPr>
        <w:t>或钢瓶总数超过30瓶的，</w:t>
      </w:r>
      <w:r>
        <w:rPr>
          <w:szCs w:val="32"/>
        </w:rPr>
        <w:t>应设置独立气瓶间</w:t>
      </w:r>
      <w:r>
        <w:rPr>
          <w:rFonts w:hint="eastAsia"/>
          <w:szCs w:val="32"/>
        </w:rPr>
        <w:t>，</w:t>
      </w:r>
      <w:r>
        <w:rPr>
          <w:szCs w:val="32"/>
        </w:rPr>
        <w:t>气瓶间</w:t>
      </w:r>
      <w:r>
        <w:rPr>
          <w:rFonts w:hint="eastAsia"/>
          <w:szCs w:val="32"/>
        </w:rPr>
        <w:t>须</w:t>
      </w:r>
      <w:r>
        <w:rPr>
          <w:szCs w:val="32"/>
        </w:rPr>
        <w:t>设置可燃气体浓度报警装置</w:t>
      </w:r>
      <w:r>
        <w:rPr>
          <w:rFonts w:hint="eastAsia"/>
          <w:szCs w:val="32"/>
        </w:rPr>
        <w:t>、</w:t>
      </w:r>
      <w:r>
        <w:rPr>
          <w:szCs w:val="32"/>
        </w:rPr>
        <w:t>使用防爆型电器设备，开关安装在室</w:t>
      </w:r>
      <w:r>
        <w:rPr>
          <w:rFonts w:hint="eastAsia"/>
          <w:szCs w:val="32"/>
        </w:rPr>
        <w:t>外，不应</w:t>
      </w:r>
      <w:r>
        <w:rPr>
          <w:szCs w:val="32"/>
        </w:rPr>
        <w:t>与厨房有连通的门、窗、洞口。</w:t>
      </w:r>
    </w:p>
    <w:p>
      <w:pPr>
        <w:spacing w:line="600" w:lineRule="exact"/>
        <w:ind w:firstLine="632" w:firstLineChars="200"/>
        <w:rPr>
          <w:szCs w:val="32"/>
        </w:rPr>
      </w:pPr>
      <w:r>
        <w:rPr>
          <w:rFonts w:hint="eastAsia"/>
          <w:szCs w:val="32"/>
        </w:rPr>
        <w:t>9.餐饮</w:t>
      </w:r>
      <w:r>
        <w:rPr>
          <w:szCs w:val="32"/>
        </w:rPr>
        <w:t>场所</w:t>
      </w:r>
      <w:r>
        <w:rPr>
          <w:rFonts w:hint="eastAsia"/>
          <w:szCs w:val="32"/>
        </w:rPr>
        <w:t>厨房</w:t>
      </w:r>
      <w:r>
        <w:rPr>
          <w:szCs w:val="32"/>
        </w:rPr>
        <w:t>油烟道、</w:t>
      </w:r>
      <w:r>
        <w:rPr>
          <w:rFonts w:hint="eastAsia"/>
          <w:szCs w:val="32"/>
        </w:rPr>
        <w:t>烤炉</w:t>
      </w:r>
      <w:r>
        <w:rPr>
          <w:szCs w:val="32"/>
        </w:rPr>
        <w:t>内油渍</w:t>
      </w:r>
      <w:r>
        <w:rPr>
          <w:rFonts w:hint="eastAsia"/>
          <w:szCs w:val="32"/>
        </w:rPr>
        <w:t>，必须</w:t>
      </w:r>
      <w:r>
        <w:rPr>
          <w:szCs w:val="32"/>
        </w:rPr>
        <w:t>按规定及时清洗。</w:t>
      </w:r>
    </w:p>
    <w:p>
      <w:pPr>
        <w:spacing w:line="600" w:lineRule="exact"/>
        <w:ind w:firstLine="632" w:firstLineChars="200"/>
        <w:rPr>
          <w:szCs w:val="32"/>
        </w:rPr>
      </w:pPr>
      <w:r>
        <w:rPr>
          <w:rFonts w:hint="eastAsia"/>
          <w:szCs w:val="32"/>
        </w:rPr>
        <w:t>10.文物古建内点蜡烛、焚香等</w:t>
      </w:r>
      <w:r>
        <w:rPr>
          <w:szCs w:val="32"/>
        </w:rPr>
        <w:t>使用</w:t>
      </w:r>
      <w:r>
        <w:rPr>
          <w:rFonts w:hint="eastAsia"/>
          <w:szCs w:val="32"/>
        </w:rPr>
        <w:t>明火行为</w:t>
      </w:r>
      <w:r>
        <w:rPr>
          <w:szCs w:val="32"/>
        </w:rPr>
        <w:t>的，</w:t>
      </w:r>
      <w:r>
        <w:rPr>
          <w:rFonts w:hint="eastAsia"/>
          <w:szCs w:val="32"/>
        </w:rPr>
        <w:t>必须及时清理</w:t>
      </w:r>
      <w:r>
        <w:rPr>
          <w:szCs w:val="32"/>
        </w:rPr>
        <w:t>。</w:t>
      </w:r>
    </w:p>
    <w:p>
      <w:pPr>
        <w:spacing w:line="600" w:lineRule="exact"/>
        <w:ind w:firstLine="629"/>
        <w:rPr>
          <w:rFonts w:ascii="黑体" w:hAnsi="黑体" w:eastAsia="黑体"/>
          <w:szCs w:val="32"/>
        </w:rPr>
      </w:pPr>
      <w:r>
        <w:rPr>
          <w:rFonts w:hint="eastAsia" w:ascii="黑体" w:hAnsi="黑体" w:eastAsia="黑体"/>
          <w:szCs w:val="32"/>
        </w:rPr>
        <w:t>二</w:t>
      </w:r>
      <w:r>
        <w:rPr>
          <w:rFonts w:ascii="黑体" w:hAnsi="黑体" w:eastAsia="黑体"/>
          <w:szCs w:val="32"/>
        </w:rPr>
        <w:t>、</w:t>
      </w:r>
      <w:r>
        <w:rPr>
          <w:rFonts w:hint="eastAsia" w:ascii="黑体" w:hAnsi="黑体" w:eastAsia="黑体"/>
          <w:szCs w:val="32"/>
        </w:rPr>
        <w:t>违规动火动焊施工作业</w:t>
      </w:r>
    </w:p>
    <w:p>
      <w:pPr>
        <w:spacing w:line="600" w:lineRule="exact"/>
        <w:ind w:firstLine="629"/>
        <w:rPr>
          <w:szCs w:val="32"/>
        </w:rPr>
      </w:pPr>
      <w:r>
        <w:rPr>
          <w:rFonts w:hint="eastAsia"/>
          <w:szCs w:val="32"/>
        </w:rPr>
        <w:t>1.在切割、焊接、防水施工等明火作业时，必须清理作业点及其周边和下方易燃、可燃杂物，并封堵周边孔洞。</w:t>
      </w:r>
    </w:p>
    <w:p>
      <w:pPr>
        <w:spacing w:line="600" w:lineRule="exact"/>
        <w:ind w:firstLine="629"/>
        <w:rPr>
          <w:szCs w:val="32"/>
        </w:rPr>
      </w:pPr>
      <w:r>
        <w:rPr>
          <w:rFonts w:hint="eastAsia"/>
          <w:szCs w:val="32"/>
        </w:rPr>
        <w:t>2.明火作业</w:t>
      </w:r>
      <w:r>
        <w:rPr>
          <w:szCs w:val="32"/>
        </w:rPr>
        <w:t>人员</w:t>
      </w:r>
      <w:r>
        <w:rPr>
          <w:rFonts w:hint="eastAsia"/>
          <w:szCs w:val="32"/>
        </w:rPr>
        <w:t>必须</w:t>
      </w:r>
      <w:r>
        <w:rPr>
          <w:szCs w:val="32"/>
        </w:rPr>
        <w:t>落实</w:t>
      </w:r>
      <w:r>
        <w:rPr>
          <w:rFonts w:hint="eastAsia"/>
          <w:szCs w:val="32"/>
        </w:rPr>
        <w:t>动火审批手续，在规定时间和范围动用明火，落实安全防护措施，严禁无证操作或违反操作规程。</w:t>
      </w:r>
    </w:p>
    <w:p>
      <w:pPr>
        <w:spacing w:line="600" w:lineRule="exact"/>
        <w:ind w:firstLine="629"/>
        <w:rPr>
          <w:szCs w:val="32"/>
        </w:rPr>
      </w:pPr>
      <w:r>
        <w:rPr>
          <w:rFonts w:hint="eastAsia"/>
          <w:szCs w:val="32"/>
        </w:rPr>
        <w:t>3.宾馆饭店、商场市场、体育馆以及公共娱乐场所等公共聚集场所，</w:t>
      </w:r>
      <w:r>
        <w:rPr>
          <w:szCs w:val="32"/>
        </w:rPr>
        <w:t>严禁在</w:t>
      </w:r>
      <w:r>
        <w:rPr>
          <w:rFonts w:hint="eastAsia"/>
          <w:szCs w:val="32"/>
        </w:rPr>
        <w:t>营业期间动用明火施工作业。</w:t>
      </w:r>
    </w:p>
    <w:p>
      <w:pPr>
        <w:snapToGrid w:val="0"/>
        <w:spacing w:line="600" w:lineRule="exact"/>
        <w:ind w:firstLine="632" w:firstLineChars="200"/>
        <w:rPr>
          <w:rFonts w:ascii="黑体" w:hAnsi="黑体" w:eastAsia="黑体"/>
        </w:rPr>
      </w:pPr>
      <w:r>
        <w:rPr>
          <w:rFonts w:hint="eastAsia" w:ascii="黑体" w:hAnsi="黑体" w:eastAsia="黑体"/>
        </w:rPr>
        <w:t>三、电动自行车违规停放充电</w:t>
      </w:r>
    </w:p>
    <w:p>
      <w:pPr>
        <w:snapToGrid w:val="0"/>
        <w:spacing w:line="600" w:lineRule="exact"/>
        <w:ind w:firstLine="632" w:firstLineChars="200"/>
      </w:pPr>
      <w:r>
        <w:rPr>
          <w:rFonts w:hint="eastAsia"/>
        </w:rPr>
        <w:t>1.电动自行车停放在建筑门厅、楼梯间、共用走道等室内公共区域的，必须及时搬离、清理，严禁进楼入户。</w:t>
      </w:r>
    </w:p>
    <w:p>
      <w:pPr>
        <w:snapToGrid w:val="0"/>
        <w:spacing w:line="600" w:lineRule="exact"/>
        <w:ind w:firstLine="632" w:firstLineChars="200"/>
      </w:pPr>
      <w:r>
        <w:rPr>
          <w:rFonts w:hint="eastAsia"/>
        </w:rPr>
        <w:t>2.居民住宅楼、员工宿舍等有人员居住的场所内停放电动自行车的，必须搬离，严禁“人车同屋”。</w:t>
      </w:r>
    </w:p>
    <w:p>
      <w:pPr>
        <w:snapToGrid w:val="0"/>
        <w:spacing w:line="600" w:lineRule="exact"/>
        <w:ind w:firstLine="632" w:firstLineChars="200"/>
      </w:pPr>
      <w:r>
        <w:rPr>
          <w:rFonts w:hint="eastAsia"/>
        </w:rPr>
        <w:t>3.电动自行车集中停放的部位与其他部位直接连通的，必须设置防火分隔设施。</w:t>
      </w:r>
    </w:p>
    <w:p>
      <w:pPr>
        <w:snapToGrid w:val="0"/>
        <w:spacing w:line="600" w:lineRule="exact"/>
        <w:ind w:firstLine="632" w:firstLineChars="200"/>
      </w:pPr>
      <w:r>
        <w:t>4.</w:t>
      </w:r>
      <w:r>
        <w:rPr>
          <w:rFonts w:hint="eastAsia"/>
        </w:rPr>
        <w:t>使用不匹配或质量不合格的充电器为电动车或其蓄电池充电或者采取“飞线”充电的，</w:t>
      </w:r>
      <w:r>
        <w:t>必须及时纠正，加强教育警示。</w:t>
      </w:r>
    </w:p>
    <w:p>
      <w:pPr>
        <w:snapToGrid w:val="0"/>
        <w:spacing w:line="600" w:lineRule="exact"/>
        <w:ind w:firstLine="632" w:firstLineChars="200"/>
      </w:pPr>
      <w:r>
        <w:t>5</w:t>
      </w:r>
      <w:r>
        <w:rPr>
          <w:rFonts w:hint="eastAsia"/>
        </w:rPr>
        <w:t>.电动自行车停放周围有易燃可燃物的，必须及时清理，确保安全距离。</w:t>
      </w:r>
    </w:p>
    <w:p>
      <w:pPr>
        <w:snapToGrid w:val="0"/>
        <w:spacing w:line="600" w:lineRule="exact"/>
        <w:ind w:firstLine="632" w:firstLineChars="200"/>
        <w:rPr>
          <w:rFonts w:ascii="黑体" w:hAnsi="黑体" w:eastAsia="黑体"/>
        </w:rPr>
      </w:pPr>
      <w:r>
        <w:rPr>
          <w:rFonts w:hint="eastAsia" w:ascii="黑体" w:hAnsi="黑体" w:eastAsia="黑体"/>
        </w:rPr>
        <w:t>四、违规存放易燃易爆危险品</w:t>
      </w:r>
    </w:p>
    <w:p>
      <w:pPr>
        <w:snapToGrid w:val="0"/>
        <w:spacing w:line="600" w:lineRule="exact"/>
        <w:ind w:firstLine="632" w:firstLineChars="200"/>
      </w:pPr>
      <w:r>
        <w:rPr>
          <w:rFonts w:hint="eastAsia"/>
        </w:rPr>
        <w:t>1.人员密集场所、居住场所违规使用、储存易燃易爆危险品的，必须及时搬离。其他场所储存易燃易爆危险品的，必须在明显部位设置禁烟禁火等警示标志，并安排专业人员管理。</w:t>
      </w:r>
    </w:p>
    <w:p>
      <w:pPr>
        <w:snapToGrid w:val="0"/>
        <w:spacing w:line="600" w:lineRule="exact"/>
        <w:ind w:firstLine="632" w:firstLineChars="200"/>
      </w:pPr>
      <w:r>
        <w:rPr>
          <w:rFonts w:hint="eastAsia"/>
        </w:rPr>
        <w:t>2.商场市场、施工工地等场所违规堆放易燃可燃物品的，必须及时清理。</w:t>
      </w:r>
    </w:p>
    <w:p>
      <w:pPr>
        <w:snapToGrid w:val="0"/>
        <w:spacing w:line="600" w:lineRule="exact"/>
        <w:ind w:firstLine="632" w:firstLineChars="200"/>
      </w:pPr>
      <w:r>
        <w:rPr>
          <w:rFonts w:hint="eastAsia"/>
        </w:rPr>
        <w:t>3.劳动密集型企业生产车间等场所内超量存放易燃易爆原材料或者半成品的，必须及时搬离、清理。</w:t>
      </w:r>
    </w:p>
    <w:p>
      <w:pPr>
        <w:snapToGrid w:val="0"/>
        <w:spacing w:line="600" w:lineRule="exact"/>
        <w:ind w:firstLine="632" w:firstLineChars="200"/>
      </w:pPr>
      <w:r>
        <w:rPr>
          <w:rFonts w:hint="eastAsia"/>
        </w:rPr>
        <w:t>4.仓储</w:t>
      </w:r>
      <w:r>
        <w:t>库房擅自改变使用性质的，</w:t>
      </w:r>
      <w:r>
        <w:rPr>
          <w:rFonts w:hint="eastAsia"/>
        </w:rPr>
        <w:t>必须</w:t>
      </w:r>
      <w:r>
        <w:t>关停整改；仓库的耐火等级、</w:t>
      </w:r>
      <w:r>
        <w:rPr>
          <w:rFonts w:hint="eastAsia"/>
        </w:rPr>
        <w:t>最大</w:t>
      </w:r>
      <w:r>
        <w:t>允许占地面积和每个防火分区</w:t>
      </w:r>
      <w:r>
        <w:rPr>
          <w:rFonts w:hint="eastAsia"/>
        </w:rPr>
        <w:t>的</w:t>
      </w:r>
      <w:r>
        <w:t>最大允许建筑面积必须与储存物品的火灾危险性类别相符</w:t>
      </w:r>
      <w:r>
        <w:rPr>
          <w:rFonts w:hint="eastAsia"/>
        </w:rPr>
        <w:t>。</w:t>
      </w:r>
    </w:p>
    <w:p>
      <w:pPr>
        <w:snapToGrid w:val="0"/>
        <w:spacing w:line="600" w:lineRule="exact"/>
        <w:ind w:firstLine="632" w:firstLineChars="200"/>
        <w:rPr>
          <w:rFonts w:ascii="黑体" w:hAnsi="黑体" w:eastAsia="黑体"/>
        </w:rPr>
      </w:pPr>
      <w:r>
        <w:rPr>
          <w:rFonts w:hint="eastAsia" w:ascii="黑体" w:hAnsi="黑体" w:eastAsia="黑体"/>
        </w:rPr>
        <w:t>五、疏散通道不畅通</w:t>
      </w:r>
    </w:p>
    <w:p>
      <w:pPr>
        <w:snapToGrid w:val="0"/>
        <w:spacing w:line="600" w:lineRule="exact"/>
        <w:ind w:firstLine="632" w:firstLineChars="200"/>
      </w:pPr>
      <w:r>
        <w:rPr>
          <w:rFonts w:hint="eastAsia"/>
        </w:rPr>
        <w:t>1.疏散通道、安全出口被封闭、堵塞、占用的，必须立即打通、拆除、清理，恢复畅通。</w:t>
      </w:r>
    </w:p>
    <w:p>
      <w:pPr>
        <w:snapToGrid w:val="0"/>
        <w:spacing w:line="600" w:lineRule="exact"/>
        <w:ind w:firstLine="632" w:firstLineChars="200"/>
      </w:pPr>
      <w:r>
        <w:rPr>
          <w:rFonts w:hint="eastAsia"/>
        </w:rPr>
        <w:t>2.人员密集场所在门窗上设置广告牌、金属栅栏等影响逃生和灭火救援障碍物的，必须拆除。</w:t>
      </w:r>
    </w:p>
    <w:p>
      <w:pPr>
        <w:snapToGrid w:val="0"/>
        <w:spacing w:line="600" w:lineRule="exact"/>
        <w:ind w:firstLine="632" w:firstLineChars="200"/>
      </w:pPr>
      <w:r>
        <w:rPr>
          <w:rFonts w:hint="eastAsia"/>
        </w:rPr>
        <w:t>3.违规搭建临时建筑，占用防火间距、疏散通道的，必须拆除，恢复原状。</w:t>
      </w:r>
    </w:p>
    <w:p>
      <w:pPr>
        <w:snapToGrid w:val="0"/>
        <w:spacing w:line="600" w:lineRule="exact"/>
        <w:ind w:firstLine="632" w:firstLineChars="200"/>
        <w:rPr>
          <w:rFonts w:ascii="黑体" w:hAnsi="黑体" w:eastAsia="黑体"/>
        </w:rPr>
      </w:pPr>
      <w:r>
        <w:rPr>
          <w:rFonts w:hint="eastAsia"/>
        </w:rPr>
        <w:t>4.宾馆饭店、员工宿舍等有人员住宿的场所，安全出口必须24小时保持畅通。公众聚集场所在营业期间，安全出口必须保持畅通。</w:t>
      </w:r>
    </w:p>
    <w:p>
      <w:pPr>
        <w:snapToGrid w:val="0"/>
        <w:spacing w:line="600" w:lineRule="exact"/>
        <w:ind w:firstLine="632" w:firstLineChars="200"/>
        <w:rPr>
          <w:rFonts w:ascii="黑体" w:hAnsi="黑体" w:eastAsia="黑体"/>
        </w:rPr>
      </w:pPr>
      <w:r>
        <w:rPr>
          <w:rFonts w:hint="eastAsia" w:ascii="黑体" w:hAnsi="黑体" w:eastAsia="黑体"/>
        </w:rPr>
        <w:t>六、防火分隔不到位</w:t>
      </w:r>
    </w:p>
    <w:p>
      <w:pPr>
        <w:snapToGrid w:val="0"/>
        <w:spacing w:line="600" w:lineRule="exact"/>
        <w:ind w:firstLine="632" w:firstLineChars="200"/>
      </w:pPr>
      <w:r>
        <w:rPr>
          <w:rFonts w:hint="eastAsia"/>
        </w:rPr>
        <w:t>1.建筑地下与地上部分防火分隔设置不到位或者共用疏散楼梯间且未分隔的，必须用防火隔墙或者防火门将地下和地上部分完全分隔。</w:t>
      </w:r>
    </w:p>
    <w:p>
      <w:pPr>
        <w:snapToGrid w:val="0"/>
        <w:spacing w:line="600" w:lineRule="exact"/>
        <w:ind w:firstLine="632" w:firstLineChars="200"/>
      </w:pPr>
      <w:r>
        <w:rPr>
          <w:rFonts w:hint="eastAsia"/>
        </w:rPr>
        <w:t>2.建筑住宅与非住宅部分防火分隔设置不到位的，必须用防火隔墙或者防火门完全分隔。</w:t>
      </w:r>
    </w:p>
    <w:p>
      <w:pPr>
        <w:snapToGrid w:val="0"/>
        <w:spacing w:line="600" w:lineRule="exact"/>
        <w:ind w:firstLine="632" w:firstLineChars="200"/>
      </w:pPr>
      <w:r>
        <w:rPr>
          <w:rFonts w:hint="eastAsia"/>
        </w:rPr>
        <w:t>3.防火隔墙、防火卷帘、防火门、防火窗等防火分隔设施损坏的，必须及时修复或者更换。</w:t>
      </w:r>
    </w:p>
    <w:p>
      <w:pPr>
        <w:snapToGrid w:val="0"/>
        <w:spacing w:line="600" w:lineRule="exact"/>
        <w:ind w:firstLine="632" w:firstLineChars="200"/>
      </w:pPr>
      <w:r>
        <w:rPr>
          <w:rFonts w:hint="eastAsia"/>
        </w:rPr>
        <w:t>4.楼梯间、前室常闭式防火门常开的，必须立即关闭并保持常闭状态；防火门闭门器、顺序器损坏导致防火门不能自行关闭的，必须及时修复。</w:t>
      </w:r>
    </w:p>
    <w:p>
      <w:pPr>
        <w:snapToGrid w:val="0"/>
        <w:spacing w:line="600" w:lineRule="exact"/>
        <w:ind w:firstLine="632" w:firstLineChars="200"/>
      </w:pPr>
      <w:r>
        <w:rPr>
          <w:rFonts w:hint="eastAsia"/>
        </w:rPr>
        <w:t>5.管道穿越墙体处的孔洞、缝隙，竖向管道井与房间、吊顶相连通的孔洞，楼层楼板的缝隙防火分隔不严密的，必须用防火材料填充或者封堵。</w:t>
      </w:r>
    </w:p>
    <w:p>
      <w:pPr>
        <w:snapToGrid w:val="0"/>
        <w:spacing w:line="600" w:lineRule="exact"/>
        <w:ind w:firstLine="632" w:firstLineChars="200"/>
      </w:pPr>
      <w:r>
        <w:t>6.</w:t>
      </w:r>
      <w:r>
        <w:rPr>
          <w:rFonts w:hint="eastAsia"/>
        </w:rPr>
        <w:t>仓储</w:t>
      </w:r>
      <w:r>
        <w:t>库房内的防火分区之间未采用防火墙分隔的，必须</w:t>
      </w:r>
      <w:r>
        <w:rPr>
          <w:rFonts w:hint="eastAsia"/>
        </w:rPr>
        <w:t>及时</w:t>
      </w:r>
      <w:r>
        <w:t>整改，采用防火墙分隔，甲乙类仓库内防火分区之间的防火墙不应开设门、</w:t>
      </w:r>
      <w:r>
        <w:rPr>
          <w:rFonts w:hint="eastAsia"/>
        </w:rPr>
        <w:t>窗</w:t>
      </w:r>
      <w:r>
        <w:t>、洞口。</w:t>
      </w:r>
    </w:p>
    <w:p>
      <w:pPr>
        <w:snapToGrid w:val="0"/>
        <w:spacing w:line="600" w:lineRule="exact"/>
        <w:ind w:firstLine="632" w:firstLineChars="200"/>
        <w:rPr>
          <w:rFonts w:ascii="黑体" w:hAnsi="黑体" w:eastAsia="黑体"/>
        </w:rPr>
      </w:pPr>
      <w:r>
        <w:rPr>
          <w:rFonts w:hint="eastAsia" w:ascii="黑体" w:hAnsi="黑体" w:eastAsia="黑体"/>
        </w:rPr>
        <w:t>七、消防设施损坏停用</w:t>
      </w:r>
    </w:p>
    <w:p>
      <w:pPr>
        <w:snapToGrid w:val="0"/>
        <w:spacing w:line="600" w:lineRule="exact"/>
        <w:ind w:firstLine="632" w:firstLineChars="200"/>
      </w:pPr>
      <w:r>
        <w:rPr>
          <w:rFonts w:hint="eastAsia"/>
        </w:rPr>
        <w:t>1.火灾自动报警系统停用或者不能正常运行的，必须及时维修，恢复系统正常报警功能。</w:t>
      </w:r>
    </w:p>
    <w:p>
      <w:pPr>
        <w:snapToGrid w:val="0"/>
        <w:spacing w:line="600" w:lineRule="exact"/>
        <w:ind w:firstLine="632" w:firstLineChars="200"/>
      </w:pPr>
      <w:r>
        <w:rPr>
          <w:rFonts w:hint="eastAsia"/>
        </w:rPr>
        <w:t>2.消防水泵控制柜处于手动控制状态的，必须立即整改，将控制柜设置为自动控制状态，并张贴明显标志。</w:t>
      </w:r>
    </w:p>
    <w:p>
      <w:pPr>
        <w:snapToGrid w:val="0"/>
        <w:spacing w:line="600" w:lineRule="exact"/>
        <w:ind w:firstLine="632" w:firstLineChars="200"/>
      </w:pPr>
      <w:r>
        <w:rPr>
          <w:rFonts w:hint="eastAsia"/>
        </w:rPr>
        <w:t>3.自动喷水灭火系统、防火卷帘、机械防排烟等建筑消防设施不能正常联动的，必须及时维修，恢复系统正常联动功能。</w:t>
      </w:r>
    </w:p>
    <w:p>
      <w:pPr>
        <w:snapToGrid w:val="0"/>
        <w:spacing w:line="600" w:lineRule="exact"/>
        <w:ind w:firstLine="632" w:firstLineChars="200"/>
      </w:pPr>
      <w:r>
        <w:rPr>
          <w:rFonts w:hint="eastAsia"/>
        </w:rPr>
        <w:t>4.消火栓、自动喷水灭火系统不能正常供水的，必须及时维修，恢复系统正常供水功能。</w:t>
      </w:r>
    </w:p>
    <w:p>
      <w:pPr>
        <w:snapToGrid w:val="0"/>
        <w:spacing w:line="600" w:lineRule="exact"/>
        <w:ind w:firstLine="632" w:firstLineChars="200"/>
        <w:rPr>
          <w:rFonts w:ascii="黑体" w:hAnsi="黑体" w:eastAsia="黑体"/>
        </w:rPr>
      </w:pPr>
      <w:r>
        <w:rPr>
          <w:rFonts w:hint="eastAsia" w:ascii="黑体" w:hAnsi="黑体" w:eastAsia="黑体"/>
        </w:rPr>
        <w:t>八、违规使用易燃可燃材料装修装饰</w:t>
      </w:r>
    </w:p>
    <w:p>
      <w:pPr>
        <w:snapToGrid w:val="0"/>
        <w:spacing w:line="600" w:lineRule="exact"/>
        <w:ind w:firstLine="632" w:firstLineChars="200"/>
      </w:pPr>
      <w:r>
        <w:rPr>
          <w:rFonts w:hint="eastAsia"/>
        </w:rPr>
        <w:t>1.商场市场、宾馆饭店、公共娱乐场所等公众聚集场所采用易燃可燃材料装修装饰的，必须拆除或者更换。</w:t>
      </w:r>
    </w:p>
    <w:p>
      <w:pPr>
        <w:snapToGrid w:val="0"/>
        <w:spacing w:line="600" w:lineRule="exact"/>
        <w:ind w:firstLine="632" w:firstLineChars="200"/>
      </w:pPr>
      <w:r>
        <w:rPr>
          <w:rFonts w:hint="eastAsia"/>
        </w:rPr>
        <w:t>2.幼儿园、养老院、医院、员工宿舍等人员密集场所，施工工地办公、住宿等临时用房采用易燃可燃材料为芯材的彩钢板搭建的，必须拆除或者更换。</w:t>
      </w:r>
    </w:p>
    <w:p>
      <w:pPr>
        <w:snapToGrid w:val="0"/>
        <w:spacing w:line="600" w:lineRule="exact"/>
        <w:ind w:firstLine="632" w:firstLineChars="200"/>
      </w:pPr>
      <w:r>
        <w:rPr>
          <w:rFonts w:hint="eastAsia"/>
        </w:rPr>
        <w:t>3.现有高层建筑、商住楼等场所使用聚氨酯泡沫、聚苯乙烯等易燃可燃材料作外墙外保温系统的，严禁在周边安全距离内燃放烟花爆竹，违规动火作业；确需动火动焊施工的，必须严格落实现场监护和防范措施。</w:t>
      </w:r>
    </w:p>
    <w:p>
      <w:pPr>
        <w:snapToGrid w:val="0"/>
        <w:spacing w:line="600" w:lineRule="exact"/>
        <w:ind w:firstLine="632" w:firstLineChars="200"/>
      </w:pPr>
      <w:r>
        <w:rPr>
          <w:rFonts w:hint="eastAsia"/>
        </w:rPr>
        <w:t>4.电气线路穿越或者敷设在易燃可燃装修装饰材料中的，必须采取穿管保护等防火措施；开关、插座等电器配件周围必须采取不燃隔热材料进行防火隔离。</w:t>
      </w:r>
    </w:p>
    <w:p>
      <w:pPr>
        <w:snapToGrid w:val="0"/>
        <w:spacing w:line="600" w:lineRule="exact"/>
        <w:ind w:firstLine="632" w:firstLineChars="200"/>
      </w:pPr>
      <w:r>
        <w:rPr>
          <w:rFonts w:hint="eastAsia"/>
        </w:rPr>
        <w:t>5.大型活动现场布展使用大量易燃可燃装饰材料的，必须拆除或者更换。</w:t>
      </w:r>
    </w:p>
    <w:p>
      <w:pPr>
        <w:snapToGrid w:val="0"/>
        <w:spacing w:line="600" w:lineRule="exact"/>
        <w:ind w:firstLine="632" w:firstLineChars="200"/>
        <w:rPr>
          <w:rFonts w:ascii="黑体" w:hAnsi="黑体" w:eastAsia="黑体"/>
        </w:rPr>
      </w:pPr>
      <w:r>
        <w:rPr>
          <w:rFonts w:hint="eastAsia" w:ascii="黑体" w:hAnsi="黑体" w:eastAsia="黑体"/>
        </w:rPr>
        <w:t>九、重点岗位人员责任不落实</w:t>
      </w:r>
    </w:p>
    <w:p>
      <w:pPr>
        <w:snapToGrid w:val="0"/>
        <w:spacing w:line="600" w:lineRule="exact"/>
        <w:ind w:firstLine="632" w:firstLineChars="200"/>
      </w:pPr>
      <w:r>
        <w:rPr>
          <w:rFonts w:hint="eastAsia"/>
        </w:rPr>
        <w:t>1.单位未依法明确消防安全责任人、管理人及其职责的，必须及时明确并在醒目位置进行公示。</w:t>
      </w:r>
    </w:p>
    <w:p>
      <w:pPr>
        <w:snapToGrid w:val="0"/>
        <w:spacing w:line="600" w:lineRule="exact"/>
        <w:ind w:firstLine="632" w:firstLineChars="200"/>
      </w:pPr>
      <w:r>
        <w:rPr>
          <w:rFonts w:hint="eastAsia"/>
        </w:rPr>
        <w:t>2.消防控制室值班人员不会熟练操作设施设备的，必须组织参加培训，确保培训合格、持证上岗，在紧急情况下能熟练操作设施设备。</w:t>
      </w:r>
    </w:p>
    <w:p>
      <w:pPr>
        <w:snapToGrid w:val="0"/>
        <w:spacing w:line="600" w:lineRule="exact"/>
        <w:ind w:firstLine="632" w:firstLineChars="200"/>
      </w:pPr>
      <w:r>
        <w:rPr>
          <w:rFonts w:hint="eastAsia"/>
        </w:rPr>
        <w:t>3.微型消防站队员不能及时有效处置初起火灾的，必须定期组织开展针对性训练、实战化演练，确保达到“三知四会一联通”要求，能够及时有效处置初起火灾。</w:t>
      </w:r>
    </w:p>
    <w:p>
      <w:pPr>
        <w:snapToGrid w:val="0"/>
        <w:spacing w:line="600" w:lineRule="exact"/>
        <w:ind w:firstLine="632" w:firstLineChars="200"/>
      </w:pPr>
      <w:r>
        <w:rPr>
          <w:rFonts w:hint="eastAsia"/>
        </w:rPr>
        <w:t>4.单位未作出整改消除突出风险承诺的，必须在醒目位置向社会公开承诺本场所不存在突出风险或者已落实防范措施。</w:t>
      </w:r>
    </w:p>
    <w:p>
      <w:pPr>
        <w:snapToGrid w:val="0"/>
        <w:spacing w:line="600" w:lineRule="exact"/>
        <w:ind w:firstLine="632" w:firstLineChars="200"/>
        <w:rPr>
          <w:rFonts w:ascii="黑体" w:hAnsi="黑体" w:eastAsia="黑体"/>
        </w:rPr>
      </w:pPr>
      <w:r>
        <w:rPr>
          <w:rFonts w:hint="eastAsia" w:ascii="黑体" w:hAnsi="黑体" w:eastAsia="黑体"/>
        </w:rPr>
        <w:t>十、日常管理机制不健全</w:t>
      </w:r>
    </w:p>
    <w:p>
      <w:pPr>
        <w:snapToGrid w:val="0"/>
        <w:spacing w:line="600" w:lineRule="exact"/>
        <w:ind w:firstLine="632" w:firstLineChars="200"/>
      </w:pPr>
      <w:r>
        <w:rPr>
          <w:rFonts w:hint="eastAsia"/>
        </w:rPr>
        <w:t>1.单位未定期开展建筑消防设施检测和维护保养，并完整准确记录的，必须落实日常检查维修保养制度，每年至少进行一次全面检测，确保完好有效，并如实制作检测维保记录，存档备查。</w:t>
      </w:r>
    </w:p>
    <w:p>
      <w:pPr>
        <w:snapToGrid w:val="0"/>
        <w:spacing w:line="600" w:lineRule="exact"/>
        <w:ind w:firstLine="616" w:firstLineChars="200"/>
        <w:rPr>
          <w:szCs w:val="32"/>
        </w:rPr>
      </w:pPr>
      <w:r>
        <w:rPr>
          <w:rFonts w:hint="eastAsia"/>
          <w:spacing w:val="-4"/>
        </w:rPr>
        <w:t>2.单位未定期开展检查巡查，并如实登记报告的，必须安排专人开展防火检查巡查，及时发现火灾隐患并妥善处置；消防安全重</w:t>
      </w:r>
      <w:r>
        <w:rPr>
          <w:rFonts w:hint="eastAsia"/>
          <w:szCs w:val="32"/>
        </w:rPr>
        <w:t>点单位必须每日开展防火巡查，公众聚集场所在营业期间必须每二小时开展一次防火巡查，医院、养老院、寄宿制学校、幼儿园必须加强夜间防火巡查。</w:t>
      </w:r>
    </w:p>
    <w:p>
      <w:pPr>
        <w:snapToGrid w:val="0"/>
        <w:spacing w:line="600" w:lineRule="exact"/>
        <w:ind w:firstLine="632" w:firstLineChars="200"/>
        <w:rPr>
          <w:szCs w:val="32"/>
        </w:rPr>
      </w:pPr>
      <w:r>
        <w:rPr>
          <w:rFonts w:hint="eastAsia"/>
          <w:szCs w:val="32"/>
        </w:rPr>
        <w:t>3.单位存在</w:t>
      </w:r>
      <w:r>
        <w:rPr>
          <w:szCs w:val="32"/>
        </w:rPr>
        <w:t>火灾隐患的，必须及时整改消除火灾隐患；</w:t>
      </w:r>
      <w:r>
        <w:rPr>
          <w:rFonts w:hint="eastAsia"/>
          <w:szCs w:val="32"/>
        </w:rPr>
        <w:t>在火灾隐患消除之前，必须落实安全防范措施，确保消防安全。</w:t>
      </w:r>
    </w:p>
    <w:p>
      <w:pPr>
        <w:snapToGrid w:val="0"/>
        <w:spacing w:line="600" w:lineRule="exact"/>
        <w:ind w:firstLine="632" w:firstLineChars="200"/>
        <w:rPr>
          <w:rFonts w:ascii="黑体" w:hAnsi="黑体" w:eastAsia="黑体"/>
          <w:szCs w:val="32"/>
        </w:rPr>
      </w:pPr>
      <w:r>
        <w:rPr>
          <w:rFonts w:hint="eastAsia" w:ascii="黑体" w:hAnsi="黑体" w:eastAsia="黑体"/>
          <w:szCs w:val="32"/>
        </w:rPr>
        <w:t>十一、宣传教育培训不深入</w:t>
      </w:r>
    </w:p>
    <w:p>
      <w:pPr>
        <w:snapToGrid w:val="0"/>
        <w:spacing w:line="600" w:lineRule="exact"/>
        <w:ind w:firstLine="632" w:firstLineChars="200"/>
        <w:rPr>
          <w:szCs w:val="32"/>
        </w:rPr>
      </w:pPr>
      <w:r>
        <w:rPr>
          <w:rFonts w:hint="eastAsia"/>
          <w:szCs w:val="32"/>
        </w:rPr>
        <w:t>1.重点单位检查整改隐患、扑救初起火灾、组织人员疏散、开展宣传培训能力不足的，必须加强单位消防安全培训工作，开展示范性检查，完善灭火和应急疏散预案并组织演练，确保突发情况下及时扑救初起火灾，疏散在场群众。</w:t>
      </w:r>
    </w:p>
    <w:p>
      <w:pPr>
        <w:snapToGrid w:val="0"/>
        <w:spacing w:line="600" w:lineRule="exact"/>
        <w:ind w:firstLine="632" w:firstLineChars="200"/>
        <w:rPr>
          <w:szCs w:val="32"/>
        </w:rPr>
      </w:pPr>
      <w:r>
        <w:rPr>
          <w:rFonts w:hint="eastAsia"/>
          <w:szCs w:val="32"/>
        </w:rPr>
        <w:t>2.一般单位员工不了解本场所火灾危险性，不会报警、不会灭火、不会逃生的，必须定期组织员工进行消防安全培训，加强新入职员工岗前培训，使其了解本场所本岗位火灾危险性，掌握报火警、扑救初起火灾、自救逃生的知识和技能。人员密集场所现场工作人员，在火灾发生时必须组织、引导在场人员疏散。</w:t>
      </w:r>
    </w:p>
    <w:p>
      <w:pPr>
        <w:widowControl/>
        <w:jc w:val="left"/>
      </w:pPr>
      <w:r>
        <w:br w:type="page"/>
      </w:r>
      <w:r>
        <w:rPr>
          <w:rFonts w:hint="eastAsia" w:ascii="黑体" w:hAnsi="黑体" w:eastAsia="黑体"/>
          <w:sz w:val="28"/>
          <w:szCs w:val="28"/>
        </w:rPr>
        <w:t>附件2</w:t>
      </w:r>
    </w:p>
    <w:p>
      <w:pPr>
        <w:spacing w:line="400" w:lineRule="exact"/>
        <w:jc w:val="center"/>
        <w:rPr>
          <w:rFonts w:ascii="方正小标宋简体" w:hAnsi="Calibri" w:eastAsia="方正小标宋简体"/>
          <w:szCs w:val="32"/>
        </w:rPr>
      </w:pPr>
      <w:r>
        <w:rPr>
          <w:rFonts w:hint="eastAsia" w:ascii="方正小标宋简体" w:hAnsi="Calibri" w:eastAsia="方正小标宋简体"/>
          <w:szCs w:val="32"/>
        </w:rPr>
        <w:t>消防</w:t>
      </w:r>
      <w:r>
        <w:rPr>
          <w:rFonts w:ascii="方正小标宋简体" w:hAnsi="Calibri" w:eastAsia="方正小标宋简体"/>
          <w:szCs w:val="32"/>
        </w:rPr>
        <w:t>安全突出风险自查自改情况登记表</w:t>
      </w:r>
    </w:p>
    <w:tbl>
      <w:tblPr>
        <w:tblStyle w:val="4"/>
        <w:tblW w:w="96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491"/>
        <w:gridCol w:w="102"/>
        <w:gridCol w:w="1653"/>
        <w:gridCol w:w="403"/>
        <w:gridCol w:w="590"/>
        <w:gridCol w:w="708"/>
        <w:gridCol w:w="306"/>
        <w:gridCol w:w="687"/>
        <w:gridCol w:w="2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04" w:type="dxa"/>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单位</w:t>
            </w:r>
            <w:r>
              <w:rPr>
                <w:rFonts w:ascii="黑体" w:hAnsi="黑体" w:eastAsia="黑体"/>
                <w:sz w:val="18"/>
                <w:szCs w:val="18"/>
              </w:rPr>
              <w:t>基础信息</w:t>
            </w:r>
          </w:p>
        </w:tc>
        <w:tc>
          <w:tcPr>
            <w:tcW w:w="2593" w:type="dxa"/>
            <w:gridSpan w:val="2"/>
            <w:noWrap w:val="0"/>
            <w:vAlign w:val="center"/>
          </w:tcPr>
          <w:p>
            <w:pPr>
              <w:spacing w:line="240" w:lineRule="exact"/>
              <w:jc w:val="center"/>
              <w:rPr>
                <w:rFonts w:ascii="Calibri" w:hAnsi="等线" w:eastAsia="宋体"/>
                <w:sz w:val="18"/>
                <w:szCs w:val="18"/>
              </w:rPr>
            </w:pPr>
            <w:r>
              <w:rPr>
                <w:rFonts w:hint="eastAsia" w:ascii="Calibri" w:hAnsi="等线" w:eastAsia="宋体"/>
                <w:sz w:val="18"/>
                <w:szCs w:val="18"/>
              </w:rPr>
              <w:t>单位</w:t>
            </w:r>
            <w:r>
              <w:rPr>
                <w:rFonts w:ascii="Calibri" w:hAnsi="等线" w:eastAsia="宋体"/>
                <w:sz w:val="18"/>
                <w:szCs w:val="18"/>
              </w:rPr>
              <w:t>名称</w:t>
            </w:r>
          </w:p>
        </w:tc>
        <w:tc>
          <w:tcPr>
            <w:tcW w:w="2646" w:type="dxa"/>
            <w:gridSpan w:val="3"/>
            <w:noWrap w:val="0"/>
            <w:vAlign w:val="center"/>
          </w:tcPr>
          <w:p>
            <w:pPr>
              <w:spacing w:line="240" w:lineRule="exact"/>
              <w:jc w:val="center"/>
              <w:rPr>
                <w:rFonts w:ascii="Calibri" w:hAnsi="等线" w:eastAsia="宋体"/>
                <w:sz w:val="18"/>
                <w:szCs w:val="18"/>
              </w:rPr>
            </w:pPr>
          </w:p>
        </w:tc>
        <w:tc>
          <w:tcPr>
            <w:tcW w:w="1014" w:type="dxa"/>
            <w:gridSpan w:val="2"/>
            <w:noWrap w:val="0"/>
            <w:vAlign w:val="center"/>
          </w:tcPr>
          <w:p>
            <w:pPr>
              <w:spacing w:line="240" w:lineRule="exact"/>
              <w:jc w:val="center"/>
              <w:rPr>
                <w:rFonts w:ascii="Calibri" w:hAnsi="等线" w:eastAsia="宋体"/>
                <w:sz w:val="18"/>
                <w:szCs w:val="18"/>
              </w:rPr>
            </w:pPr>
            <w:r>
              <w:rPr>
                <w:rFonts w:hint="eastAsia" w:ascii="Calibri" w:hAnsi="等线" w:eastAsia="宋体"/>
                <w:sz w:val="18"/>
                <w:szCs w:val="18"/>
              </w:rPr>
              <w:t>单位性质</w:t>
            </w:r>
          </w:p>
        </w:tc>
        <w:tc>
          <w:tcPr>
            <w:tcW w:w="2714" w:type="dxa"/>
            <w:gridSpan w:val="2"/>
            <w:noWrap w:val="0"/>
            <w:vAlign w:val="top"/>
          </w:tcPr>
          <w:p>
            <w:pPr>
              <w:spacing w:line="240" w:lineRule="exact"/>
              <w:jc w:val="center"/>
              <w:rPr>
                <w:rFonts w:ascii="Calibri" w:hAnsi="等线"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04" w:type="dxa"/>
            <w:vMerge w:val="continue"/>
            <w:noWrap w:val="0"/>
            <w:vAlign w:val="center"/>
          </w:tcPr>
          <w:p>
            <w:pPr>
              <w:spacing w:line="240" w:lineRule="exact"/>
              <w:jc w:val="center"/>
              <w:rPr>
                <w:rFonts w:ascii="Calibri" w:hAnsi="等线" w:eastAsia="宋体"/>
                <w:sz w:val="18"/>
                <w:szCs w:val="18"/>
              </w:rPr>
            </w:pPr>
          </w:p>
        </w:tc>
        <w:tc>
          <w:tcPr>
            <w:tcW w:w="2593" w:type="dxa"/>
            <w:gridSpan w:val="2"/>
            <w:noWrap w:val="0"/>
            <w:vAlign w:val="center"/>
          </w:tcPr>
          <w:p>
            <w:pPr>
              <w:spacing w:line="240" w:lineRule="exact"/>
              <w:jc w:val="center"/>
              <w:rPr>
                <w:rFonts w:ascii="Calibri" w:hAnsi="等线" w:eastAsia="宋体"/>
                <w:sz w:val="18"/>
                <w:szCs w:val="18"/>
              </w:rPr>
            </w:pPr>
            <w:r>
              <w:rPr>
                <w:rFonts w:hint="eastAsia" w:ascii="Calibri" w:hAnsi="等线" w:eastAsia="宋体"/>
                <w:sz w:val="18"/>
                <w:szCs w:val="18"/>
              </w:rPr>
              <w:t>单位地址</w:t>
            </w:r>
          </w:p>
        </w:tc>
        <w:tc>
          <w:tcPr>
            <w:tcW w:w="6374" w:type="dxa"/>
            <w:gridSpan w:val="7"/>
            <w:noWrap w:val="0"/>
            <w:vAlign w:val="center"/>
          </w:tcPr>
          <w:p>
            <w:pPr>
              <w:spacing w:line="240" w:lineRule="exact"/>
              <w:ind w:firstLine="1056" w:firstLineChars="600"/>
              <w:rPr>
                <w:rFonts w:ascii="Calibri" w:hAnsi="等线" w:eastAsia="宋体"/>
                <w:sz w:val="18"/>
                <w:szCs w:val="18"/>
              </w:rPr>
            </w:pPr>
            <w:r>
              <w:rPr>
                <w:rFonts w:hint="eastAsia" w:ascii="Calibri" w:hAnsi="等线" w:eastAsia="宋体"/>
                <w:sz w:val="18"/>
                <w:szCs w:val="18"/>
              </w:rPr>
              <w:t xml:space="preserve">区  </w:t>
            </w:r>
            <w:r>
              <w:rPr>
                <w:rFonts w:ascii="Calibri" w:hAnsi="等线" w:eastAsia="宋体"/>
                <w:sz w:val="18"/>
                <w:szCs w:val="18"/>
              </w:rPr>
              <w:t xml:space="preserve">    </w:t>
            </w:r>
            <w:r>
              <w:rPr>
                <w:rFonts w:hint="eastAsia" w:ascii="Calibri" w:hAnsi="等线" w:eastAsia="宋体"/>
                <w:sz w:val="18"/>
                <w:szCs w:val="18"/>
              </w:rPr>
              <w:t>镇</w:t>
            </w:r>
            <w:r>
              <w:rPr>
                <w:rFonts w:ascii="Calibri" w:hAnsi="等线" w:eastAsia="宋体"/>
                <w:sz w:val="18"/>
                <w:szCs w:val="18"/>
              </w:rPr>
              <w:t>（</w:t>
            </w:r>
            <w:r>
              <w:rPr>
                <w:rFonts w:hint="eastAsia" w:ascii="Calibri" w:hAnsi="等线" w:eastAsia="宋体"/>
                <w:sz w:val="18"/>
                <w:szCs w:val="18"/>
              </w:rPr>
              <w:t>街道</w:t>
            </w:r>
            <w:r>
              <w:rPr>
                <w:rFonts w:ascii="Calibri" w:hAnsi="等线"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704" w:type="dxa"/>
            <w:vMerge w:val="continue"/>
            <w:noWrap w:val="0"/>
            <w:vAlign w:val="center"/>
          </w:tcPr>
          <w:p>
            <w:pPr>
              <w:spacing w:line="240" w:lineRule="exact"/>
              <w:jc w:val="center"/>
              <w:rPr>
                <w:rFonts w:ascii="Calibri" w:hAnsi="等线" w:eastAsia="宋体"/>
                <w:sz w:val="18"/>
                <w:szCs w:val="18"/>
              </w:rPr>
            </w:pPr>
          </w:p>
        </w:tc>
        <w:tc>
          <w:tcPr>
            <w:tcW w:w="2593" w:type="dxa"/>
            <w:gridSpan w:val="2"/>
            <w:noWrap w:val="0"/>
            <w:vAlign w:val="center"/>
          </w:tcPr>
          <w:p>
            <w:pPr>
              <w:spacing w:line="240" w:lineRule="exact"/>
              <w:jc w:val="center"/>
              <w:rPr>
                <w:rFonts w:ascii="Calibri" w:hAnsi="等线" w:eastAsia="宋体"/>
                <w:sz w:val="18"/>
                <w:szCs w:val="18"/>
              </w:rPr>
            </w:pPr>
            <w:r>
              <w:rPr>
                <w:rFonts w:hint="eastAsia" w:ascii="Calibri" w:hAnsi="等线" w:eastAsia="宋体"/>
                <w:sz w:val="18"/>
                <w:szCs w:val="18"/>
              </w:rPr>
              <w:t>消防</w:t>
            </w:r>
            <w:r>
              <w:rPr>
                <w:rFonts w:ascii="Calibri" w:hAnsi="等线" w:eastAsia="宋体"/>
                <w:sz w:val="18"/>
                <w:szCs w:val="18"/>
              </w:rPr>
              <w:t>安全管理人</w:t>
            </w:r>
          </w:p>
        </w:tc>
        <w:tc>
          <w:tcPr>
            <w:tcW w:w="2646" w:type="dxa"/>
            <w:gridSpan w:val="3"/>
            <w:noWrap w:val="0"/>
            <w:vAlign w:val="center"/>
          </w:tcPr>
          <w:p>
            <w:pPr>
              <w:spacing w:line="240" w:lineRule="exact"/>
              <w:jc w:val="center"/>
              <w:rPr>
                <w:rFonts w:ascii="Calibri" w:hAnsi="等线" w:eastAsia="宋体"/>
                <w:sz w:val="18"/>
                <w:szCs w:val="18"/>
              </w:rPr>
            </w:pPr>
          </w:p>
        </w:tc>
        <w:tc>
          <w:tcPr>
            <w:tcW w:w="1014" w:type="dxa"/>
            <w:gridSpan w:val="2"/>
            <w:noWrap w:val="0"/>
            <w:vAlign w:val="center"/>
          </w:tcPr>
          <w:p>
            <w:pPr>
              <w:spacing w:line="240" w:lineRule="exact"/>
              <w:jc w:val="center"/>
              <w:rPr>
                <w:rFonts w:ascii="Calibri" w:hAnsi="等线" w:eastAsia="宋体"/>
                <w:sz w:val="18"/>
                <w:szCs w:val="18"/>
              </w:rPr>
            </w:pPr>
            <w:r>
              <w:rPr>
                <w:rFonts w:hint="eastAsia" w:ascii="Calibri" w:hAnsi="等线" w:eastAsia="宋体"/>
                <w:sz w:val="18"/>
                <w:szCs w:val="18"/>
              </w:rPr>
              <w:t>联系</w:t>
            </w:r>
            <w:r>
              <w:rPr>
                <w:rFonts w:ascii="Calibri" w:hAnsi="等线" w:eastAsia="宋体"/>
                <w:sz w:val="18"/>
                <w:szCs w:val="18"/>
              </w:rPr>
              <w:t>电话</w:t>
            </w:r>
          </w:p>
        </w:tc>
        <w:tc>
          <w:tcPr>
            <w:tcW w:w="2714" w:type="dxa"/>
            <w:gridSpan w:val="2"/>
            <w:noWrap w:val="0"/>
            <w:vAlign w:val="top"/>
          </w:tcPr>
          <w:p>
            <w:pPr>
              <w:spacing w:line="240" w:lineRule="exact"/>
              <w:jc w:val="center"/>
              <w:rPr>
                <w:rFonts w:ascii="Calibri" w:hAnsi="等线"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风险</w:t>
            </w:r>
          </w:p>
          <w:p>
            <w:pPr>
              <w:spacing w:line="240" w:lineRule="exact"/>
              <w:jc w:val="center"/>
              <w:rPr>
                <w:rFonts w:ascii="黑体" w:hAnsi="黑体" w:eastAsia="黑体"/>
                <w:sz w:val="18"/>
                <w:szCs w:val="18"/>
              </w:rPr>
            </w:pPr>
            <w:r>
              <w:rPr>
                <w:rFonts w:hint="eastAsia" w:ascii="黑体" w:hAnsi="黑体" w:eastAsia="黑体"/>
                <w:sz w:val="18"/>
                <w:szCs w:val="18"/>
              </w:rPr>
              <w:t>类别</w:t>
            </w:r>
          </w:p>
        </w:tc>
        <w:tc>
          <w:tcPr>
            <w:tcW w:w="4246" w:type="dxa"/>
            <w:gridSpan w:val="3"/>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检查</w:t>
            </w:r>
            <w:r>
              <w:rPr>
                <w:rFonts w:ascii="黑体" w:hAnsi="黑体" w:eastAsia="黑体"/>
                <w:sz w:val="18"/>
                <w:szCs w:val="18"/>
              </w:rPr>
              <w:t>内容</w:t>
            </w:r>
          </w:p>
        </w:tc>
        <w:tc>
          <w:tcPr>
            <w:tcW w:w="993" w:type="dxa"/>
            <w:gridSpan w:val="2"/>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是否</w:t>
            </w:r>
            <w:r>
              <w:rPr>
                <w:rFonts w:ascii="黑体" w:hAnsi="黑体" w:eastAsia="黑体"/>
                <w:sz w:val="18"/>
                <w:szCs w:val="18"/>
              </w:rPr>
              <w:t>存在</w:t>
            </w:r>
            <w:r>
              <w:rPr>
                <w:rFonts w:hint="eastAsia" w:ascii="黑体" w:hAnsi="黑体" w:eastAsia="黑体"/>
                <w:sz w:val="18"/>
                <w:szCs w:val="18"/>
              </w:rPr>
              <w:t>该</w:t>
            </w:r>
            <w:r>
              <w:rPr>
                <w:rFonts w:ascii="黑体" w:hAnsi="黑体" w:eastAsia="黑体"/>
                <w:sz w:val="18"/>
                <w:szCs w:val="18"/>
              </w:rPr>
              <w:t>风险</w:t>
            </w:r>
          </w:p>
        </w:tc>
        <w:tc>
          <w:tcPr>
            <w:tcW w:w="708" w:type="dxa"/>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是否</w:t>
            </w:r>
          </w:p>
          <w:p>
            <w:pPr>
              <w:spacing w:line="240" w:lineRule="exact"/>
              <w:jc w:val="center"/>
              <w:rPr>
                <w:rFonts w:ascii="黑体" w:hAnsi="黑体" w:eastAsia="黑体"/>
                <w:sz w:val="18"/>
                <w:szCs w:val="18"/>
              </w:rPr>
            </w:pPr>
            <w:r>
              <w:rPr>
                <w:rFonts w:ascii="黑体" w:hAnsi="黑体" w:eastAsia="黑体"/>
                <w:sz w:val="18"/>
                <w:szCs w:val="18"/>
              </w:rPr>
              <w:t>整改</w:t>
            </w:r>
          </w:p>
        </w:tc>
        <w:tc>
          <w:tcPr>
            <w:tcW w:w="993" w:type="dxa"/>
            <w:gridSpan w:val="2"/>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整改</w:t>
            </w:r>
            <w:r>
              <w:rPr>
                <w:rFonts w:ascii="黑体" w:hAnsi="黑体" w:eastAsia="黑体"/>
                <w:sz w:val="18"/>
                <w:szCs w:val="18"/>
              </w:rPr>
              <w:t>时限</w:t>
            </w:r>
          </w:p>
        </w:tc>
        <w:tc>
          <w:tcPr>
            <w:tcW w:w="2027" w:type="dxa"/>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采取</w:t>
            </w:r>
            <w:r>
              <w:rPr>
                <w:rFonts w:ascii="黑体" w:hAnsi="黑体" w:eastAsia="黑体"/>
                <w:sz w:val="18"/>
                <w:szCs w:val="18"/>
              </w:rPr>
              <w:t>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noWrap w:val="0"/>
            <w:vAlign w:val="center"/>
          </w:tcPr>
          <w:p>
            <w:pPr>
              <w:spacing w:line="200" w:lineRule="exact"/>
              <w:jc w:val="left"/>
              <w:rPr>
                <w:rFonts w:ascii="黑体" w:hAnsi="黑体" w:eastAsia="黑体"/>
                <w:sz w:val="15"/>
                <w:szCs w:val="15"/>
              </w:rPr>
            </w:pPr>
            <w:r>
              <w:rPr>
                <w:rFonts w:hint="eastAsia" w:ascii="黑体" w:hAnsi="黑体" w:eastAsia="黑体"/>
                <w:sz w:val="15"/>
                <w:szCs w:val="15"/>
              </w:rPr>
              <w:t>一</w:t>
            </w:r>
            <w:r>
              <w:rPr>
                <w:rFonts w:ascii="黑体" w:hAnsi="黑体" w:eastAsia="黑体"/>
                <w:sz w:val="15"/>
                <w:szCs w:val="15"/>
              </w:rPr>
              <w:t>、</w:t>
            </w:r>
            <w:r>
              <w:rPr>
                <w:rFonts w:hint="eastAsia" w:ascii="黑体" w:hAnsi="黑体" w:eastAsia="黑体"/>
                <w:sz w:val="15"/>
                <w:szCs w:val="15"/>
              </w:rPr>
              <w:t>违规用火用电用油用气</w:t>
            </w:r>
          </w:p>
        </w:tc>
        <w:tc>
          <w:tcPr>
            <w:tcW w:w="4246" w:type="dxa"/>
            <w:gridSpan w:val="3"/>
            <w:noWrap w:val="0"/>
            <w:vAlign w:val="center"/>
          </w:tcPr>
          <w:p>
            <w:pPr>
              <w:spacing w:line="200" w:lineRule="exact"/>
              <w:jc w:val="left"/>
              <w:rPr>
                <w:rFonts w:ascii="宋体" w:hAnsi="宋体" w:eastAsia="宋体"/>
                <w:sz w:val="15"/>
                <w:szCs w:val="15"/>
              </w:rPr>
            </w:pPr>
            <w:r>
              <w:rPr>
                <w:rFonts w:hint="eastAsia" w:ascii="宋体" w:hAnsi="宋体" w:eastAsia="宋体"/>
                <w:sz w:val="15"/>
                <w:szCs w:val="15"/>
              </w:rPr>
              <w:t>1.超过额定功率、超负荷安装使用电器设备</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jc w:val="left"/>
              <w:rPr>
                <w:rFonts w:ascii="宋体" w:hAnsi="宋体" w:eastAsia="宋体"/>
                <w:sz w:val="15"/>
                <w:szCs w:val="15"/>
              </w:rPr>
            </w:pPr>
            <w:r>
              <w:rPr>
                <w:rFonts w:hint="eastAsia" w:ascii="宋体" w:hAnsi="宋体" w:eastAsia="宋体"/>
                <w:sz w:val="15"/>
                <w:szCs w:val="15"/>
              </w:rPr>
              <w:t>2.高温灯具、大功率电器等用电设备安装在可燃易燃物上或与可燃物距离过近</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jc w:val="left"/>
              <w:rPr>
                <w:rFonts w:ascii="宋体" w:hAnsi="宋体" w:eastAsia="宋体"/>
                <w:sz w:val="15"/>
                <w:szCs w:val="15"/>
              </w:rPr>
            </w:pPr>
            <w:r>
              <w:rPr>
                <w:rFonts w:hint="eastAsia" w:ascii="宋体" w:hAnsi="宋体" w:eastAsia="宋体"/>
                <w:sz w:val="15"/>
                <w:szCs w:val="15"/>
              </w:rPr>
              <w:t>3.配电箱、弱电井、强电井电线交织，堆放可燃杂物</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jc w:val="left"/>
              <w:rPr>
                <w:rFonts w:ascii="宋体" w:hAnsi="宋体" w:eastAsia="宋体"/>
                <w:sz w:val="15"/>
                <w:szCs w:val="15"/>
              </w:rPr>
            </w:pPr>
            <w:r>
              <w:rPr>
                <w:rFonts w:hint="eastAsia" w:ascii="宋体" w:hAnsi="宋体" w:eastAsia="宋体"/>
                <w:sz w:val="15"/>
                <w:szCs w:val="15"/>
              </w:rPr>
              <w:t>4.电线未做穿管保护直接穿过或敷设在易燃可燃物上以及炉灶、烟囱等高温部位周边</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jc w:val="left"/>
              <w:rPr>
                <w:rFonts w:ascii="宋体" w:hAnsi="宋体" w:eastAsia="宋体"/>
                <w:sz w:val="15"/>
                <w:szCs w:val="15"/>
              </w:rPr>
            </w:pPr>
            <w:r>
              <w:rPr>
                <w:rFonts w:hint="eastAsia" w:ascii="宋体" w:hAnsi="宋体" w:eastAsia="宋体"/>
                <w:sz w:val="15"/>
                <w:szCs w:val="15"/>
              </w:rPr>
              <w:t>5.电气线路老化、乱拉乱接,使用麻花线、铰接方式连接或将不同型号、规格的电线连接</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jc w:val="left"/>
              <w:rPr>
                <w:rFonts w:ascii="宋体" w:hAnsi="宋体" w:eastAsia="宋体"/>
                <w:sz w:val="15"/>
                <w:szCs w:val="15"/>
              </w:rPr>
            </w:pPr>
            <w:r>
              <w:rPr>
                <w:rFonts w:ascii="宋体" w:hAnsi="宋体" w:eastAsia="宋体"/>
                <w:sz w:val="15"/>
                <w:szCs w:val="15"/>
              </w:rPr>
              <w:t>6.</w:t>
            </w:r>
            <w:r>
              <w:rPr>
                <w:rFonts w:hint="eastAsia" w:ascii="宋体" w:hAnsi="宋体" w:eastAsia="宋体"/>
                <w:sz w:val="15"/>
                <w:szCs w:val="15"/>
              </w:rPr>
              <w:t>UPS电源及蓄电池等备用电源保养检测不到位</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jc w:val="left"/>
              <w:rPr>
                <w:rFonts w:ascii="宋体" w:hAnsi="宋体" w:eastAsia="宋体"/>
                <w:sz w:val="15"/>
                <w:szCs w:val="15"/>
              </w:rPr>
            </w:pPr>
            <w:r>
              <w:rPr>
                <w:rFonts w:hint="eastAsia" w:ascii="宋体" w:hAnsi="宋体" w:eastAsia="宋体"/>
                <w:sz w:val="15"/>
                <w:szCs w:val="15"/>
              </w:rPr>
              <w:t>7.燃气管线、连接软管、灶具老化，超出使用年限</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jc w:val="left"/>
              <w:rPr>
                <w:rFonts w:ascii="宋体" w:hAnsi="宋体" w:eastAsia="宋体"/>
                <w:sz w:val="15"/>
                <w:szCs w:val="15"/>
              </w:rPr>
            </w:pPr>
            <w:r>
              <w:rPr>
                <w:rFonts w:hint="eastAsia" w:ascii="宋体" w:hAnsi="宋体" w:eastAsia="宋体"/>
                <w:sz w:val="15"/>
                <w:szCs w:val="15"/>
              </w:rPr>
              <w:t>8.违规存放、使用</w:t>
            </w:r>
            <w:r>
              <w:rPr>
                <w:rFonts w:ascii="宋体" w:hAnsi="宋体" w:eastAsia="宋体"/>
                <w:sz w:val="15"/>
                <w:szCs w:val="15"/>
              </w:rPr>
              <w:t>液化石油气</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jc w:val="left"/>
              <w:rPr>
                <w:rFonts w:ascii="宋体" w:hAnsi="宋体" w:eastAsia="宋体"/>
                <w:sz w:val="15"/>
                <w:szCs w:val="15"/>
              </w:rPr>
            </w:pPr>
            <w:r>
              <w:rPr>
                <w:rFonts w:hint="eastAsia" w:ascii="宋体" w:hAnsi="宋体" w:eastAsia="宋体"/>
                <w:sz w:val="15"/>
                <w:szCs w:val="15"/>
              </w:rPr>
              <w:t>9.餐饮场所厨房油烟道、烤炉内油渍堆积过多，清洗不干净或未按规定及时清洗</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jc w:val="left"/>
              <w:rPr>
                <w:rFonts w:ascii="宋体" w:hAnsi="宋体" w:eastAsia="宋体"/>
                <w:sz w:val="15"/>
                <w:szCs w:val="15"/>
              </w:rPr>
            </w:pPr>
            <w:r>
              <w:rPr>
                <w:rFonts w:hint="eastAsia" w:ascii="宋体" w:hAnsi="宋体" w:eastAsia="宋体"/>
                <w:sz w:val="15"/>
                <w:szCs w:val="15"/>
              </w:rPr>
              <w:t>10.文物古建内点蜡烛、焚香等使用明火行为</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noWrap w:val="0"/>
            <w:vAlign w:val="center"/>
          </w:tcPr>
          <w:p>
            <w:pPr>
              <w:spacing w:line="200" w:lineRule="exact"/>
              <w:jc w:val="left"/>
              <w:rPr>
                <w:rFonts w:ascii="黑体" w:hAnsi="黑体" w:eastAsia="黑体"/>
                <w:sz w:val="15"/>
                <w:szCs w:val="15"/>
              </w:rPr>
            </w:pPr>
            <w:r>
              <w:rPr>
                <w:rFonts w:hint="eastAsia" w:ascii="黑体" w:hAnsi="黑体" w:eastAsia="黑体"/>
                <w:sz w:val="15"/>
                <w:szCs w:val="15"/>
              </w:rPr>
              <w:t>二</w:t>
            </w:r>
            <w:r>
              <w:rPr>
                <w:rFonts w:ascii="黑体" w:hAnsi="黑体" w:eastAsia="黑体"/>
                <w:sz w:val="15"/>
                <w:szCs w:val="15"/>
              </w:rPr>
              <w:t>、</w:t>
            </w:r>
            <w:r>
              <w:rPr>
                <w:rFonts w:hint="eastAsia" w:ascii="黑体" w:hAnsi="黑体" w:eastAsia="黑体"/>
                <w:sz w:val="15"/>
                <w:szCs w:val="15"/>
              </w:rPr>
              <w:t>违规动火动焊</w:t>
            </w:r>
          </w:p>
        </w:tc>
        <w:tc>
          <w:tcPr>
            <w:tcW w:w="4246" w:type="dxa"/>
            <w:gridSpan w:val="3"/>
            <w:noWrap w:val="0"/>
            <w:vAlign w:val="center"/>
          </w:tcPr>
          <w:p>
            <w:pPr>
              <w:spacing w:line="200" w:lineRule="exact"/>
              <w:jc w:val="left"/>
              <w:rPr>
                <w:rFonts w:ascii="宋体" w:hAnsi="宋体" w:eastAsia="宋体"/>
                <w:sz w:val="15"/>
                <w:szCs w:val="15"/>
              </w:rPr>
            </w:pPr>
            <w:r>
              <w:rPr>
                <w:rFonts w:hint="eastAsia" w:ascii="宋体" w:hAnsi="宋体" w:eastAsia="宋体"/>
                <w:sz w:val="15"/>
                <w:szCs w:val="15"/>
              </w:rPr>
              <w:t>11.切割、焊接、防水施工等明火作业未清理作业点及其周边和下方易燃、可燃杂物，未封堵周边孔洞</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00" w:lineRule="exact"/>
              <w:jc w:val="left"/>
              <w:rPr>
                <w:rFonts w:ascii="黑体" w:hAnsi="黑体" w:eastAsia="黑体"/>
                <w:sz w:val="15"/>
                <w:szCs w:val="15"/>
              </w:rPr>
            </w:pPr>
          </w:p>
        </w:tc>
        <w:tc>
          <w:tcPr>
            <w:tcW w:w="4246" w:type="dxa"/>
            <w:gridSpan w:val="3"/>
            <w:noWrap w:val="0"/>
            <w:vAlign w:val="center"/>
          </w:tcPr>
          <w:p>
            <w:pPr>
              <w:spacing w:line="200" w:lineRule="exact"/>
              <w:jc w:val="left"/>
              <w:rPr>
                <w:rFonts w:ascii="宋体" w:hAnsi="宋体" w:eastAsia="宋体"/>
                <w:sz w:val="15"/>
                <w:szCs w:val="15"/>
              </w:rPr>
            </w:pPr>
            <w:r>
              <w:rPr>
                <w:rFonts w:hint="eastAsia" w:ascii="宋体" w:hAnsi="宋体" w:eastAsia="宋体"/>
                <w:sz w:val="15"/>
                <w:szCs w:val="15"/>
              </w:rPr>
              <w:t>12.明火作业人员未落实动火审批手续，</w:t>
            </w:r>
            <w:r>
              <w:rPr>
                <w:rFonts w:ascii="宋体" w:hAnsi="宋体" w:eastAsia="宋体"/>
                <w:sz w:val="15"/>
                <w:szCs w:val="15"/>
              </w:rPr>
              <w:t>超过规定时间和范围动用明火</w:t>
            </w:r>
            <w:r>
              <w:rPr>
                <w:rFonts w:hint="eastAsia" w:ascii="宋体" w:hAnsi="宋体" w:eastAsia="宋体"/>
                <w:sz w:val="15"/>
                <w:szCs w:val="15"/>
              </w:rPr>
              <w:t>，</w:t>
            </w:r>
            <w:r>
              <w:rPr>
                <w:rFonts w:ascii="宋体" w:hAnsi="宋体" w:eastAsia="宋体"/>
                <w:sz w:val="15"/>
                <w:szCs w:val="15"/>
              </w:rPr>
              <w:t>无证操作或违反操作规程</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jc w:val="left"/>
              <w:rPr>
                <w:rFonts w:ascii="宋体" w:hAnsi="宋体" w:eastAsia="宋体"/>
                <w:sz w:val="15"/>
                <w:szCs w:val="15"/>
              </w:rPr>
            </w:pPr>
            <w:r>
              <w:rPr>
                <w:rFonts w:hint="eastAsia" w:ascii="宋体" w:hAnsi="宋体" w:eastAsia="宋体"/>
                <w:sz w:val="15"/>
                <w:szCs w:val="15"/>
              </w:rPr>
              <w:t>13</w:t>
            </w:r>
            <w:r>
              <w:rPr>
                <w:rFonts w:ascii="宋体" w:hAnsi="宋体" w:eastAsia="宋体"/>
                <w:sz w:val="15"/>
                <w:szCs w:val="15"/>
              </w:rPr>
              <w:t>.</w:t>
            </w:r>
            <w:r>
              <w:rPr>
                <w:rFonts w:hint="eastAsia" w:ascii="宋体" w:hAnsi="宋体" w:eastAsia="宋体"/>
                <w:sz w:val="15"/>
                <w:szCs w:val="15"/>
              </w:rPr>
              <w:t>宾馆饭店、商场市场、体育馆以及公共娱乐场所等公共聚集场所营业期间动用明火施工作业</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noWrap w:val="0"/>
            <w:vAlign w:val="center"/>
          </w:tcPr>
          <w:p>
            <w:pPr>
              <w:spacing w:line="200" w:lineRule="exact"/>
              <w:jc w:val="left"/>
              <w:rPr>
                <w:rFonts w:ascii="黑体" w:hAnsi="黑体" w:eastAsia="黑体"/>
                <w:sz w:val="15"/>
                <w:szCs w:val="15"/>
              </w:rPr>
            </w:pPr>
            <w:r>
              <w:rPr>
                <w:rFonts w:hint="eastAsia" w:ascii="黑体" w:hAnsi="黑体" w:eastAsia="黑体"/>
                <w:sz w:val="15"/>
                <w:szCs w:val="15"/>
              </w:rPr>
              <w:t>三</w:t>
            </w:r>
            <w:r>
              <w:rPr>
                <w:rFonts w:ascii="黑体" w:hAnsi="黑体" w:eastAsia="黑体"/>
                <w:sz w:val="15"/>
                <w:szCs w:val="15"/>
              </w:rPr>
              <w:t>、</w:t>
            </w:r>
            <w:r>
              <w:rPr>
                <w:rFonts w:hint="eastAsia" w:ascii="黑体" w:hAnsi="黑体" w:eastAsia="黑体"/>
                <w:sz w:val="15"/>
                <w:szCs w:val="15"/>
              </w:rPr>
              <w:t>电动自行车违规停放充电</w:t>
            </w:r>
          </w:p>
        </w:tc>
        <w:tc>
          <w:tcPr>
            <w:tcW w:w="4246" w:type="dxa"/>
            <w:gridSpan w:val="3"/>
            <w:noWrap w:val="0"/>
            <w:vAlign w:val="center"/>
          </w:tcPr>
          <w:p>
            <w:pPr>
              <w:spacing w:line="200" w:lineRule="exact"/>
              <w:rPr>
                <w:rFonts w:ascii="宋体" w:hAnsi="宋体" w:eastAsia="宋体"/>
                <w:sz w:val="15"/>
                <w:szCs w:val="15"/>
              </w:rPr>
            </w:pPr>
            <w:r>
              <w:rPr>
                <w:rFonts w:ascii="宋体" w:hAnsi="宋体" w:eastAsia="宋体"/>
                <w:sz w:val="15"/>
                <w:szCs w:val="15"/>
              </w:rPr>
              <w:t>1</w:t>
            </w:r>
            <w:r>
              <w:rPr>
                <w:rFonts w:hint="eastAsia" w:ascii="宋体" w:hAnsi="宋体" w:eastAsia="宋体"/>
                <w:sz w:val="15"/>
                <w:szCs w:val="15"/>
              </w:rPr>
              <w:t>4.电动自行车停放在建筑门厅、楼梯间、共用走道等室内公共区域</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rPr>
                <w:rFonts w:ascii="宋体" w:hAnsi="宋体" w:eastAsia="宋体"/>
                <w:sz w:val="15"/>
                <w:szCs w:val="15"/>
              </w:rPr>
            </w:pPr>
            <w:r>
              <w:rPr>
                <w:rFonts w:hint="eastAsia" w:ascii="宋体" w:hAnsi="宋体" w:eastAsia="宋体"/>
                <w:sz w:val="15"/>
                <w:szCs w:val="15"/>
              </w:rPr>
              <w:t>15.居民住宅楼、员工宿舍等有人员居住的场所内停放电动自行车</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rPr>
                <w:rFonts w:ascii="宋体" w:hAnsi="宋体" w:eastAsia="宋体"/>
                <w:sz w:val="15"/>
                <w:szCs w:val="15"/>
              </w:rPr>
            </w:pPr>
            <w:r>
              <w:rPr>
                <w:rFonts w:hint="eastAsia" w:ascii="宋体" w:hAnsi="宋体" w:eastAsia="宋体"/>
                <w:sz w:val="15"/>
                <w:szCs w:val="15"/>
              </w:rPr>
              <w:t>16.电动自行车集中停放的部位与其他部位直接连通未设置防火分隔设施</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rPr>
                <w:rFonts w:ascii="宋体" w:hAnsi="宋体" w:eastAsia="宋体"/>
                <w:sz w:val="15"/>
                <w:szCs w:val="15"/>
              </w:rPr>
            </w:pPr>
            <w:r>
              <w:rPr>
                <w:rFonts w:ascii="宋体" w:hAnsi="宋体" w:eastAsia="宋体"/>
                <w:sz w:val="15"/>
                <w:szCs w:val="15"/>
              </w:rPr>
              <w:t>1</w:t>
            </w:r>
            <w:r>
              <w:rPr>
                <w:rFonts w:hint="eastAsia" w:ascii="宋体" w:hAnsi="宋体" w:eastAsia="宋体"/>
                <w:sz w:val="15"/>
                <w:szCs w:val="15"/>
              </w:rPr>
              <w:t>7</w:t>
            </w:r>
            <w:r>
              <w:rPr>
                <w:rFonts w:ascii="宋体" w:hAnsi="宋体" w:eastAsia="宋体"/>
                <w:sz w:val="15"/>
                <w:szCs w:val="15"/>
              </w:rPr>
              <w:t>.</w:t>
            </w:r>
            <w:r>
              <w:rPr>
                <w:rFonts w:hint="eastAsia" w:ascii="宋体" w:hAnsi="宋体" w:eastAsia="宋体"/>
                <w:sz w:val="15"/>
                <w:szCs w:val="15"/>
              </w:rPr>
              <w:t>使用不匹配或质量不合格的充电器为电动车或其蓄电池充电或者拉“飞线”充电</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rPr>
                <w:rFonts w:ascii="宋体" w:hAnsi="宋体" w:eastAsia="宋体"/>
                <w:sz w:val="15"/>
                <w:szCs w:val="15"/>
              </w:rPr>
            </w:pPr>
            <w:r>
              <w:rPr>
                <w:rFonts w:hint="eastAsia" w:ascii="宋体" w:hAnsi="宋体" w:eastAsia="宋体"/>
                <w:sz w:val="15"/>
                <w:szCs w:val="15"/>
              </w:rPr>
              <w:t>18.电动自行车停放周围有易燃可燃物</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noWrap w:val="0"/>
            <w:vAlign w:val="center"/>
          </w:tcPr>
          <w:p>
            <w:pPr>
              <w:spacing w:line="200" w:lineRule="exact"/>
              <w:jc w:val="left"/>
              <w:rPr>
                <w:rFonts w:ascii="黑体" w:hAnsi="黑体" w:eastAsia="黑体"/>
                <w:sz w:val="15"/>
                <w:szCs w:val="15"/>
              </w:rPr>
            </w:pPr>
            <w:r>
              <w:rPr>
                <w:rFonts w:hint="eastAsia" w:ascii="黑体" w:hAnsi="黑体" w:eastAsia="黑体"/>
                <w:sz w:val="15"/>
                <w:szCs w:val="15"/>
              </w:rPr>
              <w:t>四</w:t>
            </w:r>
            <w:r>
              <w:rPr>
                <w:rFonts w:ascii="黑体" w:hAnsi="黑体" w:eastAsia="黑体"/>
                <w:sz w:val="15"/>
                <w:szCs w:val="15"/>
              </w:rPr>
              <w:t>、</w:t>
            </w:r>
            <w:r>
              <w:rPr>
                <w:rFonts w:hint="eastAsia" w:ascii="黑体" w:hAnsi="黑体" w:eastAsia="黑体"/>
                <w:sz w:val="15"/>
                <w:szCs w:val="15"/>
              </w:rPr>
              <w:t>违规存放易燃易爆危险品</w:t>
            </w:r>
          </w:p>
        </w:tc>
        <w:tc>
          <w:tcPr>
            <w:tcW w:w="4246" w:type="dxa"/>
            <w:gridSpan w:val="3"/>
            <w:noWrap w:val="0"/>
            <w:vAlign w:val="center"/>
          </w:tcPr>
          <w:p>
            <w:pPr>
              <w:spacing w:line="200" w:lineRule="exact"/>
              <w:rPr>
                <w:rFonts w:ascii="宋体" w:hAnsi="宋体" w:eastAsia="宋体"/>
                <w:sz w:val="15"/>
                <w:szCs w:val="15"/>
              </w:rPr>
            </w:pPr>
            <w:r>
              <w:rPr>
                <w:rFonts w:hint="eastAsia" w:ascii="宋体" w:hAnsi="宋体" w:eastAsia="宋体"/>
                <w:sz w:val="15"/>
                <w:szCs w:val="15"/>
              </w:rPr>
              <w:t>19.人员密集场所、居住场所违规使用、储存易燃易爆危险品；其他场所储存易燃易爆危险品的，未在明显部位设置禁烟禁火等警示标志，未安排专业人员管理</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rPr>
                <w:rFonts w:ascii="宋体" w:hAnsi="宋体" w:eastAsia="宋体"/>
                <w:sz w:val="15"/>
                <w:szCs w:val="15"/>
              </w:rPr>
            </w:pPr>
            <w:r>
              <w:rPr>
                <w:rFonts w:hint="eastAsia" w:ascii="宋体" w:hAnsi="宋体" w:eastAsia="宋体"/>
                <w:sz w:val="15"/>
                <w:szCs w:val="15"/>
              </w:rPr>
              <w:t>20</w:t>
            </w:r>
            <w:r>
              <w:rPr>
                <w:rFonts w:ascii="宋体" w:hAnsi="宋体" w:eastAsia="宋体"/>
                <w:sz w:val="15"/>
                <w:szCs w:val="15"/>
              </w:rPr>
              <w:t>.</w:t>
            </w:r>
            <w:r>
              <w:rPr>
                <w:rFonts w:hint="eastAsia" w:ascii="宋体" w:hAnsi="宋体" w:eastAsia="宋体"/>
                <w:sz w:val="15"/>
                <w:szCs w:val="15"/>
              </w:rPr>
              <w:t>商场市场、施工工地等场所违规堆放易燃可燃物品</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rPr>
                <w:rFonts w:ascii="宋体" w:hAnsi="宋体" w:eastAsia="宋体"/>
                <w:sz w:val="15"/>
                <w:szCs w:val="15"/>
              </w:rPr>
            </w:pPr>
            <w:r>
              <w:rPr>
                <w:rFonts w:hint="eastAsia" w:ascii="宋体" w:hAnsi="宋体" w:eastAsia="宋体"/>
                <w:sz w:val="15"/>
                <w:szCs w:val="15"/>
              </w:rPr>
              <w:t>21.劳动密集型企业生产车间等场所内超量存放易燃易爆原材料或者半成品</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rPr>
                <w:rFonts w:ascii="宋体" w:hAnsi="宋体" w:eastAsia="宋体"/>
                <w:sz w:val="15"/>
                <w:szCs w:val="15"/>
              </w:rPr>
            </w:pPr>
            <w:r>
              <w:rPr>
                <w:rFonts w:hint="eastAsia" w:ascii="宋体" w:hAnsi="宋体" w:eastAsia="宋体"/>
                <w:sz w:val="15"/>
                <w:szCs w:val="15"/>
              </w:rPr>
              <w:t>22.仓储</w:t>
            </w:r>
            <w:r>
              <w:rPr>
                <w:rFonts w:ascii="宋体" w:hAnsi="宋体" w:eastAsia="宋体"/>
                <w:sz w:val="15"/>
                <w:szCs w:val="15"/>
              </w:rPr>
              <w:t>库房擅自改变使用性质</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noWrap w:val="0"/>
            <w:vAlign w:val="center"/>
          </w:tcPr>
          <w:p>
            <w:pPr>
              <w:spacing w:line="200" w:lineRule="exact"/>
              <w:jc w:val="left"/>
              <w:rPr>
                <w:rFonts w:ascii="黑体" w:hAnsi="黑体" w:eastAsia="黑体"/>
                <w:sz w:val="15"/>
                <w:szCs w:val="15"/>
              </w:rPr>
            </w:pPr>
            <w:r>
              <w:rPr>
                <w:rFonts w:hint="eastAsia" w:ascii="黑体" w:hAnsi="黑体" w:eastAsia="黑体"/>
                <w:sz w:val="15"/>
                <w:szCs w:val="15"/>
              </w:rPr>
              <w:t>五</w:t>
            </w:r>
            <w:r>
              <w:rPr>
                <w:rFonts w:ascii="黑体" w:hAnsi="黑体" w:eastAsia="黑体"/>
                <w:sz w:val="15"/>
                <w:szCs w:val="15"/>
              </w:rPr>
              <w:t>、</w:t>
            </w:r>
            <w:r>
              <w:rPr>
                <w:rFonts w:hint="eastAsia" w:ascii="黑体" w:hAnsi="黑体" w:eastAsia="黑体"/>
                <w:sz w:val="15"/>
                <w:szCs w:val="15"/>
              </w:rPr>
              <w:t>疏散通道不畅通</w:t>
            </w:r>
          </w:p>
        </w:tc>
        <w:tc>
          <w:tcPr>
            <w:tcW w:w="4246" w:type="dxa"/>
            <w:gridSpan w:val="3"/>
            <w:noWrap w:val="0"/>
            <w:vAlign w:val="center"/>
          </w:tcPr>
          <w:p>
            <w:pPr>
              <w:spacing w:line="200" w:lineRule="exact"/>
              <w:rPr>
                <w:rFonts w:ascii="宋体" w:hAnsi="宋体" w:eastAsia="宋体"/>
                <w:sz w:val="15"/>
                <w:szCs w:val="15"/>
              </w:rPr>
            </w:pPr>
            <w:r>
              <w:rPr>
                <w:rFonts w:hint="eastAsia" w:ascii="宋体" w:hAnsi="宋体" w:eastAsia="宋体"/>
                <w:sz w:val="15"/>
                <w:szCs w:val="15"/>
              </w:rPr>
              <w:t>23.疏散通道、安全出口被封闭、堵塞、占用</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rPr>
                <w:rFonts w:ascii="宋体" w:hAnsi="宋体" w:eastAsia="宋体"/>
                <w:sz w:val="15"/>
                <w:szCs w:val="15"/>
              </w:rPr>
            </w:pPr>
            <w:r>
              <w:rPr>
                <w:rFonts w:ascii="宋体" w:hAnsi="宋体" w:eastAsia="宋体"/>
                <w:sz w:val="15"/>
                <w:szCs w:val="15"/>
              </w:rPr>
              <w:t>2</w:t>
            </w:r>
            <w:r>
              <w:rPr>
                <w:rFonts w:hint="eastAsia" w:ascii="宋体" w:hAnsi="宋体" w:eastAsia="宋体"/>
                <w:sz w:val="15"/>
                <w:szCs w:val="15"/>
              </w:rPr>
              <w:t>4.人员密集场所在门窗上设置广告牌、金属栅栏等影响逃生和灭火救援障碍物</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rPr>
                <w:rFonts w:ascii="宋体" w:hAnsi="宋体" w:eastAsia="宋体"/>
                <w:sz w:val="15"/>
                <w:szCs w:val="15"/>
              </w:rPr>
            </w:pPr>
            <w:r>
              <w:rPr>
                <w:rFonts w:ascii="宋体" w:hAnsi="宋体" w:eastAsia="宋体"/>
                <w:sz w:val="15"/>
                <w:szCs w:val="15"/>
              </w:rPr>
              <w:t>2</w:t>
            </w:r>
            <w:r>
              <w:rPr>
                <w:rFonts w:hint="eastAsia" w:ascii="宋体" w:hAnsi="宋体" w:eastAsia="宋体"/>
                <w:sz w:val="15"/>
                <w:szCs w:val="15"/>
              </w:rPr>
              <w:t>5.违规搭建临时建筑，占用防火间距、疏散通道</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rPr>
                <w:rFonts w:ascii="宋体" w:hAnsi="宋体" w:eastAsia="宋体"/>
                <w:sz w:val="15"/>
                <w:szCs w:val="15"/>
              </w:rPr>
            </w:pPr>
            <w:r>
              <w:rPr>
                <w:rFonts w:ascii="宋体" w:hAnsi="宋体" w:eastAsia="宋体"/>
                <w:sz w:val="15"/>
                <w:szCs w:val="15"/>
              </w:rPr>
              <w:t>2</w:t>
            </w:r>
            <w:r>
              <w:rPr>
                <w:rFonts w:hint="eastAsia" w:ascii="宋体" w:hAnsi="宋体" w:eastAsia="宋体"/>
                <w:sz w:val="15"/>
                <w:szCs w:val="15"/>
              </w:rPr>
              <w:t>6.宾馆饭店、员工宿舍等有人员住宿的场所，安全出口未能24小时保持畅通；公众聚集场所在营业期间，安全出口未保持畅通</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noWrap w:val="0"/>
            <w:vAlign w:val="center"/>
          </w:tcPr>
          <w:p>
            <w:pPr>
              <w:spacing w:line="200" w:lineRule="exact"/>
              <w:jc w:val="left"/>
              <w:rPr>
                <w:rFonts w:ascii="黑体" w:hAnsi="黑体" w:eastAsia="黑体"/>
                <w:sz w:val="15"/>
                <w:szCs w:val="15"/>
              </w:rPr>
            </w:pPr>
            <w:r>
              <w:rPr>
                <w:rFonts w:hint="eastAsia" w:ascii="黑体" w:hAnsi="黑体" w:eastAsia="黑体"/>
                <w:sz w:val="15"/>
                <w:szCs w:val="15"/>
              </w:rPr>
              <w:t>六</w:t>
            </w:r>
            <w:r>
              <w:rPr>
                <w:rFonts w:ascii="黑体" w:hAnsi="黑体" w:eastAsia="黑体"/>
                <w:sz w:val="15"/>
                <w:szCs w:val="15"/>
              </w:rPr>
              <w:t>、</w:t>
            </w:r>
            <w:r>
              <w:rPr>
                <w:rFonts w:hint="eastAsia" w:ascii="黑体" w:hAnsi="黑体" w:eastAsia="黑体"/>
                <w:sz w:val="15"/>
                <w:szCs w:val="15"/>
              </w:rPr>
              <w:t>防火分隔不到位</w:t>
            </w:r>
          </w:p>
        </w:tc>
        <w:tc>
          <w:tcPr>
            <w:tcW w:w="4246" w:type="dxa"/>
            <w:gridSpan w:val="3"/>
            <w:noWrap w:val="0"/>
            <w:vAlign w:val="center"/>
          </w:tcPr>
          <w:p>
            <w:pPr>
              <w:spacing w:line="200" w:lineRule="exact"/>
              <w:jc w:val="left"/>
              <w:rPr>
                <w:rFonts w:ascii="宋体" w:hAnsi="宋体" w:eastAsia="宋体"/>
                <w:sz w:val="15"/>
                <w:szCs w:val="15"/>
              </w:rPr>
            </w:pPr>
            <w:r>
              <w:rPr>
                <w:rFonts w:ascii="宋体" w:hAnsi="宋体" w:eastAsia="宋体"/>
                <w:sz w:val="15"/>
                <w:szCs w:val="15"/>
              </w:rPr>
              <w:t>2</w:t>
            </w:r>
            <w:r>
              <w:rPr>
                <w:rFonts w:hint="eastAsia" w:ascii="宋体" w:hAnsi="宋体" w:eastAsia="宋体"/>
                <w:sz w:val="15"/>
                <w:szCs w:val="15"/>
              </w:rPr>
              <w:t>7.</w:t>
            </w:r>
            <w:r>
              <w:rPr>
                <w:rFonts w:ascii="宋体" w:hAnsi="宋体" w:eastAsia="宋体"/>
                <w:sz w:val="15"/>
                <w:szCs w:val="15"/>
              </w:rPr>
              <w:t>建筑地下与地上部分防火分隔设置不到位或者共用疏散楼梯间且未分隔</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jc w:val="left"/>
              <w:rPr>
                <w:rFonts w:ascii="宋体" w:hAnsi="宋体" w:eastAsia="宋体"/>
                <w:sz w:val="15"/>
                <w:szCs w:val="15"/>
              </w:rPr>
            </w:pPr>
            <w:r>
              <w:rPr>
                <w:rFonts w:ascii="宋体" w:hAnsi="宋体" w:eastAsia="宋体"/>
                <w:sz w:val="15"/>
                <w:szCs w:val="15"/>
              </w:rPr>
              <w:t>2</w:t>
            </w:r>
            <w:r>
              <w:rPr>
                <w:rFonts w:hint="eastAsia" w:ascii="宋体" w:hAnsi="宋体" w:eastAsia="宋体"/>
                <w:sz w:val="15"/>
                <w:szCs w:val="15"/>
              </w:rPr>
              <w:t>8.建筑住宅与非住宅部分防火分隔设置不到位</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rPr>
                <w:rFonts w:ascii="宋体" w:hAnsi="宋体" w:eastAsia="宋体"/>
                <w:sz w:val="15"/>
                <w:szCs w:val="15"/>
              </w:rPr>
            </w:pPr>
            <w:r>
              <w:rPr>
                <w:rFonts w:ascii="宋体" w:hAnsi="宋体" w:eastAsia="宋体"/>
                <w:sz w:val="15"/>
                <w:szCs w:val="15"/>
              </w:rPr>
              <w:t>2</w:t>
            </w:r>
            <w:r>
              <w:rPr>
                <w:rFonts w:hint="eastAsia" w:ascii="宋体" w:hAnsi="宋体" w:eastAsia="宋体"/>
                <w:sz w:val="15"/>
                <w:szCs w:val="15"/>
              </w:rPr>
              <w:t>9.防火隔墙、防火卷帘、防火门、防火窗等防火分隔设施损坏</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rPr>
                <w:rFonts w:ascii="宋体" w:hAnsi="宋体" w:eastAsia="宋体"/>
                <w:sz w:val="15"/>
                <w:szCs w:val="15"/>
              </w:rPr>
            </w:pPr>
            <w:r>
              <w:rPr>
                <w:rFonts w:hint="eastAsia" w:ascii="宋体" w:hAnsi="宋体" w:eastAsia="宋体"/>
                <w:sz w:val="15"/>
                <w:szCs w:val="15"/>
              </w:rPr>
              <w:t>30.楼梯间、前室常闭式防火门常开；防火门闭门器、顺序器损坏导致防火门不能自行关闭</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rPr>
                <w:rFonts w:ascii="宋体" w:hAnsi="宋体" w:eastAsia="宋体"/>
                <w:sz w:val="15"/>
                <w:szCs w:val="15"/>
              </w:rPr>
            </w:pPr>
            <w:r>
              <w:rPr>
                <w:rFonts w:hint="eastAsia" w:ascii="宋体" w:hAnsi="宋体" w:eastAsia="宋体"/>
                <w:sz w:val="15"/>
                <w:szCs w:val="15"/>
              </w:rPr>
              <w:t>31.管道穿越墙体处的孔洞、缝隙，竖向管道井与房间、吊顶相连通的孔洞，楼层楼板的缝隙防火分隔不严密</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rPr>
                <w:rFonts w:ascii="宋体" w:hAnsi="宋体" w:eastAsia="宋体"/>
                <w:sz w:val="15"/>
                <w:szCs w:val="15"/>
              </w:rPr>
            </w:pPr>
            <w:r>
              <w:rPr>
                <w:rFonts w:hint="eastAsia" w:ascii="宋体" w:hAnsi="宋体" w:eastAsia="宋体"/>
                <w:sz w:val="15"/>
                <w:szCs w:val="15"/>
              </w:rPr>
              <w:t>32.仓储</w:t>
            </w:r>
            <w:r>
              <w:rPr>
                <w:rFonts w:ascii="宋体" w:hAnsi="宋体" w:eastAsia="宋体"/>
                <w:sz w:val="15"/>
                <w:szCs w:val="15"/>
              </w:rPr>
              <w:t>库房内的防火分区之间未采用防火墙分隔的</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noWrap w:val="0"/>
            <w:vAlign w:val="center"/>
          </w:tcPr>
          <w:p>
            <w:pPr>
              <w:spacing w:line="200" w:lineRule="exact"/>
              <w:jc w:val="left"/>
              <w:rPr>
                <w:rFonts w:ascii="黑体" w:hAnsi="黑体" w:eastAsia="黑体"/>
                <w:sz w:val="15"/>
                <w:szCs w:val="15"/>
              </w:rPr>
            </w:pPr>
            <w:r>
              <w:rPr>
                <w:rFonts w:hint="eastAsia" w:ascii="黑体" w:hAnsi="黑体" w:eastAsia="黑体"/>
                <w:sz w:val="15"/>
                <w:szCs w:val="15"/>
              </w:rPr>
              <w:t>七</w:t>
            </w:r>
            <w:r>
              <w:rPr>
                <w:rFonts w:ascii="黑体" w:hAnsi="黑体" w:eastAsia="黑体"/>
                <w:sz w:val="15"/>
                <w:szCs w:val="15"/>
              </w:rPr>
              <w:t>、</w:t>
            </w:r>
            <w:r>
              <w:rPr>
                <w:rFonts w:hint="eastAsia" w:ascii="黑体" w:hAnsi="黑体" w:eastAsia="黑体"/>
                <w:sz w:val="15"/>
                <w:szCs w:val="15"/>
              </w:rPr>
              <w:t>消防设施损坏</w:t>
            </w:r>
          </w:p>
        </w:tc>
        <w:tc>
          <w:tcPr>
            <w:tcW w:w="4246" w:type="dxa"/>
            <w:gridSpan w:val="3"/>
            <w:noWrap w:val="0"/>
            <w:vAlign w:val="center"/>
          </w:tcPr>
          <w:p>
            <w:pPr>
              <w:snapToGrid w:val="0"/>
              <w:spacing w:line="200" w:lineRule="exact"/>
              <w:rPr>
                <w:rFonts w:ascii="宋体" w:hAnsi="宋体" w:eastAsia="宋体"/>
                <w:sz w:val="15"/>
                <w:szCs w:val="15"/>
              </w:rPr>
            </w:pPr>
            <w:r>
              <w:rPr>
                <w:rFonts w:hint="eastAsia" w:ascii="宋体" w:hAnsi="宋体" w:eastAsia="宋体"/>
                <w:sz w:val="15"/>
                <w:szCs w:val="15"/>
              </w:rPr>
              <w:t>33</w:t>
            </w:r>
            <w:r>
              <w:rPr>
                <w:rFonts w:ascii="宋体" w:hAnsi="宋体" w:eastAsia="宋体"/>
                <w:sz w:val="15"/>
                <w:szCs w:val="15"/>
              </w:rPr>
              <w:t>.</w:t>
            </w:r>
            <w:r>
              <w:rPr>
                <w:rFonts w:hint="eastAsia" w:ascii="宋体" w:hAnsi="宋体" w:eastAsia="宋体"/>
                <w:sz w:val="15"/>
                <w:szCs w:val="15"/>
              </w:rPr>
              <w:t>火灾自动报警系统停用或者不能正常运行</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napToGrid w:val="0"/>
              <w:spacing w:line="200" w:lineRule="exact"/>
              <w:rPr>
                <w:rFonts w:ascii="宋体" w:hAnsi="宋体" w:eastAsia="宋体"/>
                <w:sz w:val="15"/>
                <w:szCs w:val="15"/>
              </w:rPr>
            </w:pPr>
            <w:r>
              <w:rPr>
                <w:rFonts w:ascii="宋体" w:hAnsi="宋体" w:eastAsia="宋体"/>
                <w:sz w:val="15"/>
                <w:szCs w:val="15"/>
              </w:rPr>
              <w:t>3</w:t>
            </w:r>
            <w:r>
              <w:rPr>
                <w:rFonts w:hint="eastAsia" w:ascii="宋体" w:hAnsi="宋体" w:eastAsia="宋体"/>
                <w:sz w:val="15"/>
                <w:szCs w:val="15"/>
              </w:rPr>
              <w:t>4</w:t>
            </w:r>
            <w:r>
              <w:rPr>
                <w:rFonts w:ascii="宋体" w:hAnsi="宋体" w:eastAsia="宋体"/>
                <w:sz w:val="15"/>
                <w:szCs w:val="15"/>
              </w:rPr>
              <w:t>.</w:t>
            </w:r>
            <w:r>
              <w:rPr>
                <w:rFonts w:hint="eastAsia" w:ascii="宋体" w:hAnsi="宋体" w:eastAsia="宋体"/>
                <w:sz w:val="15"/>
                <w:szCs w:val="15"/>
              </w:rPr>
              <w:t>消防</w:t>
            </w:r>
            <w:r>
              <w:rPr>
                <w:rFonts w:ascii="宋体" w:hAnsi="宋体" w:eastAsia="宋体"/>
                <w:sz w:val="15"/>
                <w:szCs w:val="15"/>
              </w:rPr>
              <w:t>水</w:t>
            </w:r>
            <w:r>
              <w:rPr>
                <w:rFonts w:hint="eastAsia" w:ascii="宋体" w:hAnsi="宋体" w:eastAsia="宋体"/>
                <w:sz w:val="15"/>
                <w:szCs w:val="15"/>
              </w:rPr>
              <w:t>泵控制柜处于手动控制状态的</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napToGrid w:val="0"/>
              <w:spacing w:line="200" w:lineRule="exact"/>
              <w:rPr>
                <w:rFonts w:ascii="宋体" w:hAnsi="宋体" w:eastAsia="宋体"/>
                <w:sz w:val="15"/>
                <w:szCs w:val="15"/>
              </w:rPr>
            </w:pPr>
            <w:r>
              <w:rPr>
                <w:rFonts w:ascii="宋体" w:hAnsi="宋体" w:eastAsia="宋体"/>
                <w:sz w:val="15"/>
                <w:szCs w:val="15"/>
              </w:rPr>
              <w:t>3</w:t>
            </w:r>
            <w:r>
              <w:rPr>
                <w:rFonts w:hint="eastAsia" w:ascii="宋体" w:hAnsi="宋体" w:eastAsia="宋体"/>
                <w:sz w:val="15"/>
                <w:szCs w:val="15"/>
              </w:rPr>
              <w:t>5</w:t>
            </w:r>
            <w:r>
              <w:rPr>
                <w:rFonts w:ascii="宋体" w:hAnsi="宋体" w:eastAsia="宋体"/>
                <w:sz w:val="15"/>
                <w:szCs w:val="15"/>
              </w:rPr>
              <w:t>.</w:t>
            </w:r>
            <w:r>
              <w:rPr>
                <w:rFonts w:hint="eastAsia" w:ascii="宋体" w:hAnsi="宋体" w:eastAsia="宋体"/>
                <w:sz w:val="15"/>
                <w:szCs w:val="15"/>
              </w:rPr>
              <w:t>自动</w:t>
            </w:r>
            <w:r>
              <w:rPr>
                <w:rFonts w:ascii="宋体" w:hAnsi="宋体" w:eastAsia="宋体"/>
                <w:sz w:val="15"/>
                <w:szCs w:val="15"/>
              </w:rPr>
              <w:t>喷</w:t>
            </w:r>
            <w:r>
              <w:rPr>
                <w:rFonts w:hint="eastAsia" w:ascii="宋体" w:hAnsi="宋体" w:eastAsia="宋体"/>
                <w:sz w:val="15"/>
                <w:szCs w:val="15"/>
              </w:rPr>
              <w:t>水灭火系统、防火卷帘、机械防排烟等建筑消防设施不能正常联动</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napToGrid w:val="0"/>
              <w:spacing w:line="200" w:lineRule="exact"/>
              <w:rPr>
                <w:rFonts w:ascii="宋体" w:hAnsi="宋体" w:eastAsia="宋体"/>
                <w:sz w:val="15"/>
                <w:szCs w:val="15"/>
              </w:rPr>
            </w:pPr>
            <w:r>
              <w:rPr>
                <w:rFonts w:ascii="宋体" w:hAnsi="宋体" w:eastAsia="宋体"/>
                <w:sz w:val="15"/>
                <w:szCs w:val="15"/>
              </w:rPr>
              <w:t>3</w:t>
            </w:r>
            <w:r>
              <w:rPr>
                <w:rFonts w:hint="eastAsia" w:ascii="宋体" w:hAnsi="宋体" w:eastAsia="宋体"/>
                <w:sz w:val="15"/>
                <w:szCs w:val="15"/>
              </w:rPr>
              <w:t>6.消火栓、自动喷水灭火系统不能正常供水</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jc w:val="center"/>
              <w:rPr>
                <w:rFonts w:ascii="宋体" w:hAnsi="宋体" w:eastAsia="宋体"/>
                <w:sz w:val="15"/>
                <w:szCs w:val="15"/>
              </w:rPr>
            </w:pPr>
          </w:p>
        </w:tc>
        <w:tc>
          <w:tcPr>
            <w:tcW w:w="2027" w:type="dxa"/>
            <w:noWrap w:val="0"/>
            <w:vAlign w:val="center"/>
          </w:tcPr>
          <w:p>
            <w:pPr>
              <w:spacing w:line="240" w:lineRule="exact"/>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noWrap w:val="0"/>
            <w:vAlign w:val="center"/>
          </w:tcPr>
          <w:p>
            <w:pPr>
              <w:spacing w:line="200" w:lineRule="exact"/>
              <w:jc w:val="left"/>
              <w:rPr>
                <w:rFonts w:ascii="黑体" w:hAnsi="黑体" w:eastAsia="黑体"/>
                <w:sz w:val="15"/>
                <w:szCs w:val="15"/>
              </w:rPr>
            </w:pPr>
            <w:r>
              <w:rPr>
                <w:rFonts w:hint="eastAsia" w:ascii="黑体" w:hAnsi="黑体" w:eastAsia="黑体"/>
                <w:sz w:val="15"/>
                <w:szCs w:val="15"/>
              </w:rPr>
              <w:t>八</w:t>
            </w:r>
            <w:r>
              <w:rPr>
                <w:rFonts w:ascii="黑体" w:hAnsi="黑体" w:eastAsia="黑体"/>
                <w:sz w:val="15"/>
                <w:szCs w:val="15"/>
              </w:rPr>
              <w:t>、</w:t>
            </w:r>
            <w:r>
              <w:rPr>
                <w:rFonts w:hint="eastAsia" w:ascii="黑体" w:hAnsi="黑体" w:eastAsia="黑体"/>
                <w:sz w:val="15"/>
                <w:szCs w:val="15"/>
              </w:rPr>
              <w:t>违规使用易燃可燃材料装修装饰</w:t>
            </w:r>
          </w:p>
        </w:tc>
        <w:tc>
          <w:tcPr>
            <w:tcW w:w="4246" w:type="dxa"/>
            <w:gridSpan w:val="3"/>
            <w:noWrap w:val="0"/>
            <w:vAlign w:val="center"/>
          </w:tcPr>
          <w:p>
            <w:pPr>
              <w:spacing w:line="200" w:lineRule="exact"/>
              <w:jc w:val="left"/>
              <w:rPr>
                <w:rFonts w:ascii="宋体" w:hAnsi="宋体" w:eastAsia="宋体"/>
                <w:sz w:val="15"/>
                <w:szCs w:val="15"/>
              </w:rPr>
            </w:pPr>
            <w:r>
              <w:rPr>
                <w:rFonts w:ascii="宋体" w:hAnsi="宋体" w:eastAsia="宋体"/>
                <w:sz w:val="15"/>
                <w:szCs w:val="15"/>
              </w:rPr>
              <w:t>3</w:t>
            </w:r>
            <w:r>
              <w:rPr>
                <w:rFonts w:hint="eastAsia" w:ascii="宋体" w:hAnsi="宋体" w:eastAsia="宋体"/>
                <w:sz w:val="15"/>
                <w:szCs w:val="15"/>
              </w:rPr>
              <w:t>7.</w:t>
            </w:r>
            <w:r>
              <w:rPr>
                <w:rFonts w:ascii="宋体" w:hAnsi="宋体" w:eastAsia="宋体"/>
                <w:sz w:val="15"/>
                <w:szCs w:val="15"/>
              </w:rPr>
              <w:t>商场市场、宾馆饭店、公共娱乐场所等公众聚集场所采用易燃可燃材料装修装饰</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rPr>
                <w:rFonts w:ascii="宋体" w:hAnsi="宋体" w:eastAsia="宋体"/>
                <w:sz w:val="15"/>
                <w:szCs w:val="15"/>
              </w:rPr>
            </w:pPr>
          </w:p>
        </w:tc>
        <w:tc>
          <w:tcPr>
            <w:tcW w:w="2027" w:type="dxa"/>
            <w:noWrap w:val="0"/>
            <w:vAlign w:val="center"/>
          </w:tcPr>
          <w:p>
            <w:pPr>
              <w:spacing w:line="240" w:lineRule="exact"/>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jc w:val="left"/>
              <w:rPr>
                <w:rFonts w:ascii="宋体" w:hAnsi="宋体" w:eastAsia="宋体"/>
                <w:sz w:val="15"/>
                <w:szCs w:val="15"/>
              </w:rPr>
            </w:pPr>
            <w:r>
              <w:rPr>
                <w:rFonts w:ascii="宋体" w:hAnsi="宋体" w:eastAsia="宋体"/>
                <w:sz w:val="15"/>
                <w:szCs w:val="15"/>
              </w:rPr>
              <w:t>3</w:t>
            </w:r>
            <w:r>
              <w:rPr>
                <w:rFonts w:hint="eastAsia" w:ascii="宋体" w:hAnsi="宋体" w:eastAsia="宋体"/>
                <w:sz w:val="15"/>
                <w:szCs w:val="15"/>
              </w:rPr>
              <w:t>8</w:t>
            </w:r>
            <w:r>
              <w:rPr>
                <w:rFonts w:ascii="宋体" w:hAnsi="宋体" w:eastAsia="宋体"/>
                <w:sz w:val="15"/>
                <w:szCs w:val="15"/>
              </w:rPr>
              <w:t>.幼儿园、养老院、医院、员工宿舍等人员密集场所，施工工地办公、住宿等临时用房采用易燃可燃材料为芯材的彩钢板搭建</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rPr>
                <w:rFonts w:ascii="宋体" w:hAnsi="宋体" w:eastAsia="宋体"/>
                <w:sz w:val="15"/>
                <w:szCs w:val="15"/>
              </w:rPr>
            </w:pPr>
          </w:p>
        </w:tc>
        <w:tc>
          <w:tcPr>
            <w:tcW w:w="2027" w:type="dxa"/>
            <w:noWrap w:val="0"/>
            <w:vAlign w:val="center"/>
          </w:tcPr>
          <w:p>
            <w:pPr>
              <w:spacing w:line="240" w:lineRule="exact"/>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jc w:val="left"/>
              <w:rPr>
                <w:rFonts w:ascii="宋体" w:hAnsi="宋体" w:eastAsia="宋体"/>
                <w:sz w:val="15"/>
                <w:szCs w:val="15"/>
              </w:rPr>
            </w:pPr>
            <w:r>
              <w:rPr>
                <w:rFonts w:hint="eastAsia" w:ascii="宋体" w:hAnsi="宋体" w:eastAsia="宋体"/>
                <w:sz w:val="15"/>
                <w:szCs w:val="15"/>
              </w:rPr>
              <w:t>39</w:t>
            </w:r>
            <w:r>
              <w:rPr>
                <w:rFonts w:ascii="宋体" w:hAnsi="宋体" w:eastAsia="宋体"/>
                <w:sz w:val="15"/>
                <w:szCs w:val="15"/>
              </w:rPr>
              <w:t>.现有高层建筑、商住楼等场所使用聚氨酯泡沫、聚苯乙烯等易燃可燃材料作外墙外保温系统的，</w:t>
            </w:r>
            <w:r>
              <w:rPr>
                <w:rFonts w:hint="eastAsia" w:ascii="宋体" w:hAnsi="宋体" w:eastAsia="宋体"/>
                <w:sz w:val="15"/>
                <w:szCs w:val="15"/>
              </w:rPr>
              <w:t>存在</w:t>
            </w:r>
            <w:r>
              <w:rPr>
                <w:rFonts w:ascii="宋体" w:hAnsi="宋体" w:eastAsia="宋体"/>
                <w:sz w:val="15"/>
                <w:szCs w:val="15"/>
              </w:rPr>
              <w:t>在周边安全距离内燃放烟花爆竹</w:t>
            </w:r>
            <w:r>
              <w:rPr>
                <w:rFonts w:hint="eastAsia" w:ascii="宋体" w:hAnsi="宋体" w:eastAsia="宋体"/>
                <w:sz w:val="15"/>
                <w:szCs w:val="15"/>
              </w:rPr>
              <w:t>、</w:t>
            </w:r>
            <w:r>
              <w:rPr>
                <w:rFonts w:ascii="宋体" w:hAnsi="宋体" w:eastAsia="宋体"/>
                <w:sz w:val="15"/>
                <w:szCs w:val="15"/>
              </w:rPr>
              <w:t>违规动火作业</w:t>
            </w:r>
            <w:r>
              <w:rPr>
                <w:rFonts w:hint="eastAsia" w:ascii="宋体" w:hAnsi="宋体" w:eastAsia="宋体"/>
                <w:sz w:val="15"/>
                <w:szCs w:val="15"/>
              </w:rPr>
              <w:t>行为</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rPr>
                <w:rFonts w:ascii="宋体" w:hAnsi="宋体" w:eastAsia="宋体"/>
                <w:sz w:val="15"/>
                <w:szCs w:val="15"/>
              </w:rPr>
            </w:pPr>
          </w:p>
        </w:tc>
        <w:tc>
          <w:tcPr>
            <w:tcW w:w="2027" w:type="dxa"/>
            <w:noWrap w:val="0"/>
            <w:vAlign w:val="center"/>
          </w:tcPr>
          <w:p>
            <w:pPr>
              <w:spacing w:line="240" w:lineRule="exact"/>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jc w:val="left"/>
              <w:rPr>
                <w:rFonts w:ascii="宋体" w:hAnsi="宋体" w:eastAsia="宋体"/>
                <w:sz w:val="15"/>
                <w:szCs w:val="15"/>
              </w:rPr>
            </w:pPr>
            <w:r>
              <w:rPr>
                <w:rFonts w:hint="eastAsia" w:ascii="宋体" w:hAnsi="宋体" w:eastAsia="宋体"/>
                <w:sz w:val="15"/>
                <w:szCs w:val="15"/>
              </w:rPr>
              <w:t>40</w:t>
            </w:r>
            <w:r>
              <w:rPr>
                <w:rFonts w:ascii="宋体" w:hAnsi="宋体" w:eastAsia="宋体"/>
                <w:sz w:val="15"/>
                <w:szCs w:val="15"/>
              </w:rPr>
              <w:t>.电气线路穿越或者敷设在易燃可燃装修装饰材料中</w:t>
            </w:r>
            <w:r>
              <w:rPr>
                <w:rFonts w:hint="eastAsia" w:ascii="宋体" w:hAnsi="宋体" w:eastAsia="宋体"/>
                <w:sz w:val="15"/>
                <w:szCs w:val="15"/>
              </w:rPr>
              <w:t>；</w:t>
            </w:r>
            <w:r>
              <w:rPr>
                <w:rFonts w:ascii="宋体" w:hAnsi="宋体" w:eastAsia="宋体"/>
                <w:sz w:val="15"/>
                <w:szCs w:val="15"/>
              </w:rPr>
              <w:t>开关、插座等电器配件周围</w:t>
            </w:r>
            <w:r>
              <w:rPr>
                <w:rFonts w:hint="eastAsia" w:ascii="宋体" w:hAnsi="宋体" w:eastAsia="宋体"/>
                <w:sz w:val="15"/>
                <w:szCs w:val="15"/>
              </w:rPr>
              <w:t>未</w:t>
            </w:r>
            <w:r>
              <w:rPr>
                <w:rFonts w:ascii="宋体" w:hAnsi="宋体" w:eastAsia="宋体"/>
                <w:sz w:val="15"/>
                <w:szCs w:val="15"/>
              </w:rPr>
              <w:t>采取不燃隔热材料进行防火隔离</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rPr>
                <w:rFonts w:ascii="宋体" w:hAnsi="宋体" w:eastAsia="宋体"/>
                <w:sz w:val="15"/>
                <w:szCs w:val="15"/>
              </w:rPr>
            </w:pPr>
          </w:p>
        </w:tc>
        <w:tc>
          <w:tcPr>
            <w:tcW w:w="2027" w:type="dxa"/>
            <w:noWrap w:val="0"/>
            <w:vAlign w:val="center"/>
          </w:tcPr>
          <w:p>
            <w:pPr>
              <w:spacing w:line="240" w:lineRule="exact"/>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jc w:val="left"/>
              <w:rPr>
                <w:rFonts w:ascii="宋体" w:hAnsi="宋体" w:eastAsia="宋体"/>
                <w:sz w:val="15"/>
                <w:szCs w:val="15"/>
              </w:rPr>
            </w:pPr>
            <w:r>
              <w:rPr>
                <w:rFonts w:hint="eastAsia" w:ascii="宋体" w:hAnsi="宋体" w:eastAsia="宋体"/>
                <w:sz w:val="15"/>
                <w:szCs w:val="15"/>
              </w:rPr>
              <w:t>41</w:t>
            </w:r>
            <w:r>
              <w:rPr>
                <w:rFonts w:ascii="宋体" w:hAnsi="宋体" w:eastAsia="宋体"/>
                <w:sz w:val="15"/>
                <w:szCs w:val="15"/>
              </w:rPr>
              <w:t>.大型活动现场布展使用大量易燃可燃装饰材料</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rPr>
                <w:rFonts w:ascii="宋体" w:hAnsi="宋体" w:eastAsia="宋体"/>
                <w:sz w:val="15"/>
                <w:szCs w:val="15"/>
              </w:rPr>
            </w:pPr>
          </w:p>
        </w:tc>
        <w:tc>
          <w:tcPr>
            <w:tcW w:w="2027" w:type="dxa"/>
            <w:noWrap w:val="0"/>
            <w:vAlign w:val="center"/>
          </w:tcPr>
          <w:p>
            <w:pPr>
              <w:spacing w:line="240" w:lineRule="exact"/>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noWrap w:val="0"/>
            <w:vAlign w:val="center"/>
          </w:tcPr>
          <w:p>
            <w:pPr>
              <w:spacing w:line="200" w:lineRule="exact"/>
              <w:jc w:val="left"/>
              <w:rPr>
                <w:rFonts w:ascii="黑体" w:hAnsi="黑体" w:eastAsia="黑体"/>
                <w:sz w:val="15"/>
                <w:szCs w:val="15"/>
              </w:rPr>
            </w:pPr>
            <w:r>
              <w:rPr>
                <w:rFonts w:hint="eastAsia" w:ascii="黑体" w:hAnsi="黑体" w:eastAsia="黑体"/>
                <w:sz w:val="15"/>
                <w:szCs w:val="15"/>
              </w:rPr>
              <w:t>九、重点岗位人员责任不落实</w:t>
            </w:r>
          </w:p>
        </w:tc>
        <w:tc>
          <w:tcPr>
            <w:tcW w:w="4246" w:type="dxa"/>
            <w:gridSpan w:val="3"/>
            <w:noWrap w:val="0"/>
            <w:vAlign w:val="center"/>
          </w:tcPr>
          <w:p>
            <w:pPr>
              <w:spacing w:line="200" w:lineRule="exact"/>
              <w:rPr>
                <w:rFonts w:ascii="宋体" w:hAnsi="宋体" w:eastAsia="宋体"/>
                <w:sz w:val="15"/>
                <w:szCs w:val="15"/>
              </w:rPr>
            </w:pPr>
            <w:r>
              <w:rPr>
                <w:rFonts w:hint="eastAsia" w:ascii="宋体" w:hAnsi="宋体" w:eastAsia="宋体"/>
                <w:sz w:val="15"/>
                <w:szCs w:val="15"/>
              </w:rPr>
              <w:t>42</w:t>
            </w:r>
            <w:r>
              <w:rPr>
                <w:rFonts w:ascii="宋体" w:hAnsi="宋体" w:eastAsia="宋体"/>
                <w:sz w:val="15"/>
                <w:szCs w:val="15"/>
              </w:rPr>
              <w:t>.</w:t>
            </w:r>
            <w:r>
              <w:rPr>
                <w:rFonts w:hint="eastAsia" w:ascii="宋体" w:hAnsi="宋体" w:eastAsia="宋体"/>
                <w:sz w:val="15"/>
                <w:szCs w:val="15"/>
              </w:rPr>
              <w:t>单位未依法明确消防安全责任人、管理人及其职责</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rPr>
                <w:rFonts w:ascii="宋体" w:hAnsi="宋体" w:eastAsia="宋体"/>
                <w:sz w:val="15"/>
                <w:szCs w:val="15"/>
              </w:rPr>
            </w:pPr>
          </w:p>
        </w:tc>
        <w:tc>
          <w:tcPr>
            <w:tcW w:w="2027" w:type="dxa"/>
            <w:noWrap w:val="0"/>
            <w:vAlign w:val="center"/>
          </w:tcPr>
          <w:p>
            <w:pPr>
              <w:spacing w:line="240" w:lineRule="exact"/>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rPr>
                <w:rFonts w:ascii="宋体" w:hAnsi="宋体" w:eastAsia="宋体"/>
                <w:sz w:val="15"/>
                <w:szCs w:val="15"/>
              </w:rPr>
            </w:pPr>
            <w:r>
              <w:rPr>
                <w:rFonts w:hint="eastAsia" w:ascii="宋体" w:hAnsi="宋体" w:eastAsia="宋体"/>
                <w:sz w:val="15"/>
                <w:szCs w:val="15"/>
              </w:rPr>
              <w:t>43</w:t>
            </w:r>
            <w:r>
              <w:rPr>
                <w:rFonts w:ascii="宋体" w:hAnsi="宋体" w:eastAsia="宋体"/>
                <w:sz w:val="15"/>
                <w:szCs w:val="15"/>
              </w:rPr>
              <w:t>.</w:t>
            </w:r>
            <w:r>
              <w:rPr>
                <w:rFonts w:hint="eastAsia" w:ascii="宋体" w:hAnsi="宋体" w:eastAsia="宋体"/>
                <w:sz w:val="15"/>
                <w:szCs w:val="15"/>
              </w:rPr>
              <w:t>消防控制室值班人员不会熟练操作设施设备</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rPr>
                <w:rFonts w:ascii="宋体" w:hAnsi="宋体" w:eastAsia="宋体"/>
                <w:sz w:val="15"/>
                <w:szCs w:val="15"/>
              </w:rPr>
            </w:pPr>
          </w:p>
        </w:tc>
        <w:tc>
          <w:tcPr>
            <w:tcW w:w="2027" w:type="dxa"/>
            <w:noWrap w:val="0"/>
            <w:vAlign w:val="center"/>
          </w:tcPr>
          <w:p>
            <w:pPr>
              <w:spacing w:line="240" w:lineRule="exact"/>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rPr>
                <w:rFonts w:ascii="宋体" w:hAnsi="宋体" w:eastAsia="宋体"/>
                <w:sz w:val="15"/>
                <w:szCs w:val="15"/>
              </w:rPr>
            </w:pPr>
            <w:r>
              <w:rPr>
                <w:rFonts w:ascii="宋体" w:hAnsi="宋体" w:eastAsia="宋体"/>
                <w:sz w:val="15"/>
                <w:szCs w:val="15"/>
              </w:rPr>
              <w:t>4</w:t>
            </w:r>
            <w:r>
              <w:rPr>
                <w:rFonts w:hint="eastAsia" w:ascii="宋体" w:hAnsi="宋体" w:eastAsia="宋体"/>
                <w:sz w:val="15"/>
                <w:szCs w:val="15"/>
              </w:rPr>
              <w:t>4</w:t>
            </w:r>
            <w:r>
              <w:rPr>
                <w:rFonts w:ascii="宋体" w:hAnsi="宋体" w:eastAsia="宋体"/>
                <w:sz w:val="15"/>
                <w:szCs w:val="15"/>
              </w:rPr>
              <w:t>.</w:t>
            </w:r>
            <w:r>
              <w:rPr>
                <w:rFonts w:hint="eastAsia" w:ascii="宋体" w:hAnsi="宋体" w:eastAsia="宋体"/>
                <w:sz w:val="15"/>
                <w:szCs w:val="15"/>
              </w:rPr>
              <w:t>微型消防站队员不能及时有效处置初起火灾</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rPr>
                <w:rFonts w:ascii="宋体" w:hAnsi="宋体" w:eastAsia="宋体"/>
                <w:sz w:val="15"/>
                <w:szCs w:val="15"/>
              </w:rPr>
            </w:pPr>
          </w:p>
        </w:tc>
        <w:tc>
          <w:tcPr>
            <w:tcW w:w="2027" w:type="dxa"/>
            <w:noWrap w:val="0"/>
            <w:vAlign w:val="center"/>
          </w:tcPr>
          <w:p>
            <w:pPr>
              <w:spacing w:line="240" w:lineRule="exact"/>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rPr>
                <w:rFonts w:ascii="宋体" w:hAnsi="宋体" w:eastAsia="宋体"/>
                <w:sz w:val="15"/>
                <w:szCs w:val="15"/>
              </w:rPr>
            </w:pPr>
            <w:r>
              <w:rPr>
                <w:rFonts w:ascii="宋体" w:hAnsi="宋体" w:eastAsia="宋体"/>
                <w:sz w:val="15"/>
                <w:szCs w:val="15"/>
              </w:rPr>
              <w:t>4</w:t>
            </w:r>
            <w:r>
              <w:rPr>
                <w:rFonts w:hint="eastAsia" w:ascii="宋体" w:hAnsi="宋体" w:eastAsia="宋体"/>
                <w:sz w:val="15"/>
                <w:szCs w:val="15"/>
              </w:rPr>
              <w:t>5</w:t>
            </w:r>
            <w:r>
              <w:rPr>
                <w:rFonts w:ascii="宋体" w:hAnsi="宋体" w:eastAsia="宋体"/>
                <w:sz w:val="15"/>
                <w:szCs w:val="15"/>
              </w:rPr>
              <w:t>.</w:t>
            </w:r>
            <w:r>
              <w:rPr>
                <w:rFonts w:hint="eastAsia" w:ascii="宋体" w:hAnsi="宋体" w:eastAsia="宋体"/>
                <w:sz w:val="15"/>
                <w:szCs w:val="15"/>
              </w:rPr>
              <w:t>单位未作出整改消除突出风险承诺</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rPr>
                <w:rFonts w:ascii="宋体" w:hAnsi="宋体" w:eastAsia="宋体"/>
                <w:sz w:val="15"/>
                <w:szCs w:val="15"/>
              </w:rPr>
            </w:pPr>
          </w:p>
        </w:tc>
        <w:tc>
          <w:tcPr>
            <w:tcW w:w="2027" w:type="dxa"/>
            <w:noWrap w:val="0"/>
            <w:vAlign w:val="center"/>
          </w:tcPr>
          <w:p>
            <w:pPr>
              <w:spacing w:line="240" w:lineRule="exact"/>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noWrap w:val="0"/>
            <w:vAlign w:val="center"/>
          </w:tcPr>
          <w:p>
            <w:pPr>
              <w:spacing w:line="200" w:lineRule="exact"/>
              <w:jc w:val="left"/>
              <w:rPr>
                <w:rFonts w:ascii="黑体" w:hAnsi="黑体" w:eastAsia="黑体"/>
                <w:sz w:val="15"/>
                <w:szCs w:val="15"/>
              </w:rPr>
            </w:pPr>
            <w:r>
              <w:rPr>
                <w:rFonts w:hint="eastAsia" w:ascii="黑体" w:hAnsi="黑体" w:eastAsia="黑体"/>
                <w:sz w:val="15"/>
                <w:szCs w:val="15"/>
              </w:rPr>
              <w:t>十、日常管理机制不健全</w:t>
            </w:r>
          </w:p>
        </w:tc>
        <w:tc>
          <w:tcPr>
            <w:tcW w:w="4246" w:type="dxa"/>
            <w:gridSpan w:val="3"/>
            <w:noWrap w:val="0"/>
            <w:vAlign w:val="center"/>
          </w:tcPr>
          <w:p>
            <w:pPr>
              <w:spacing w:line="200" w:lineRule="exact"/>
              <w:rPr>
                <w:rFonts w:ascii="宋体" w:hAnsi="宋体" w:eastAsia="宋体"/>
                <w:sz w:val="15"/>
                <w:szCs w:val="15"/>
              </w:rPr>
            </w:pPr>
            <w:r>
              <w:rPr>
                <w:rFonts w:ascii="宋体" w:hAnsi="宋体" w:eastAsia="宋体"/>
                <w:sz w:val="15"/>
                <w:szCs w:val="15"/>
              </w:rPr>
              <w:t>4</w:t>
            </w:r>
            <w:r>
              <w:rPr>
                <w:rFonts w:hint="eastAsia" w:ascii="宋体" w:hAnsi="宋体" w:eastAsia="宋体"/>
                <w:sz w:val="15"/>
                <w:szCs w:val="15"/>
              </w:rPr>
              <w:t>6</w:t>
            </w:r>
            <w:r>
              <w:rPr>
                <w:rFonts w:ascii="宋体" w:hAnsi="宋体" w:eastAsia="宋体"/>
                <w:sz w:val="15"/>
                <w:szCs w:val="15"/>
              </w:rPr>
              <w:t>.</w:t>
            </w:r>
            <w:r>
              <w:rPr>
                <w:rFonts w:hint="eastAsia" w:ascii="宋体" w:hAnsi="宋体" w:eastAsia="宋体"/>
                <w:sz w:val="15"/>
                <w:szCs w:val="15"/>
              </w:rPr>
              <w:t>单位未定期开展建筑消防设施检测和维护保养，并完整准确记录</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rPr>
                <w:rFonts w:ascii="宋体" w:hAnsi="宋体" w:eastAsia="宋体"/>
                <w:sz w:val="15"/>
                <w:szCs w:val="15"/>
              </w:rPr>
            </w:pPr>
          </w:p>
        </w:tc>
        <w:tc>
          <w:tcPr>
            <w:tcW w:w="2027" w:type="dxa"/>
            <w:noWrap w:val="0"/>
            <w:vAlign w:val="center"/>
          </w:tcPr>
          <w:p>
            <w:pPr>
              <w:spacing w:line="240" w:lineRule="exact"/>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rPr>
                <w:rFonts w:ascii="宋体" w:hAnsi="宋体" w:eastAsia="宋体"/>
                <w:sz w:val="15"/>
                <w:szCs w:val="15"/>
              </w:rPr>
            </w:pPr>
            <w:r>
              <w:rPr>
                <w:rFonts w:ascii="宋体" w:hAnsi="宋体" w:eastAsia="宋体"/>
                <w:sz w:val="15"/>
                <w:szCs w:val="15"/>
              </w:rPr>
              <w:t>4</w:t>
            </w:r>
            <w:r>
              <w:rPr>
                <w:rFonts w:hint="eastAsia" w:ascii="宋体" w:hAnsi="宋体" w:eastAsia="宋体"/>
                <w:sz w:val="15"/>
                <w:szCs w:val="15"/>
              </w:rPr>
              <w:t>7</w:t>
            </w:r>
            <w:r>
              <w:rPr>
                <w:rFonts w:ascii="宋体" w:hAnsi="宋体" w:eastAsia="宋体"/>
                <w:sz w:val="15"/>
                <w:szCs w:val="15"/>
              </w:rPr>
              <w:t>.</w:t>
            </w:r>
            <w:r>
              <w:rPr>
                <w:rFonts w:hint="eastAsia" w:ascii="宋体" w:hAnsi="宋体" w:eastAsia="宋体"/>
                <w:sz w:val="15"/>
                <w:szCs w:val="15"/>
              </w:rPr>
              <w:t>单位未定期开展检查巡查，并如实登记报告</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rPr>
                <w:rFonts w:ascii="宋体" w:hAnsi="宋体" w:eastAsia="宋体"/>
                <w:sz w:val="15"/>
                <w:szCs w:val="15"/>
              </w:rPr>
            </w:pPr>
          </w:p>
        </w:tc>
        <w:tc>
          <w:tcPr>
            <w:tcW w:w="2027" w:type="dxa"/>
            <w:noWrap w:val="0"/>
            <w:vAlign w:val="center"/>
          </w:tcPr>
          <w:p>
            <w:pPr>
              <w:spacing w:line="240" w:lineRule="exact"/>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center"/>
          </w:tcPr>
          <w:p>
            <w:pPr>
              <w:spacing w:line="240" w:lineRule="exact"/>
              <w:jc w:val="left"/>
              <w:rPr>
                <w:rFonts w:ascii="黑体" w:hAnsi="黑体" w:eastAsia="黑体"/>
                <w:sz w:val="15"/>
                <w:szCs w:val="15"/>
              </w:rPr>
            </w:pPr>
          </w:p>
        </w:tc>
        <w:tc>
          <w:tcPr>
            <w:tcW w:w="4246" w:type="dxa"/>
            <w:gridSpan w:val="3"/>
            <w:noWrap w:val="0"/>
            <w:vAlign w:val="center"/>
          </w:tcPr>
          <w:p>
            <w:pPr>
              <w:spacing w:line="200" w:lineRule="exact"/>
              <w:rPr>
                <w:rFonts w:ascii="宋体" w:hAnsi="宋体" w:eastAsia="宋体"/>
                <w:sz w:val="15"/>
                <w:szCs w:val="15"/>
              </w:rPr>
            </w:pPr>
            <w:r>
              <w:rPr>
                <w:rFonts w:ascii="宋体" w:hAnsi="宋体" w:eastAsia="宋体"/>
                <w:sz w:val="15"/>
                <w:szCs w:val="15"/>
              </w:rPr>
              <w:t>4</w:t>
            </w:r>
            <w:r>
              <w:rPr>
                <w:rFonts w:hint="eastAsia" w:ascii="宋体" w:hAnsi="宋体" w:eastAsia="宋体"/>
                <w:sz w:val="15"/>
                <w:szCs w:val="15"/>
              </w:rPr>
              <w:t>8</w:t>
            </w:r>
            <w:r>
              <w:rPr>
                <w:rFonts w:ascii="宋体" w:hAnsi="宋体" w:eastAsia="宋体"/>
                <w:sz w:val="15"/>
                <w:szCs w:val="15"/>
              </w:rPr>
              <w:t>.</w:t>
            </w:r>
            <w:r>
              <w:rPr>
                <w:rFonts w:hint="eastAsia" w:ascii="宋体" w:hAnsi="宋体" w:eastAsia="宋体"/>
                <w:sz w:val="15"/>
                <w:szCs w:val="15"/>
              </w:rPr>
              <w:t>单位存在</w:t>
            </w:r>
            <w:r>
              <w:rPr>
                <w:rFonts w:ascii="宋体" w:hAnsi="宋体" w:eastAsia="宋体"/>
                <w:sz w:val="15"/>
                <w:szCs w:val="15"/>
              </w:rPr>
              <w:t>火灾隐患的，</w:t>
            </w:r>
            <w:r>
              <w:rPr>
                <w:rFonts w:hint="eastAsia" w:ascii="宋体" w:hAnsi="宋体" w:eastAsia="宋体"/>
                <w:sz w:val="15"/>
                <w:szCs w:val="15"/>
              </w:rPr>
              <w:t>未能</w:t>
            </w:r>
            <w:r>
              <w:rPr>
                <w:rFonts w:ascii="宋体" w:hAnsi="宋体" w:eastAsia="宋体"/>
                <w:sz w:val="15"/>
                <w:szCs w:val="15"/>
              </w:rPr>
              <w:t>及时整改消除火灾隐患；</w:t>
            </w:r>
            <w:r>
              <w:rPr>
                <w:rFonts w:hint="eastAsia" w:ascii="宋体" w:hAnsi="宋体" w:eastAsia="宋体"/>
                <w:sz w:val="15"/>
                <w:szCs w:val="15"/>
              </w:rPr>
              <w:t>在火灾隐患消除之前，未落实安全防范措施</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rPr>
                <w:rFonts w:ascii="宋体" w:hAnsi="宋体" w:eastAsia="宋体"/>
                <w:sz w:val="15"/>
                <w:szCs w:val="15"/>
              </w:rPr>
            </w:pPr>
          </w:p>
        </w:tc>
        <w:tc>
          <w:tcPr>
            <w:tcW w:w="2027" w:type="dxa"/>
            <w:noWrap w:val="0"/>
            <w:vAlign w:val="center"/>
          </w:tcPr>
          <w:p>
            <w:pPr>
              <w:spacing w:line="240" w:lineRule="exact"/>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noWrap w:val="0"/>
            <w:vAlign w:val="center"/>
          </w:tcPr>
          <w:p>
            <w:pPr>
              <w:spacing w:line="200" w:lineRule="exact"/>
              <w:jc w:val="left"/>
              <w:rPr>
                <w:rFonts w:ascii="黑体" w:hAnsi="黑体" w:eastAsia="黑体"/>
                <w:sz w:val="15"/>
                <w:szCs w:val="15"/>
              </w:rPr>
            </w:pPr>
            <w:r>
              <w:rPr>
                <w:rFonts w:hint="eastAsia" w:ascii="黑体" w:hAnsi="黑体" w:eastAsia="黑体"/>
                <w:sz w:val="15"/>
                <w:szCs w:val="15"/>
              </w:rPr>
              <w:t>十一、宣传教育培训不深入</w:t>
            </w:r>
          </w:p>
        </w:tc>
        <w:tc>
          <w:tcPr>
            <w:tcW w:w="4246" w:type="dxa"/>
            <w:gridSpan w:val="3"/>
            <w:noWrap w:val="0"/>
            <w:vAlign w:val="center"/>
          </w:tcPr>
          <w:p>
            <w:pPr>
              <w:spacing w:line="200" w:lineRule="exact"/>
              <w:rPr>
                <w:rFonts w:ascii="宋体" w:hAnsi="宋体" w:eastAsia="宋体"/>
                <w:sz w:val="15"/>
                <w:szCs w:val="15"/>
              </w:rPr>
            </w:pPr>
            <w:r>
              <w:rPr>
                <w:rFonts w:ascii="宋体" w:hAnsi="宋体" w:eastAsia="宋体"/>
                <w:sz w:val="15"/>
                <w:szCs w:val="15"/>
              </w:rPr>
              <w:t>4</w:t>
            </w:r>
            <w:r>
              <w:rPr>
                <w:rFonts w:hint="eastAsia" w:ascii="宋体" w:hAnsi="宋体" w:eastAsia="宋体"/>
                <w:sz w:val="15"/>
                <w:szCs w:val="15"/>
              </w:rPr>
              <w:t>9.重点单位不具备检查整改隐患、扑救初起火灾、组织人员疏散、开展宣传培训能力</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rPr>
                <w:rFonts w:ascii="宋体" w:hAnsi="宋体" w:eastAsia="宋体"/>
                <w:sz w:val="15"/>
                <w:szCs w:val="15"/>
              </w:rPr>
            </w:pPr>
          </w:p>
        </w:tc>
        <w:tc>
          <w:tcPr>
            <w:tcW w:w="2027" w:type="dxa"/>
            <w:noWrap w:val="0"/>
            <w:vAlign w:val="center"/>
          </w:tcPr>
          <w:p>
            <w:pPr>
              <w:spacing w:line="240" w:lineRule="exact"/>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noWrap w:val="0"/>
            <w:vAlign w:val="top"/>
          </w:tcPr>
          <w:p>
            <w:pPr>
              <w:spacing w:line="240" w:lineRule="exact"/>
              <w:rPr>
                <w:rFonts w:ascii="宋体" w:hAnsi="宋体" w:eastAsia="宋体"/>
                <w:sz w:val="15"/>
                <w:szCs w:val="15"/>
              </w:rPr>
            </w:pPr>
          </w:p>
        </w:tc>
        <w:tc>
          <w:tcPr>
            <w:tcW w:w="4246" w:type="dxa"/>
            <w:gridSpan w:val="3"/>
            <w:noWrap w:val="0"/>
            <w:vAlign w:val="center"/>
          </w:tcPr>
          <w:p>
            <w:pPr>
              <w:spacing w:line="200" w:lineRule="exact"/>
              <w:rPr>
                <w:rFonts w:ascii="宋体" w:hAnsi="宋体" w:eastAsia="宋体"/>
                <w:sz w:val="15"/>
                <w:szCs w:val="15"/>
              </w:rPr>
            </w:pPr>
            <w:r>
              <w:rPr>
                <w:rFonts w:hint="eastAsia" w:ascii="宋体" w:hAnsi="宋体" w:eastAsia="宋体"/>
                <w:sz w:val="15"/>
                <w:szCs w:val="15"/>
              </w:rPr>
              <w:t>50</w:t>
            </w:r>
            <w:r>
              <w:rPr>
                <w:rFonts w:ascii="宋体" w:hAnsi="宋体" w:eastAsia="宋体"/>
                <w:sz w:val="15"/>
                <w:szCs w:val="15"/>
              </w:rPr>
              <w:t>.</w:t>
            </w:r>
            <w:r>
              <w:rPr>
                <w:rFonts w:hint="eastAsia" w:ascii="宋体" w:hAnsi="宋体" w:eastAsia="宋体"/>
                <w:sz w:val="15"/>
                <w:szCs w:val="15"/>
              </w:rPr>
              <w:t>一般单位员工不了解本场所火灾危险性，不会报警、不会灭火、不会逃生</w:t>
            </w:r>
          </w:p>
        </w:tc>
        <w:tc>
          <w:tcPr>
            <w:tcW w:w="993" w:type="dxa"/>
            <w:gridSpan w:val="2"/>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708" w:type="dxa"/>
            <w:noWrap w:val="0"/>
            <w:vAlign w:val="center"/>
          </w:tcPr>
          <w:p>
            <w:pPr>
              <w:spacing w:line="200" w:lineRule="exact"/>
              <w:jc w:val="center"/>
              <w:rPr>
                <w:rFonts w:ascii="宋体" w:hAnsi="宋体" w:eastAsia="宋体"/>
                <w:sz w:val="15"/>
                <w:szCs w:val="15"/>
              </w:rPr>
            </w:pPr>
            <w:r>
              <w:rPr>
                <w:rFonts w:hint="eastAsia" w:ascii="宋体" w:hAnsi="宋体" w:eastAsia="宋体"/>
                <w:sz w:val="15"/>
                <w:szCs w:val="15"/>
              </w:rPr>
              <w:t>□是</w:t>
            </w:r>
          </w:p>
          <w:p>
            <w:pPr>
              <w:spacing w:line="200" w:lineRule="exact"/>
              <w:jc w:val="center"/>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否</w:t>
            </w:r>
          </w:p>
        </w:tc>
        <w:tc>
          <w:tcPr>
            <w:tcW w:w="993" w:type="dxa"/>
            <w:gridSpan w:val="2"/>
            <w:noWrap w:val="0"/>
            <w:vAlign w:val="center"/>
          </w:tcPr>
          <w:p>
            <w:pPr>
              <w:spacing w:line="240" w:lineRule="exact"/>
              <w:rPr>
                <w:rFonts w:ascii="宋体" w:hAnsi="宋体" w:eastAsia="宋体"/>
                <w:sz w:val="15"/>
                <w:szCs w:val="15"/>
              </w:rPr>
            </w:pPr>
          </w:p>
        </w:tc>
        <w:tc>
          <w:tcPr>
            <w:tcW w:w="2027" w:type="dxa"/>
            <w:noWrap w:val="0"/>
            <w:vAlign w:val="center"/>
          </w:tcPr>
          <w:p>
            <w:pPr>
              <w:spacing w:line="240" w:lineRule="exact"/>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noWrap w:val="0"/>
            <w:vAlign w:val="center"/>
          </w:tcPr>
          <w:p>
            <w:pPr>
              <w:spacing w:line="240" w:lineRule="exact"/>
              <w:rPr>
                <w:rFonts w:ascii="黑体" w:hAnsi="黑体" w:eastAsia="黑体"/>
                <w:sz w:val="15"/>
                <w:szCs w:val="15"/>
              </w:rPr>
            </w:pPr>
            <w:r>
              <w:rPr>
                <w:rFonts w:hint="eastAsia" w:ascii="黑体" w:hAnsi="黑体" w:eastAsia="黑体"/>
                <w:sz w:val="15"/>
                <w:szCs w:val="15"/>
              </w:rPr>
              <w:t>备注</w:t>
            </w:r>
          </w:p>
        </w:tc>
        <w:tc>
          <w:tcPr>
            <w:tcW w:w="8967" w:type="dxa"/>
            <w:gridSpan w:val="9"/>
            <w:noWrap w:val="0"/>
            <w:vAlign w:val="center"/>
          </w:tcPr>
          <w:p>
            <w:pPr>
              <w:spacing w:line="240" w:lineRule="exact"/>
              <w:rPr>
                <w:rFonts w:ascii="宋体" w:hAnsi="宋体" w:eastAsia="宋体"/>
                <w:sz w:val="15"/>
                <w:szCs w:val="15"/>
              </w:rPr>
            </w:pPr>
          </w:p>
          <w:p>
            <w:pPr>
              <w:spacing w:line="240" w:lineRule="exact"/>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195" w:type="dxa"/>
            <w:gridSpan w:val="2"/>
            <w:noWrap w:val="0"/>
            <w:vAlign w:val="center"/>
          </w:tcPr>
          <w:p>
            <w:pPr>
              <w:spacing w:line="240" w:lineRule="exact"/>
              <w:jc w:val="center"/>
              <w:rPr>
                <w:rFonts w:ascii="黑体" w:hAnsi="黑体" w:eastAsia="黑体"/>
                <w:sz w:val="15"/>
                <w:szCs w:val="15"/>
              </w:rPr>
            </w:pPr>
            <w:r>
              <w:rPr>
                <w:rFonts w:hint="eastAsia" w:ascii="黑体" w:hAnsi="黑体" w:eastAsia="黑体"/>
                <w:sz w:val="15"/>
                <w:szCs w:val="15"/>
              </w:rPr>
              <w:t>填表人</w:t>
            </w:r>
          </w:p>
        </w:tc>
        <w:tc>
          <w:tcPr>
            <w:tcW w:w="2158" w:type="dxa"/>
            <w:gridSpan w:val="3"/>
            <w:noWrap w:val="0"/>
            <w:vAlign w:val="center"/>
          </w:tcPr>
          <w:p>
            <w:pPr>
              <w:spacing w:line="240" w:lineRule="exact"/>
              <w:jc w:val="center"/>
              <w:rPr>
                <w:rFonts w:ascii="宋体" w:hAnsi="宋体" w:eastAsia="宋体"/>
                <w:sz w:val="15"/>
                <w:szCs w:val="15"/>
              </w:rPr>
            </w:pPr>
          </w:p>
        </w:tc>
        <w:tc>
          <w:tcPr>
            <w:tcW w:w="2291" w:type="dxa"/>
            <w:gridSpan w:val="4"/>
            <w:noWrap w:val="0"/>
            <w:vAlign w:val="center"/>
          </w:tcPr>
          <w:p>
            <w:pPr>
              <w:spacing w:line="240" w:lineRule="exact"/>
              <w:jc w:val="center"/>
              <w:rPr>
                <w:rFonts w:ascii="黑体" w:hAnsi="黑体" w:eastAsia="黑体"/>
                <w:sz w:val="15"/>
                <w:szCs w:val="15"/>
              </w:rPr>
            </w:pPr>
            <w:r>
              <w:rPr>
                <w:rFonts w:hint="eastAsia" w:ascii="黑体" w:hAnsi="黑体" w:eastAsia="黑体"/>
                <w:sz w:val="15"/>
                <w:szCs w:val="15"/>
              </w:rPr>
              <w:t>填表</w:t>
            </w:r>
            <w:r>
              <w:rPr>
                <w:rFonts w:ascii="黑体" w:hAnsi="黑体" w:eastAsia="黑体"/>
                <w:sz w:val="15"/>
                <w:szCs w:val="15"/>
              </w:rPr>
              <w:t>日期</w:t>
            </w:r>
          </w:p>
        </w:tc>
        <w:tc>
          <w:tcPr>
            <w:tcW w:w="2027" w:type="dxa"/>
            <w:noWrap w:val="0"/>
            <w:vAlign w:val="top"/>
          </w:tcPr>
          <w:p>
            <w:pPr>
              <w:spacing w:line="240" w:lineRule="exact"/>
              <w:rPr>
                <w:rFonts w:ascii="宋体" w:hAnsi="宋体" w:eastAsia="宋体"/>
                <w:sz w:val="15"/>
                <w:szCs w:val="15"/>
              </w:rPr>
            </w:pPr>
          </w:p>
        </w:tc>
      </w:tr>
    </w:tbl>
    <w:p>
      <w:pPr>
        <w:spacing w:line="600" w:lineRule="exact"/>
        <w:ind w:firstLine="629"/>
        <w:rPr>
          <w:rFonts w:cs="微软雅黑"/>
          <w:kern w:val="0"/>
          <w:szCs w:val="32"/>
          <w:lang w:val="zh-CN"/>
        </w:rPr>
        <w:sectPr>
          <w:headerReference r:id="rId4" w:type="first"/>
          <w:footerReference r:id="rId7" w:type="first"/>
          <w:headerReference r:id="rId3" w:type="default"/>
          <w:footerReference r:id="rId5" w:type="default"/>
          <w:footerReference r:id="rId6" w:type="even"/>
          <w:pgSz w:w="11906" w:h="16838"/>
          <w:pgMar w:top="2098" w:right="1474" w:bottom="1985" w:left="1588" w:header="851" w:footer="1588" w:gutter="0"/>
          <w:pgNumType w:fmt="numberInDash"/>
          <w:cols w:space="720" w:num="1"/>
          <w:docGrid w:type="linesAndChars" w:linePitch="579" w:charSpace="-849"/>
        </w:sectPr>
      </w:pPr>
    </w:p>
    <w:p>
      <w:pPr>
        <w:widowControl/>
        <w:spacing w:line="580" w:lineRule="exact"/>
        <w:jc w:val="left"/>
        <w:rPr>
          <w:rFonts w:ascii="黑体" w:hAnsi="黑体" w:eastAsia="黑体"/>
          <w:szCs w:val="32"/>
        </w:rPr>
      </w:pPr>
      <w:r>
        <w:rPr>
          <w:rFonts w:hint="eastAsia" w:ascii="黑体" w:hAnsi="黑体" w:eastAsia="黑体"/>
          <w:szCs w:val="32"/>
        </w:rPr>
        <w:t>附件</w:t>
      </w:r>
      <w:r>
        <w:rPr>
          <w:rFonts w:ascii="黑体" w:hAnsi="黑体" w:eastAsia="黑体"/>
          <w:szCs w:val="32"/>
        </w:rPr>
        <w:t>3</w:t>
      </w:r>
    </w:p>
    <w:p>
      <w:pPr>
        <w:spacing w:line="520" w:lineRule="exact"/>
        <w:jc w:val="center"/>
        <w:rPr>
          <w:rFonts w:ascii="Times New Roman" w:eastAsia="方正小标宋简体"/>
          <w:sz w:val="44"/>
          <w:szCs w:val="44"/>
        </w:rPr>
      </w:pPr>
      <w:r>
        <w:rPr>
          <w:rFonts w:ascii="Times New Roman" w:eastAsia="方正小标宋简体"/>
          <w:sz w:val="44"/>
          <w:szCs w:val="44"/>
        </w:rPr>
        <w:t>消防安全承诺书</w:t>
      </w:r>
      <w:r>
        <w:rPr>
          <w:rFonts w:hint="eastAsia" w:ascii="Times New Roman" w:eastAsia="方正小标宋简体"/>
          <w:sz w:val="44"/>
          <w:szCs w:val="44"/>
        </w:rPr>
        <w:t>（模板）</w:t>
      </w:r>
    </w:p>
    <w:p>
      <w:pPr>
        <w:spacing w:line="520" w:lineRule="exact"/>
        <w:jc w:val="center"/>
        <w:rPr>
          <w:rFonts w:ascii="Times New Roman"/>
          <w:szCs w:val="32"/>
        </w:rPr>
      </w:pPr>
    </w:p>
    <w:p>
      <w:pPr>
        <w:spacing w:line="520" w:lineRule="exact"/>
        <w:ind w:firstLine="600" w:firstLineChars="200"/>
        <w:rPr>
          <w:sz w:val="30"/>
          <w:szCs w:val="30"/>
        </w:rPr>
      </w:pPr>
      <w:r>
        <w:rPr>
          <w:rFonts w:hint="eastAsia"/>
          <w:sz w:val="30"/>
          <w:szCs w:val="30"/>
        </w:rPr>
        <w:t>我单位（场所）：</w:t>
      </w:r>
      <w:r>
        <w:rPr>
          <w:rFonts w:hint="eastAsia"/>
          <w:sz w:val="30"/>
          <w:szCs w:val="30"/>
          <w:u w:val="single"/>
        </w:rPr>
        <w:t xml:space="preserve">               </w:t>
      </w:r>
      <w:r>
        <w:rPr>
          <w:rFonts w:hint="eastAsia"/>
          <w:sz w:val="30"/>
          <w:szCs w:val="30"/>
        </w:rPr>
        <w:t>，位于</w:t>
      </w:r>
      <w:r>
        <w:rPr>
          <w:rFonts w:hint="eastAsia"/>
          <w:sz w:val="30"/>
          <w:szCs w:val="30"/>
          <w:u w:val="single"/>
        </w:rPr>
        <w:t>　　　</w:t>
      </w:r>
      <w:r>
        <w:rPr>
          <w:rFonts w:hint="eastAsia"/>
          <w:sz w:val="30"/>
          <w:szCs w:val="30"/>
        </w:rPr>
        <w:t>区</w:t>
      </w:r>
      <w:r>
        <w:rPr>
          <w:rFonts w:hint="eastAsia"/>
          <w:sz w:val="30"/>
          <w:szCs w:val="30"/>
          <w:u w:val="single"/>
        </w:rPr>
        <w:t>　　　　　　</w:t>
      </w:r>
      <w:r>
        <w:rPr>
          <w:rFonts w:hint="eastAsia"/>
          <w:sz w:val="30"/>
          <w:szCs w:val="30"/>
        </w:rPr>
        <w:t>，建筑地上</w:t>
      </w:r>
      <w:r>
        <w:rPr>
          <w:rFonts w:hint="eastAsia"/>
          <w:sz w:val="30"/>
          <w:szCs w:val="30"/>
          <w:u w:val="single"/>
        </w:rPr>
        <w:t xml:space="preserve"> 　  </w:t>
      </w:r>
      <w:r>
        <w:rPr>
          <w:rFonts w:hint="eastAsia"/>
          <w:sz w:val="30"/>
          <w:szCs w:val="30"/>
        </w:rPr>
        <w:t>层、地下</w:t>
      </w:r>
      <w:r>
        <w:rPr>
          <w:rFonts w:hint="eastAsia"/>
          <w:sz w:val="30"/>
          <w:szCs w:val="30"/>
          <w:u w:val="single"/>
        </w:rPr>
        <w:t xml:space="preserve">  　 </w:t>
      </w:r>
      <w:r>
        <w:rPr>
          <w:rFonts w:hint="eastAsia"/>
          <w:sz w:val="30"/>
          <w:szCs w:val="30"/>
        </w:rPr>
        <w:t>层，建筑面积共</w:t>
      </w:r>
      <w:r>
        <w:rPr>
          <w:rFonts w:hint="eastAsia"/>
          <w:sz w:val="30"/>
          <w:szCs w:val="30"/>
          <w:u w:val="single"/>
        </w:rPr>
        <w:t xml:space="preserve"> 　  </w:t>
      </w:r>
      <w:r>
        <w:rPr>
          <w:rFonts w:hint="eastAsia"/>
          <w:sz w:val="30"/>
          <w:szCs w:val="30"/>
        </w:rPr>
        <w:t>平方米，已按照市安委会、市防火委“防风险保平安迎大庆”消防安全执法检查专项行动部署要求，对火灾风险隐患进行了全面自查自改。</w:t>
      </w:r>
    </w:p>
    <w:p>
      <w:pPr>
        <w:spacing w:line="520" w:lineRule="exact"/>
        <w:ind w:firstLine="600" w:firstLineChars="200"/>
        <w:rPr>
          <w:sz w:val="30"/>
          <w:szCs w:val="30"/>
        </w:rPr>
      </w:pPr>
      <w:r>
        <w:rPr>
          <w:rFonts w:hint="eastAsia"/>
          <w:sz w:val="30"/>
          <w:szCs w:val="30"/>
        </w:rPr>
        <w:t>□目前，我单位（场所）不存在突出火灾风险。</w:t>
      </w:r>
    </w:p>
    <w:p>
      <w:pPr>
        <w:spacing w:line="520" w:lineRule="exact"/>
        <w:ind w:firstLine="600" w:firstLineChars="200"/>
        <w:rPr>
          <w:sz w:val="30"/>
          <w:szCs w:val="30"/>
        </w:rPr>
      </w:pPr>
      <w:r>
        <w:rPr>
          <w:rFonts w:hint="eastAsia"/>
          <w:sz w:val="30"/>
          <w:szCs w:val="30"/>
        </w:rPr>
        <w:t>□目前，我单位场所仍有部分火灾风险隐患尚未完全整改，主要是：</w:t>
      </w:r>
    </w:p>
    <w:p>
      <w:pPr>
        <w:spacing w:line="520" w:lineRule="exact"/>
        <w:ind w:firstLine="600" w:firstLineChars="200"/>
        <w:rPr>
          <w:sz w:val="30"/>
          <w:szCs w:val="30"/>
        </w:rPr>
      </w:pPr>
      <w:r>
        <w:rPr>
          <w:rFonts w:hint="eastAsia"/>
          <w:sz w:val="30"/>
          <w:szCs w:val="30"/>
        </w:rPr>
        <w:t>1.</w:t>
      </w:r>
    </w:p>
    <w:p>
      <w:pPr>
        <w:spacing w:line="520" w:lineRule="exact"/>
        <w:ind w:firstLine="600" w:firstLineChars="200"/>
        <w:rPr>
          <w:sz w:val="30"/>
          <w:szCs w:val="30"/>
        </w:rPr>
      </w:pPr>
      <w:r>
        <w:rPr>
          <w:rFonts w:hint="eastAsia"/>
          <w:sz w:val="30"/>
          <w:szCs w:val="30"/>
        </w:rPr>
        <w:t>2.</w:t>
      </w:r>
    </w:p>
    <w:p>
      <w:pPr>
        <w:spacing w:line="520" w:lineRule="exact"/>
        <w:ind w:firstLine="630"/>
        <w:rPr>
          <w:sz w:val="30"/>
          <w:szCs w:val="30"/>
        </w:rPr>
      </w:pPr>
      <w:r>
        <w:rPr>
          <w:rFonts w:hint="eastAsia"/>
          <w:sz w:val="30"/>
          <w:szCs w:val="30"/>
        </w:rPr>
        <w:t>对此，我们主要采取的防范措施是：</w:t>
      </w:r>
    </w:p>
    <w:p>
      <w:pPr>
        <w:spacing w:line="520" w:lineRule="exact"/>
        <w:ind w:firstLine="630"/>
        <w:rPr>
          <w:sz w:val="30"/>
          <w:szCs w:val="30"/>
        </w:rPr>
      </w:pPr>
      <w:r>
        <w:rPr>
          <w:rFonts w:hint="eastAsia"/>
          <w:sz w:val="30"/>
          <w:szCs w:val="30"/>
        </w:rPr>
        <w:t>1.</w:t>
      </w:r>
    </w:p>
    <w:p>
      <w:pPr>
        <w:spacing w:line="520" w:lineRule="exact"/>
        <w:ind w:firstLine="630"/>
        <w:rPr>
          <w:sz w:val="30"/>
          <w:szCs w:val="30"/>
        </w:rPr>
      </w:pPr>
      <w:r>
        <w:rPr>
          <w:rFonts w:hint="eastAsia"/>
          <w:sz w:val="30"/>
          <w:szCs w:val="30"/>
        </w:rPr>
        <w:t>2.</w:t>
      </w:r>
    </w:p>
    <w:p>
      <w:pPr>
        <w:spacing w:line="520" w:lineRule="exact"/>
        <w:ind w:firstLine="630"/>
        <w:rPr>
          <w:sz w:val="30"/>
          <w:szCs w:val="30"/>
        </w:rPr>
      </w:pPr>
      <w:r>
        <w:rPr>
          <w:rFonts w:hint="eastAsia"/>
          <w:sz w:val="30"/>
          <w:szCs w:val="30"/>
        </w:rPr>
        <w:t>针对上述自查发现的问题，我单位承诺于2019年</w:t>
      </w:r>
      <w:r>
        <w:rPr>
          <w:rFonts w:hint="eastAsia"/>
          <w:sz w:val="30"/>
          <w:szCs w:val="30"/>
          <w:u w:val="single"/>
        </w:rPr>
        <w:t>　　</w:t>
      </w:r>
      <w:r>
        <w:rPr>
          <w:rFonts w:hint="eastAsia"/>
          <w:sz w:val="30"/>
          <w:szCs w:val="30"/>
        </w:rPr>
        <w:t>月</w:t>
      </w:r>
      <w:r>
        <w:rPr>
          <w:rFonts w:hint="eastAsia"/>
          <w:sz w:val="30"/>
          <w:szCs w:val="30"/>
          <w:u w:val="single"/>
        </w:rPr>
        <w:t>　　</w:t>
      </w:r>
      <w:r>
        <w:rPr>
          <w:rFonts w:hint="eastAsia"/>
          <w:sz w:val="30"/>
          <w:szCs w:val="30"/>
        </w:rPr>
        <w:t>日前完成整改。同时，将举一反三，根据《中华人民共和国消防法》和《北京市消防条例》等相关消防法律法规要求做好消防安全工作，若有违反，我单位将自觉承担相关法律责任，切实做到安全自查、隐患自除、责任自负，主动接受监督。</w:t>
      </w:r>
    </w:p>
    <w:p>
      <w:pPr>
        <w:spacing w:line="520" w:lineRule="exact"/>
        <w:ind w:right="1200" w:firstLine="2700" w:firstLineChars="900"/>
        <w:rPr>
          <w:sz w:val="30"/>
          <w:szCs w:val="30"/>
        </w:rPr>
      </w:pPr>
      <w:r>
        <w:rPr>
          <w:rFonts w:hint="eastAsia"/>
          <w:sz w:val="30"/>
          <w:szCs w:val="30"/>
        </w:rPr>
        <w:t>单位（场所）名称（盖章）：</w:t>
      </w:r>
    </w:p>
    <w:p>
      <w:pPr>
        <w:spacing w:line="520" w:lineRule="exact"/>
        <w:ind w:right="1200" w:firstLine="2700" w:firstLineChars="900"/>
        <w:rPr>
          <w:rFonts w:hint="eastAsia"/>
          <w:sz w:val="30"/>
          <w:szCs w:val="30"/>
        </w:rPr>
      </w:pPr>
    </w:p>
    <w:p>
      <w:pPr>
        <w:spacing w:line="520" w:lineRule="exact"/>
        <w:ind w:right="1200" w:firstLine="2700" w:firstLineChars="900"/>
        <w:rPr>
          <w:sz w:val="30"/>
          <w:szCs w:val="30"/>
        </w:rPr>
      </w:pPr>
      <w:r>
        <w:rPr>
          <w:rFonts w:hint="eastAsia"/>
          <w:sz w:val="30"/>
          <w:szCs w:val="30"/>
        </w:rPr>
        <w:t>承诺人：        　　　　承诺时间：</w:t>
      </w:r>
    </w:p>
    <w:p>
      <w:pPr>
        <w:widowControl/>
        <w:spacing w:line="520" w:lineRule="exact"/>
        <w:jc w:val="left"/>
        <w:rPr>
          <w:sz w:val="30"/>
          <w:szCs w:val="30"/>
        </w:rPr>
        <w:sectPr>
          <w:headerReference r:id="rId9" w:type="first"/>
          <w:headerReference r:id="rId8" w:type="default"/>
          <w:footerReference r:id="rId10" w:type="default"/>
          <w:footerReference r:id="rId11" w:type="even"/>
          <w:pgSz w:w="11906" w:h="16838"/>
          <w:pgMar w:top="2098" w:right="1474" w:bottom="1985" w:left="1588" w:header="851" w:footer="1588" w:gutter="0"/>
          <w:pgNumType w:fmt="numberInDash"/>
          <w:cols w:space="720" w:num="1"/>
          <w:docGrid w:type="lines" w:linePitch="579" w:charSpace="-849"/>
        </w:sectPr>
      </w:pPr>
    </w:p>
    <w:p>
      <w:pPr>
        <w:rPr>
          <w:rFonts w:ascii="黑体" w:hAnsi="黑体" w:eastAsia="黑体"/>
          <w:szCs w:val="32"/>
        </w:rPr>
      </w:pPr>
      <w:r>
        <w:rPr>
          <w:rFonts w:hint="eastAsia" w:ascii="黑体" w:hAnsi="黑体" w:eastAsia="黑体"/>
          <w:szCs w:val="32"/>
        </w:rPr>
        <w:t>附件</w:t>
      </w:r>
      <w:r>
        <w:rPr>
          <w:rFonts w:ascii="黑体" w:hAnsi="黑体" w:eastAsia="黑体"/>
          <w:szCs w:val="32"/>
        </w:rPr>
        <w:t>4</w:t>
      </w:r>
      <w:r>
        <w:rPr>
          <w:rFonts w:hint="eastAsia" w:ascii="黑体" w:hAnsi="黑体" w:eastAsia="黑体"/>
          <w:szCs w:val="32"/>
        </w:rPr>
        <w:t xml:space="preserve">          </w:t>
      </w:r>
    </w:p>
    <w:p>
      <w:pPr>
        <w:jc w:val="center"/>
        <w:rPr>
          <w:rFonts w:ascii="方正小标宋简体" w:eastAsia="方正小标宋简体"/>
          <w:szCs w:val="32"/>
        </w:rPr>
      </w:pPr>
      <w:r>
        <w:rPr>
          <w:rFonts w:hint="eastAsia" w:ascii="方正小标宋简体" w:eastAsia="方正小标宋简体"/>
          <w:szCs w:val="32"/>
        </w:rPr>
        <w:t>住建系统消防安全风险自查自改工作台账</w:t>
      </w:r>
    </w:p>
    <w:p>
      <w:pPr>
        <w:jc w:val="left"/>
        <w:rPr>
          <w:rFonts w:ascii="方正小标宋简体" w:hAnsi="黑体" w:eastAsia="方正小标宋简体"/>
          <w:sz w:val="21"/>
          <w:szCs w:val="21"/>
        </w:rPr>
      </w:pPr>
      <w:r>
        <w:rPr>
          <w:rFonts w:hint="eastAsia" w:ascii="宋体" w:hAnsi="宋体" w:eastAsia="宋体"/>
          <w:sz w:val="21"/>
          <w:szCs w:val="21"/>
        </w:rPr>
        <w:t>单位：                                 填表人</w:t>
      </w:r>
      <w:r>
        <w:rPr>
          <w:rFonts w:ascii="宋体" w:hAnsi="宋体" w:eastAsia="宋体"/>
          <w:sz w:val="21"/>
          <w:szCs w:val="21"/>
        </w:rPr>
        <w:t>：</w:t>
      </w:r>
      <w:r>
        <w:rPr>
          <w:rFonts w:hint="eastAsia" w:ascii="宋体" w:hAnsi="宋体" w:eastAsia="宋体"/>
          <w:sz w:val="21"/>
          <w:szCs w:val="21"/>
        </w:rPr>
        <w:t xml:space="preserve">                               联系电话</w:t>
      </w:r>
      <w:r>
        <w:rPr>
          <w:rFonts w:ascii="宋体" w:hAnsi="宋体" w:eastAsia="宋体"/>
          <w:sz w:val="21"/>
          <w:szCs w:val="21"/>
        </w:rPr>
        <w:t>：</w:t>
      </w:r>
    </w:p>
    <w:tbl>
      <w:tblPr>
        <w:tblStyle w:val="4"/>
        <w:tblW w:w="12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986"/>
        <w:gridCol w:w="1126"/>
        <w:gridCol w:w="845"/>
        <w:gridCol w:w="987"/>
        <w:gridCol w:w="988"/>
        <w:gridCol w:w="986"/>
        <w:gridCol w:w="846"/>
        <w:gridCol w:w="986"/>
        <w:gridCol w:w="845"/>
        <w:gridCol w:w="1008"/>
        <w:gridCol w:w="1408"/>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1" w:type="dxa"/>
            <w:noWrap w:val="0"/>
            <w:vAlign w:val="center"/>
          </w:tcPr>
          <w:p>
            <w:pPr>
              <w:widowControl/>
              <w:spacing w:line="240" w:lineRule="exact"/>
              <w:jc w:val="center"/>
              <w:rPr>
                <w:rFonts w:ascii="黑体" w:hAnsi="黑体" w:eastAsia="黑体"/>
                <w:sz w:val="18"/>
                <w:szCs w:val="18"/>
              </w:rPr>
            </w:pPr>
            <w:r>
              <w:rPr>
                <w:rFonts w:hint="eastAsia" w:ascii="黑体" w:hAnsi="黑体" w:eastAsia="黑体"/>
                <w:sz w:val="18"/>
                <w:szCs w:val="18"/>
              </w:rPr>
              <w:t>序号</w:t>
            </w:r>
          </w:p>
        </w:tc>
        <w:tc>
          <w:tcPr>
            <w:tcW w:w="986" w:type="dxa"/>
            <w:noWrap w:val="0"/>
            <w:vAlign w:val="center"/>
          </w:tcPr>
          <w:p>
            <w:pPr>
              <w:widowControl/>
              <w:spacing w:line="240" w:lineRule="exact"/>
              <w:jc w:val="center"/>
              <w:rPr>
                <w:rFonts w:ascii="黑体" w:hAnsi="黑体" w:eastAsia="黑体"/>
                <w:sz w:val="18"/>
                <w:szCs w:val="18"/>
              </w:rPr>
            </w:pPr>
            <w:r>
              <w:rPr>
                <w:rFonts w:hint="eastAsia" w:ascii="黑体" w:hAnsi="黑体" w:eastAsia="黑体"/>
                <w:sz w:val="18"/>
                <w:szCs w:val="18"/>
              </w:rPr>
              <w:t>单位</w:t>
            </w:r>
            <w:r>
              <w:rPr>
                <w:rFonts w:ascii="黑体" w:hAnsi="黑体" w:eastAsia="黑体"/>
                <w:sz w:val="18"/>
                <w:szCs w:val="18"/>
              </w:rPr>
              <w:t>名称</w:t>
            </w:r>
          </w:p>
        </w:tc>
        <w:tc>
          <w:tcPr>
            <w:tcW w:w="1126" w:type="dxa"/>
            <w:noWrap w:val="0"/>
            <w:vAlign w:val="center"/>
          </w:tcPr>
          <w:p>
            <w:pPr>
              <w:widowControl/>
              <w:spacing w:line="240" w:lineRule="exact"/>
              <w:jc w:val="center"/>
              <w:rPr>
                <w:rFonts w:ascii="黑体" w:hAnsi="黑体" w:eastAsia="黑体"/>
                <w:sz w:val="18"/>
                <w:szCs w:val="18"/>
              </w:rPr>
            </w:pPr>
            <w:r>
              <w:rPr>
                <w:rFonts w:hint="eastAsia" w:ascii="黑体" w:hAnsi="黑体" w:eastAsia="黑体"/>
                <w:sz w:val="18"/>
                <w:szCs w:val="18"/>
              </w:rPr>
              <w:t>详细</w:t>
            </w:r>
            <w:r>
              <w:rPr>
                <w:rFonts w:ascii="黑体" w:hAnsi="黑体" w:eastAsia="黑体"/>
                <w:sz w:val="18"/>
                <w:szCs w:val="18"/>
              </w:rPr>
              <w:t>地址</w:t>
            </w:r>
          </w:p>
        </w:tc>
        <w:tc>
          <w:tcPr>
            <w:tcW w:w="845" w:type="dxa"/>
            <w:noWrap w:val="0"/>
            <w:vAlign w:val="center"/>
          </w:tcPr>
          <w:p>
            <w:pPr>
              <w:widowControl/>
              <w:spacing w:line="240" w:lineRule="exact"/>
              <w:jc w:val="center"/>
              <w:rPr>
                <w:rFonts w:ascii="黑体" w:hAnsi="黑体" w:eastAsia="黑体"/>
                <w:sz w:val="18"/>
                <w:szCs w:val="18"/>
              </w:rPr>
            </w:pPr>
            <w:r>
              <w:rPr>
                <w:rFonts w:hint="eastAsia" w:ascii="黑体" w:hAnsi="黑体" w:eastAsia="黑体"/>
                <w:sz w:val="18"/>
                <w:szCs w:val="18"/>
              </w:rPr>
              <w:t>负责人</w:t>
            </w:r>
          </w:p>
        </w:tc>
        <w:tc>
          <w:tcPr>
            <w:tcW w:w="987" w:type="dxa"/>
            <w:noWrap w:val="0"/>
            <w:vAlign w:val="center"/>
          </w:tcPr>
          <w:p>
            <w:pPr>
              <w:widowControl/>
              <w:spacing w:line="240" w:lineRule="exact"/>
              <w:jc w:val="center"/>
              <w:rPr>
                <w:rFonts w:ascii="黑体" w:hAnsi="黑体" w:eastAsia="黑体"/>
                <w:sz w:val="18"/>
                <w:szCs w:val="18"/>
              </w:rPr>
            </w:pPr>
            <w:r>
              <w:rPr>
                <w:rFonts w:hint="eastAsia" w:ascii="黑体" w:hAnsi="黑体" w:eastAsia="黑体"/>
                <w:sz w:val="18"/>
                <w:szCs w:val="18"/>
              </w:rPr>
              <w:t>联系</w:t>
            </w:r>
            <w:r>
              <w:rPr>
                <w:rFonts w:ascii="黑体" w:hAnsi="黑体" w:eastAsia="黑体"/>
                <w:sz w:val="18"/>
                <w:szCs w:val="18"/>
              </w:rPr>
              <w:t>电话</w:t>
            </w:r>
          </w:p>
        </w:tc>
        <w:tc>
          <w:tcPr>
            <w:tcW w:w="988" w:type="dxa"/>
            <w:noWrap w:val="0"/>
            <w:vAlign w:val="center"/>
          </w:tcPr>
          <w:p>
            <w:pPr>
              <w:widowControl/>
              <w:spacing w:line="240" w:lineRule="exact"/>
              <w:jc w:val="center"/>
              <w:rPr>
                <w:rFonts w:ascii="黑体" w:hAnsi="黑体" w:eastAsia="黑体"/>
                <w:sz w:val="18"/>
                <w:szCs w:val="18"/>
              </w:rPr>
            </w:pPr>
            <w:r>
              <w:rPr>
                <w:rFonts w:hint="eastAsia" w:ascii="黑体" w:hAnsi="黑体" w:eastAsia="黑体"/>
                <w:sz w:val="18"/>
                <w:szCs w:val="18"/>
              </w:rPr>
              <w:t>场所类别</w:t>
            </w:r>
          </w:p>
        </w:tc>
        <w:tc>
          <w:tcPr>
            <w:tcW w:w="986" w:type="dxa"/>
            <w:noWrap w:val="0"/>
            <w:vAlign w:val="center"/>
          </w:tcPr>
          <w:p>
            <w:pPr>
              <w:widowControl/>
              <w:spacing w:line="240" w:lineRule="exact"/>
              <w:jc w:val="center"/>
              <w:rPr>
                <w:rFonts w:ascii="黑体" w:hAnsi="黑体" w:eastAsia="黑体"/>
                <w:sz w:val="18"/>
                <w:szCs w:val="18"/>
              </w:rPr>
            </w:pPr>
            <w:r>
              <w:rPr>
                <w:rFonts w:hint="eastAsia" w:ascii="黑体" w:hAnsi="黑体" w:eastAsia="黑体"/>
                <w:sz w:val="18"/>
                <w:szCs w:val="18"/>
              </w:rPr>
              <w:t>所在</w:t>
            </w:r>
            <w:r>
              <w:rPr>
                <w:rFonts w:ascii="黑体" w:hAnsi="黑体" w:eastAsia="黑体"/>
                <w:sz w:val="18"/>
                <w:szCs w:val="18"/>
              </w:rPr>
              <w:t>街道</w:t>
            </w:r>
          </w:p>
        </w:tc>
        <w:tc>
          <w:tcPr>
            <w:tcW w:w="846" w:type="dxa"/>
            <w:noWrap w:val="0"/>
            <w:vAlign w:val="center"/>
          </w:tcPr>
          <w:p>
            <w:pPr>
              <w:widowControl/>
              <w:spacing w:line="240" w:lineRule="exact"/>
              <w:jc w:val="center"/>
              <w:rPr>
                <w:rFonts w:ascii="黑体" w:hAnsi="黑体" w:eastAsia="黑体"/>
                <w:sz w:val="18"/>
                <w:szCs w:val="18"/>
              </w:rPr>
            </w:pPr>
            <w:r>
              <w:rPr>
                <w:rFonts w:hint="eastAsia" w:ascii="黑体" w:hAnsi="黑体" w:eastAsia="黑体"/>
                <w:sz w:val="18"/>
                <w:szCs w:val="18"/>
              </w:rPr>
              <w:t>存在</w:t>
            </w:r>
            <w:r>
              <w:rPr>
                <w:rFonts w:ascii="黑体" w:hAnsi="黑体" w:eastAsia="黑体"/>
                <w:sz w:val="18"/>
                <w:szCs w:val="18"/>
              </w:rPr>
              <w:t>风险类别</w:t>
            </w:r>
          </w:p>
        </w:tc>
        <w:tc>
          <w:tcPr>
            <w:tcW w:w="986" w:type="dxa"/>
            <w:noWrap w:val="0"/>
            <w:vAlign w:val="center"/>
          </w:tcPr>
          <w:p>
            <w:pPr>
              <w:widowControl/>
              <w:spacing w:line="240" w:lineRule="exact"/>
              <w:jc w:val="center"/>
              <w:rPr>
                <w:rFonts w:ascii="黑体" w:hAnsi="黑体" w:eastAsia="黑体"/>
                <w:sz w:val="18"/>
                <w:szCs w:val="18"/>
              </w:rPr>
            </w:pPr>
            <w:r>
              <w:rPr>
                <w:rFonts w:hint="eastAsia" w:ascii="黑体" w:hAnsi="黑体" w:eastAsia="黑体"/>
                <w:sz w:val="18"/>
                <w:szCs w:val="18"/>
              </w:rPr>
              <w:t>是否签订</w:t>
            </w:r>
          </w:p>
          <w:p>
            <w:pPr>
              <w:widowControl/>
              <w:spacing w:line="240" w:lineRule="exact"/>
              <w:jc w:val="center"/>
              <w:rPr>
                <w:rFonts w:ascii="黑体" w:hAnsi="黑体" w:eastAsia="黑体"/>
                <w:sz w:val="18"/>
                <w:szCs w:val="18"/>
              </w:rPr>
            </w:pPr>
            <w:r>
              <w:rPr>
                <w:rFonts w:ascii="黑体" w:hAnsi="黑体" w:eastAsia="黑体"/>
                <w:sz w:val="18"/>
                <w:szCs w:val="18"/>
              </w:rPr>
              <w:t>承诺书</w:t>
            </w:r>
          </w:p>
        </w:tc>
        <w:tc>
          <w:tcPr>
            <w:tcW w:w="845" w:type="dxa"/>
            <w:noWrap w:val="0"/>
            <w:vAlign w:val="center"/>
          </w:tcPr>
          <w:p>
            <w:pPr>
              <w:widowControl/>
              <w:spacing w:line="240" w:lineRule="exact"/>
              <w:jc w:val="center"/>
              <w:rPr>
                <w:rFonts w:ascii="黑体" w:hAnsi="黑体" w:eastAsia="黑体"/>
                <w:sz w:val="18"/>
                <w:szCs w:val="18"/>
              </w:rPr>
            </w:pPr>
            <w:r>
              <w:rPr>
                <w:rFonts w:hint="eastAsia" w:ascii="黑体" w:hAnsi="黑体" w:eastAsia="黑体"/>
                <w:sz w:val="18"/>
                <w:szCs w:val="18"/>
              </w:rPr>
              <w:t>是否</w:t>
            </w:r>
            <w:r>
              <w:rPr>
                <w:rFonts w:ascii="黑体" w:hAnsi="黑体" w:eastAsia="黑体"/>
                <w:sz w:val="18"/>
                <w:szCs w:val="18"/>
              </w:rPr>
              <w:t>完成整改</w:t>
            </w:r>
          </w:p>
        </w:tc>
        <w:tc>
          <w:tcPr>
            <w:tcW w:w="1008" w:type="dxa"/>
            <w:noWrap w:val="0"/>
            <w:vAlign w:val="center"/>
          </w:tcPr>
          <w:p>
            <w:pPr>
              <w:widowControl/>
              <w:spacing w:line="240" w:lineRule="exact"/>
              <w:jc w:val="center"/>
              <w:rPr>
                <w:rFonts w:ascii="黑体" w:hAnsi="黑体" w:eastAsia="黑体"/>
                <w:sz w:val="18"/>
                <w:szCs w:val="18"/>
              </w:rPr>
            </w:pPr>
            <w:r>
              <w:rPr>
                <w:rFonts w:hint="eastAsia" w:ascii="黑体" w:hAnsi="黑体" w:eastAsia="黑体"/>
                <w:sz w:val="18"/>
                <w:szCs w:val="18"/>
              </w:rPr>
              <w:t>整改</w:t>
            </w:r>
            <w:r>
              <w:rPr>
                <w:rFonts w:ascii="黑体" w:hAnsi="黑体" w:eastAsia="黑体"/>
                <w:sz w:val="18"/>
                <w:szCs w:val="18"/>
              </w:rPr>
              <w:t>时限</w:t>
            </w:r>
          </w:p>
        </w:tc>
        <w:tc>
          <w:tcPr>
            <w:tcW w:w="1408" w:type="dxa"/>
            <w:noWrap w:val="0"/>
            <w:vAlign w:val="center"/>
          </w:tcPr>
          <w:p>
            <w:pPr>
              <w:widowControl/>
              <w:spacing w:line="240" w:lineRule="exact"/>
              <w:jc w:val="center"/>
              <w:rPr>
                <w:rFonts w:ascii="黑体" w:hAnsi="黑体" w:eastAsia="黑体"/>
                <w:sz w:val="18"/>
                <w:szCs w:val="18"/>
              </w:rPr>
            </w:pPr>
            <w:r>
              <w:rPr>
                <w:rFonts w:hint="eastAsia" w:ascii="黑体" w:hAnsi="黑体" w:eastAsia="黑体"/>
                <w:sz w:val="18"/>
                <w:szCs w:val="18"/>
              </w:rPr>
              <w:t>具体风险</w:t>
            </w:r>
            <w:r>
              <w:rPr>
                <w:rFonts w:ascii="黑体" w:hAnsi="黑体" w:eastAsia="黑体"/>
                <w:sz w:val="18"/>
                <w:szCs w:val="18"/>
              </w:rPr>
              <w:t>隐患</w:t>
            </w:r>
          </w:p>
        </w:tc>
        <w:tc>
          <w:tcPr>
            <w:tcW w:w="1539" w:type="dxa"/>
            <w:noWrap w:val="0"/>
            <w:vAlign w:val="center"/>
          </w:tcPr>
          <w:p>
            <w:pPr>
              <w:widowControl/>
              <w:spacing w:line="240" w:lineRule="exact"/>
              <w:jc w:val="center"/>
              <w:rPr>
                <w:rFonts w:ascii="黑体" w:hAnsi="黑体" w:eastAsia="黑体"/>
                <w:sz w:val="18"/>
                <w:szCs w:val="18"/>
              </w:rPr>
            </w:pPr>
            <w:r>
              <w:rPr>
                <w:rFonts w:hint="eastAsia" w:ascii="黑体" w:hAnsi="黑体" w:eastAsia="黑体"/>
                <w:sz w:val="18"/>
                <w:szCs w:val="18"/>
              </w:rPr>
              <w:t>采取</w:t>
            </w:r>
            <w:r>
              <w:rPr>
                <w:rFonts w:ascii="黑体" w:hAnsi="黑体" w:eastAsia="黑体"/>
                <w:sz w:val="18"/>
                <w:szCs w:val="18"/>
              </w:rPr>
              <w:t>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1" w:type="dxa"/>
            <w:noWrap w:val="0"/>
            <w:vAlign w:val="center"/>
          </w:tcPr>
          <w:p>
            <w:pPr>
              <w:widowControl/>
              <w:spacing w:line="240" w:lineRule="exact"/>
              <w:jc w:val="center"/>
              <w:rPr>
                <w:rFonts w:ascii="宋体" w:hAnsi="宋体" w:eastAsia="宋体"/>
                <w:sz w:val="18"/>
                <w:szCs w:val="18"/>
              </w:rPr>
            </w:pPr>
          </w:p>
        </w:tc>
        <w:tc>
          <w:tcPr>
            <w:tcW w:w="986" w:type="dxa"/>
            <w:noWrap w:val="0"/>
            <w:vAlign w:val="center"/>
          </w:tcPr>
          <w:p>
            <w:pPr>
              <w:widowControl/>
              <w:spacing w:line="240" w:lineRule="exact"/>
              <w:jc w:val="center"/>
              <w:rPr>
                <w:rFonts w:ascii="宋体" w:hAnsi="宋体" w:eastAsia="宋体"/>
                <w:sz w:val="18"/>
                <w:szCs w:val="18"/>
              </w:rPr>
            </w:pPr>
          </w:p>
        </w:tc>
        <w:tc>
          <w:tcPr>
            <w:tcW w:w="1126" w:type="dxa"/>
            <w:noWrap w:val="0"/>
            <w:vAlign w:val="center"/>
          </w:tcPr>
          <w:p>
            <w:pPr>
              <w:widowControl/>
              <w:spacing w:line="240" w:lineRule="exact"/>
              <w:jc w:val="center"/>
              <w:rPr>
                <w:rFonts w:ascii="宋体" w:hAnsi="宋体" w:eastAsia="宋体"/>
                <w:sz w:val="18"/>
                <w:szCs w:val="18"/>
              </w:rPr>
            </w:pPr>
          </w:p>
        </w:tc>
        <w:tc>
          <w:tcPr>
            <w:tcW w:w="845" w:type="dxa"/>
            <w:noWrap w:val="0"/>
            <w:vAlign w:val="center"/>
          </w:tcPr>
          <w:p>
            <w:pPr>
              <w:widowControl/>
              <w:spacing w:line="240" w:lineRule="exact"/>
              <w:jc w:val="center"/>
              <w:rPr>
                <w:rFonts w:ascii="宋体" w:hAnsi="宋体" w:eastAsia="宋体"/>
                <w:sz w:val="18"/>
                <w:szCs w:val="18"/>
              </w:rPr>
            </w:pPr>
          </w:p>
        </w:tc>
        <w:tc>
          <w:tcPr>
            <w:tcW w:w="987" w:type="dxa"/>
            <w:noWrap w:val="0"/>
            <w:vAlign w:val="center"/>
          </w:tcPr>
          <w:p>
            <w:pPr>
              <w:widowControl/>
              <w:spacing w:line="240" w:lineRule="exact"/>
              <w:jc w:val="center"/>
              <w:rPr>
                <w:rFonts w:ascii="宋体" w:hAnsi="宋体" w:eastAsia="宋体"/>
                <w:sz w:val="18"/>
                <w:szCs w:val="18"/>
              </w:rPr>
            </w:pPr>
          </w:p>
        </w:tc>
        <w:tc>
          <w:tcPr>
            <w:tcW w:w="988" w:type="dxa"/>
            <w:noWrap w:val="0"/>
            <w:vAlign w:val="center"/>
          </w:tcPr>
          <w:p>
            <w:pPr>
              <w:spacing w:line="240" w:lineRule="exact"/>
              <w:jc w:val="center"/>
              <w:rPr>
                <w:rFonts w:ascii="宋体" w:hAnsi="宋体" w:eastAsia="宋体"/>
                <w:sz w:val="18"/>
                <w:szCs w:val="18"/>
              </w:rPr>
            </w:pPr>
            <w:r>
              <w:rPr>
                <w:rFonts w:hint="eastAsia" w:ascii="宋体" w:hAnsi="宋体" w:eastAsia="宋体"/>
                <w:sz w:val="18"/>
                <w:szCs w:val="18"/>
              </w:rPr>
              <w:t>商场</w:t>
            </w:r>
            <w:r>
              <w:rPr>
                <w:rFonts w:ascii="宋体" w:hAnsi="宋体" w:eastAsia="宋体"/>
                <w:sz w:val="18"/>
                <w:szCs w:val="18"/>
              </w:rPr>
              <w:t>市场</w:t>
            </w:r>
          </w:p>
        </w:tc>
        <w:tc>
          <w:tcPr>
            <w:tcW w:w="986" w:type="dxa"/>
            <w:noWrap w:val="0"/>
            <w:vAlign w:val="center"/>
          </w:tcPr>
          <w:p>
            <w:pPr>
              <w:widowControl/>
              <w:spacing w:line="240" w:lineRule="exact"/>
              <w:jc w:val="center"/>
              <w:rPr>
                <w:rFonts w:ascii="宋体" w:hAnsi="宋体" w:eastAsia="宋体"/>
                <w:sz w:val="18"/>
                <w:szCs w:val="18"/>
              </w:rPr>
            </w:pPr>
          </w:p>
        </w:tc>
        <w:tc>
          <w:tcPr>
            <w:tcW w:w="846" w:type="dxa"/>
            <w:noWrap w:val="0"/>
            <w:vAlign w:val="center"/>
          </w:tcPr>
          <w:p>
            <w:pPr>
              <w:widowControl/>
              <w:spacing w:line="240" w:lineRule="exact"/>
              <w:jc w:val="center"/>
              <w:rPr>
                <w:rFonts w:ascii="宋体" w:hAnsi="宋体" w:eastAsia="宋体"/>
                <w:sz w:val="18"/>
                <w:szCs w:val="18"/>
              </w:rPr>
            </w:pPr>
            <w:r>
              <w:rPr>
                <w:rFonts w:ascii="宋体" w:hAnsi="宋体" w:eastAsia="宋体"/>
                <w:sz w:val="18"/>
                <w:szCs w:val="18"/>
              </w:rPr>
              <w:t>AF</w:t>
            </w:r>
          </w:p>
        </w:tc>
        <w:tc>
          <w:tcPr>
            <w:tcW w:w="986" w:type="dxa"/>
            <w:noWrap w:val="0"/>
            <w:vAlign w:val="center"/>
          </w:tcPr>
          <w:p>
            <w:pPr>
              <w:widowControl/>
              <w:spacing w:line="240" w:lineRule="exact"/>
              <w:jc w:val="center"/>
              <w:rPr>
                <w:rFonts w:ascii="宋体" w:hAnsi="宋体" w:eastAsia="宋体"/>
                <w:sz w:val="18"/>
                <w:szCs w:val="18"/>
              </w:rPr>
            </w:pPr>
            <w:r>
              <w:rPr>
                <w:rFonts w:hint="eastAsia" w:ascii="宋体" w:hAnsi="宋体" w:eastAsia="宋体"/>
                <w:sz w:val="18"/>
                <w:szCs w:val="18"/>
              </w:rPr>
              <w:t>是</w:t>
            </w:r>
          </w:p>
        </w:tc>
        <w:tc>
          <w:tcPr>
            <w:tcW w:w="845" w:type="dxa"/>
            <w:noWrap w:val="0"/>
            <w:vAlign w:val="center"/>
          </w:tcPr>
          <w:p>
            <w:pPr>
              <w:widowControl/>
              <w:spacing w:line="240" w:lineRule="exact"/>
              <w:jc w:val="center"/>
              <w:rPr>
                <w:rFonts w:ascii="宋体" w:hAnsi="宋体" w:eastAsia="宋体"/>
                <w:sz w:val="18"/>
                <w:szCs w:val="18"/>
              </w:rPr>
            </w:pPr>
            <w:r>
              <w:rPr>
                <w:rFonts w:hint="eastAsia" w:ascii="宋体" w:hAnsi="宋体" w:eastAsia="宋体"/>
                <w:sz w:val="18"/>
                <w:szCs w:val="18"/>
              </w:rPr>
              <w:t>是</w:t>
            </w:r>
          </w:p>
        </w:tc>
        <w:tc>
          <w:tcPr>
            <w:tcW w:w="1008" w:type="dxa"/>
            <w:noWrap w:val="0"/>
            <w:vAlign w:val="center"/>
          </w:tcPr>
          <w:p>
            <w:pPr>
              <w:widowControl/>
              <w:spacing w:line="240" w:lineRule="exact"/>
              <w:jc w:val="center"/>
              <w:rPr>
                <w:rFonts w:ascii="宋体" w:hAnsi="宋体" w:eastAsia="宋体"/>
                <w:sz w:val="18"/>
                <w:szCs w:val="18"/>
              </w:rPr>
            </w:pPr>
          </w:p>
        </w:tc>
        <w:tc>
          <w:tcPr>
            <w:tcW w:w="1408" w:type="dxa"/>
            <w:noWrap w:val="0"/>
            <w:vAlign w:val="center"/>
          </w:tcPr>
          <w:p>
            <w:pPr>
              <w:widowControl/>
              <w:spacing w:line="240" w:lineRule="exact"/>
              <w:jc w:val="center"/>
              <w:rPr>
                <w:rFonts w:ascii="宋体" w:hAnsi="宋体" w:eastAsia="宋体"/>
                <w:sz w:val="18"/>
                <w:szCs w:val="18"/>
              </w:rPr>
            </w:pPr>
          </w:p>
        </w:tc>
        <w:tc>
          <w:tcPr>
            <w:tcW w:w="1539" w:type="dxa"/>
            <w:noWrap w:val="0"/>
            <w:vAlign w:val="center"/>
          </w:tcPr>
          <w:p>
            <w:pPr>
              <w:widowControl/>
              <w:spacing w:line="240" w:lineRule="exact"/>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1" w:type="dxa"/>
            <w:noWrap w:val="0"/>
            <w:vAlign w:val="center"/>
          </w:tcPr>
          <w:p>
            <w:pPr>
              <w:widowControl/>
              <w:spacing w:line="240" w:lineRule="exact"/>
              <w:jc w:val="center"/>
              <w:rPr>
                <w:rFonts w:ascii="宋体" w:hAnsi="宋体" w:eastAsia="宋体"/>
                <w:sz w:val="18"/>
                <w:szCs w:val="18"/>
              </w:rPr>
            </w:pPr>
          </w:p>
        </w:tc>
        <w:tc>
          <w:tcPr>
            <w:tcW w:w="986" w:type="dxa"/>
            <w:noWrap w:val="0"/>
            <w:vAlign w:val="center"/>
          </w:tcPr>
          <w:p>
            <w:pPr>
              <w:widowControl/>
              <w:spacing w:line="240" w:lineRule="exact"/>
              <w:jc w:val="center"/>
              <w:rPr>
                <w:rFonts w:ascii="宋体" w:hAnsi="宋体" w:eastAsia="宋体"/>
                <w:sz w:val="18"/>
                <w:szCs w:val="18"/>
              </w:rPr>
            </w:pPr>
          </w:p>
        </w:tc>
        <w:tc>
          <w:tcPr>
            <w:tcW w:w="1126" w:type="dxa"/>
            <w:noWrap w:val="0"/>
            <w:vAlign w:val="center"/>
          </w:tcPr>
          <w:p>
            <w:pPr>
              <w:widowControl/>
              <w:spacing w:line="240" w:lineRule="exact"/>
              <w:jc w:val="center"/>
              <w:rPr>
                <w:rFonts w:ascii="宋体" w:hAnsi="宋体" w:eastAsia="宋体"/>
                <w:sz w:val="18"/>
                <w:szCs w:val="18"/>
              </w:rPr>
            </w:pPr>
          </w:p>
        </w:tc>
        <w:tc>
          <w:tcPr>
            <w:tcW w:w="845" w:type="dxa"/>
            <w:noWrap w:val="0"/>
            <w:vAlign w:val="center"/>
          </w:tcPr>
          <w:p>
            <w:pPr>
              <w:widowControl/>
              <w:spacing w:line="240" w:lineRule="exact"/>
              <w:jc w:val="center"/>
              <w:rPr>
                <w:rFonts w:ascii="宋体" w:hAnsi="宋体" w:eastAsia="宋体"/>
                <w:sz w:val="18"/>
                <w:szCs w:val="18"/>
              </w:rPr>
            </w:pPr>
          </w:p>
        </w:tc>
        <w:tc>
          <w:tcPr>
            <w:tcW w:w="987" w:type="dxa"/>
            <w:noWrap w:val="0"/>
            <w:vAlign w:val="center"/>
          </w:tcPr>
          <w:p>
            <w:pPr>
              <w:widowControl/>
              <w:spacing w:line="240" w:lineRule="exact"/>
              <w:jc w:val="center"/>
              <w:rPr>
                <w:rFonts w:ascii="宋体" w:hAnsi="宋体" w:eastAsia="宋体"/>
                <w:sz w:val="18"/>
                <w:szCs w:val="18"/>
              </w:rPr>
            </w:pPr>
          </w:p>
        </w:tc>
        <w:tc>
          <w:tcPr>
            <w:tcW w:w="988" w:type="dxa"/>
            <w:noWrap w:val="0"/>
            <w:vAlign w:val="center"/>
          </w:tcPr>
          <w:p>
            <w:pPr>
              <w:spacing w:line="240" w:lineRule="exact"/>
              <w:jc w:val="center"/>
              <w:rPr>
                <w:rFonts w:ascii="宋体" w:hAnsi="宋体" w:eastAsia="宋体"/>
                <w:sz w:val="18"/>
                <w:szCs w:val="18"/>
              </w:rPr>
            </w:pPr>
            <w:r>
              <w:rPr>
                <w:rFonts w:hint="eastAsia" w:ascii="宋体" w:hAnsi="宋体" w:eastAsia="宋体"/>
                <w:sz w:val="18"/>
                <w:szCs w:val="18"/>
              </w:rPr>
              <w:t>文物古建</w:t>
            </w:r>
          </w:p>
        </w:tc>
        <w:tc>
          <w:tcPr>
            <w:tcW w:w="986" w:type="dxa"/>
            <w:noWrap w:val="0"/>
            <w:vAlign w:val="center"/>
          </w:tcPr>
          <w:p>
            <w:pPr>
              <w:widowControl/>
              <w:spacing w:line="240" w:lineRule="exact"/>
              <w:jc w:val="center"/>
              <w:rPr>
                <w:rFonts w:ascii="宋体" w:hAnsi="宋体" w:eastAsia="宋体"/>
                <w:sz w:val="18"/>
                <w:szCs w:val="18"/>
              </w:rPr>
            </w:pPr>
          </w:p>
        </w:tc>
        <w:tc>
          <w:tcPr>
            <w:tcW w:w="846" w:type="dxa"/>
            <w:noWrap w:val="0"/>
            <w:vAlign w:val="center"/>
          </w:tcPr>
          <w:p>
            <w:pPr>
              <w:widowControl/>
              <w:spacing w:line="240" w:lineRule="exact"/>
              <w:jc w:val="center"/>
              <w:rPr>
                <w:rFonts w:ascii="宋体" w:hAnsi="宋体" w:eastAsia="宋体"/>
                <w:sz w:val="18"/>
                <w:szCs w:val="18"/>
              </w:rPr>
            </w:pPr>
            <w:r>
              <w:rPr>
                <w:rFonts w:ascii="宋体" w:hAnsi="宋体" w:eastAsia="宋体"/>
                <w:sz w:val="18"/>
                <w:szCs w:val="18"/>
              </w:rPr>
              <w:t>JK</w:t>
            </w:r>
          </w:p>
        </w:tc>
        <w:tc>
          <w:tcPr>
            <w:tcW w:w="986" w:type="dxa"/>
            <w:noWrap w:val="0"/>
            <w:vAlign w:val="center"/>
          </w:tcPr>
          <w:p>
            <w:pPr>
              <w:widowControl/>
              <w:spacing w:line="240" w:lineRule="exact"/>
              <w:jc w:val="center"/>
              <w:rPr>
                <w:rFonts w:ascii="宋体" w:hAnsi="宋体" w:eastAsia="宋体"/>
                <w:sz w:val="18"/>
                <w:szCs w:val="18"/>
              </w:rPr>
            </w:pPr>
            <w:r>
              <w:rPr>
                <w:rFonts w:hint="eastAsia" w:ascii="宋体" w:hAnsi="宋体" w:eastAsia="宋体"/>
                <w:sz w:val="18"/>
                <w:szCs w:val="18"/>
              </w:rPr>
              <w:t>是</w:t>
            </w:r>
          </w:p>
        </w:tc>
        <w:tc>
          <w:tcPr>
            <w:tcW w:w="845" w:type="dxa"/>
            <w:noWrap w:val="0"/>
            <w:vAlign w:val="center"/>
          </w:tcPr>
          <w:p>
            <w:pPr>
              <w:widowControl/>
              <w:spacing w:line="240" w:lineRule="exact"/>
              <w:jc w:val="center"/>
              <w:rPr>
                <w:rFonts w:ascii="宋体" w:hAnsi="宋体" w:eastAsia="宋体"/>
                <w:sz w:val="18"/>
                <w:szCs w:val="18"/>
              </w:rPr>
            </w:pPr>
            <w:r>
              <w:rPr>
                <w:rFonts w:hint="eastAsia" w:ascii="宋体" w:hAnsi="宋体" w:eastAsia="宋体"/>
                <w:sz w:val="18"/>
                <w:szCs w:val="18"/>
              </w:rPr>
              <w:t>否</w:t>
            </w:r>
          </w:p>
        </w:tc>
        <w:tc>
          <w:tcPr>
            <w:tcW w:w="1008" w:type="dxa"/>
            <w:noWrap w:val="0"/>
            <w:vAlign w:val="center"/>
          </w:tcPr>
          <w:p>
            <w:pPr>
              <w:widowControl/>
              <w:spacing w:line="240" w:lineRule="exact"/>
              <w:jc w:val="center"/>
              <w:rPr>
                <w:rFonts w:ascii="宋体" w:hAnsi="宋体" w:eastAsia="宋体"/>
                <w:sz w:val="18"/>
                <w:szCs w:val="18"/>
              </w:rPr>
            </w:pPr>
            <w:r>
              <w:rPr>
                <w:rFonts w:hint="eastAsia" w:ascii="宋体" w:hAnsi="宋体" w:eastAsia="宋体"/>
                <w:sz w:val="18"/>
                <w:szCs w:val="18"/>
              </w:rPr>
              <w:t>2019</w:t>
            </w:r>
            <w:r>
              <w:rPr>
                <w:rFonts w:ascii="宋体" w:hAnsi="宋体" w:eastAsia="宋体"/>
                <w:sz w:val="18"/>
                <w:szCs w:val="18"/>
              </w:rPr>
              <w:t>-6-20</w:t>
            </w:r>
          </w:p>
        </w:tc>
        <w:tc>
          <w:tcPr>
            <w:tcW w:w="1408" w:type="dxa"/>
            <w:noWrap w:val="0"/>
            <w:vAlign w:val="center"/>
          </w:tcPr>
          <w:p>
            <w:pPr>
              <w:widowControl/>
              <w:spacing w:line="240" w:lineRule="exact"/>
              <w:jc w:val="center"/>
              <w:rPr>
                <w:rFonts w:ascii="宋体" w:hAnsi="宋体" w:eastAsia="宋体"/>
                <w:sz w:val="18"/>
                <w:szCs w:val="18"/>
              </w:rPr>
            </w:pPr>
          </w:p>
        </w:tc>
        <w:tc>
          <w:tcPr>
            <w:tcW w:w="1539" w:type="dxa"/>
            <w:noWrap w:val="0"/>
            <w:vAlign w:val="center"/>
          </w:tcPr>
          <w:p>
            <w:pPr>
              <w:widowControl/>
              <w:spacing w:line="240" w:lineRule="exact"/>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1" w:type="dxa"/>
            <w:noWrap w:val="0"/>
            <w:vAlign w:val="center"/>
          </w:tcPr>
          <w:p>
            <w:pPr>
              <w:widowControl/>
              <w:spacing w:line="240" w:lineRule="exact"/>
              <w:jc w:val="center"/>
              <w:rPr>
                <w:rFonts w:ascii="宋体" w:hAnsi="宋体" w:eastAsia="宋体"/>
                <w:sz w:val="18"/>
                <w:szCs w:val="18"/>
              </w:rPr>
            </w:pPr>
          </w:p>
        </w:tc>
        <w:tc>
          <w:tcPr>
            <w:tcW w:w="986" w:type="dxa"/>
            <w:noWrap w:val="0"/>
            <w:vAlign w:val="center"/>
          </w:tcPr>
          <w:p>
            <w:pPr>
              <w:widowControl/>
              <w:spacing w:line="240" w:lineRule="exact"/>
              <w:jc w:val="center"/>
              <w:rPr>
                <w:rFonts w:ascii="宋体" w:hAnsi="宋体" w:eastAsia="宋体"/>
                <w:sz w:val="18"/>
                <w:szCs w:val="18"/>
              </w:rPr>
            </w:pPr>
          </w:p>
        </w:tc>
        <w:tc>
          <w:tcPr>
            <w:tcW w:w="1126" w:type="dxa"/>
            <w:noWrap w:val="0"/>
            <w:vAlign w:val="center"/>
          </w:tcPr>
          <w:p>
            <w:pPr>
              <w:widowControl/>
              <w:spacing w:line="240" w:lineRule="exact"/>
              <w:jc w:val="center"/>
              <w:rPr>
                <w:rFonts w:ascii="宋体" w:hAnsi="宋体" w:eastAsia="宋体"/>
                <w:sz w:val="18"/>
                <w:szCs w:val="18"/>
              </w:rPr>
            </w:pPr>
          </w:p>
        </w:tc>
        <w:tc>
          <w:tcPr>
            <w:tcW w:w="845" w:type="dxa"/>
            <w:noWrap w:val="0"/>
            <w:vAlign w:val="center"/>
          </w:tcPr>
          <w:p>
            <w:pPr>
              <w:widowControl/>
              <w:spacing w:line="240" w:lineRule="exact"/>
              <w:jc w:val="center"/>
              <w:rPr>
                <w:rFonts w:ascii="宋体" w:hAnsi="宋体" w:eastAsia="宋体"/>
                <w:sz w:val="18"/>
                <w:szCs w:val="18"/>
              </w:rPr>
            </w:pPr>
          </w:p>
        </w:tc>
        <w:tc>
          <w:tcPr>
            <w:tcW w:w="987" w:type="dxa"/>
            <w:noWrap w:val="0"/>
            <w:vAlign w:val="center"/>
          </w:tcPr>
          <w:p>
            <w:pPr>
              <w:widowControl/>
              <w:spacing w:line="240" w:lineRule="exact"/>
              <w:jc w:val="center"/>
              <w:rPr>
                <w:rFonts w:ascii="宋体" w:hAnsi="宋体" w:eastAsia="宋体"/>
                <w:sz w:val="18"/>
                <w:szCs w:val="18"/>
              </w:rPr>
            </w:pPr>
          </w:p>
        </w:tc>
        <w:tc>
          <w:tcPr>
            <w:tcW w:w="988" w:type="dxa"/>
            <w:noWrap w:val="0"/>
            <w:vAlign w:val="center"/>
          </w:tcPr>
          <w:p>
            <w:pPr>
              <w:spacing w:line="240" w:lineRule="exact"/>
              <w:jc w:val="center"/>
              <w:rPr>
                <w:rFonts w:ascii="宋体" w:hAnsi="宋体" w:eastAsia="宋体"/>
                <w:sz w:val="18"/>
                <w:szCs w:val="18"/>
              </w:rPr>
            </w:pPr>
            <w:r>
              <w:rPr>
                <w:rFonts w:hint="eastAsia" w:ascii="宋体" w:hAnsi="宋体" w:eastAsia="宋体"/>
                <w:sz w:val="18"/>
                <w:szCs w:val="18"/>
              </w:rPr>
              <w:t>“多合一”和群租房</w:t>
            </w:r>
          </w:p>
        </w:tc>
        <w:tc>
          <w:tcPr>
            <w:tcW w:w="986" w:type="dxa"/>
            <w:noWrap w:val="0"/>
            <w:vAlign w:val="center"/>
          </w:tcPr>
          <w:p>
            <w:pPr>
              <w:widowControl/>
              <w:spacing w:line="240" w:lineRule="exact"/>
              <w:jc w:val="center"/>
              <w:rPr>
                <w:rFonts w:ascii="宋体" w:hAnsi="宋体" w:eastAsia="宋体"/>
                <w:sz w:val="18"/>
                <w:szCs w:val="18"/>
              </w:rPr>
            </w:pPr>
          </w:p>
        </w:tc>
        <w:tc>
          <w:tcPr>
            <w:tcW w:w="846" w:type="dxa"/>
            <w:noWrap w:val="0"/>
            <w:vAlign w:val="center"/>
          </w:tcPr>
          <w:p>
            <w:pPr>
              <w:widowControl/>
              <w:spacing w:line="240" w:lineRule="exact"/>
              <w:jc w:val="center"/>
              <w:rPr>
                <w:rFonts w:ascii="宋体" w:hAnsi="宋体" w:eastAsia="宋体"/>
                <w:sz w:val="18"/>
                <w:szCs w:val="18"/>
              </w:rPr>
            </w:pPr>
          </w:p>
        </w:tc>
        <w:tc>
          <w:tcPr>
            <w:tcW w:w="986" w:type="dxa"/>
            <w:noWrap w:val="0"/>
            <w:vAlign w:val="center"/>
          </w:tcPr>
          <w:p>
            <w:pPr>
              <w:widowControl/>
              <w:spacing w:line="240" w:lineRule="exact"/>
              <w:jc w:val="center"/>
              <w:rPr>
                <w:rFonts w:ascii="宋体" w:hAnsi="宋体" w:eastAsia="宋体"/>
                <w:sz w:val="18"/>
                <w:szCs w:val="18"/>
              </w:rPr>
            </w:pPr>
          </w:p>
        </w:tc>
        <w:tc>
          <w:tcPr>
            <w:tcW w:w="845" w:type="dxa"/>
            <w:noWrap w:val="0"/>
            <w:vAlign w:val="center"/>
          </w:tcPr>
          <w:p>
            <w:pPr>
              <w:widowControl/>
              <w:spacing w:line="240" w:lineRule="exact"/>
              <w:jc w:val="center"/>
              <w:rPr>
                <w:rFonts w:ascii="宋体" w:hAnsi="宋体" w:eastAsia="宋体"/>
                <w:sz w:val="18"/>
                <w:szCs w:val="18"/>
              </w:rPr>
            </w:pPr>
          </w:p>
        </w:tc>
        <w:tc>
          <w:tcPr>
            <w:tcW w:w="1008" w:type="dxa"/>
            <w:noWrap w:val="0"/>
            <w:vAlign w:val="center"/>
          </w:tcPr>
          <w:p>
            <w:pPr>
              <w:widowControl/>
              <w:spacing w:line="240" w:lineRule="exact"/>
              <w:jc w:val="center"/>
              <w:rPr>
                <w:rFonts w:ascii="宋体" w:hAnsi="宋体" w:eastAsia="宋体"/>
                <w:sz w:val="18"/>
                <w:szCs w:val="18"/>
              </w:rPr>
            </w:pPr>
          </w:p>
        </w:tc>
        <w:tc>
          <w:tcPr>
            <w:tcW w:w="1408" w:type="dxa"/>
            <w:noWrap w:val="0"/>
            <w:vAlign w:val="center"/>
          </w:tcPr>
          <w:p>
            <w:pPr>
              <w:widowControl/>
              <w:spacing w:line="240" w:lineRule="exact"/>
              <w:jc w:val="center"/>
              <w:rPr>
                <w:rFonts w:ascii="宋体" w:hAnsi="宋体" w:eastAsia="宋体"/>
                <w:sz w:val="18"/>
                <w:szCs w:val="18"/>
              </w:rPr>
            </w:pPr>
          </w:p>
        </w:tc>
        <w:tc>
          <w:tcPr>
            <w:tcW w:w="1539" w:type="dxa"/>
            <w:noWrap w:val="0"/>
            <w:vAlign w:val="center"/>
          </w:tcPr>
          <w:p>
            <w:pPr>
              <w:widowControl/>
              <w:spacing w:line="240" w:lineRule="exact"/>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1" w:type="dxa"/>
            <w:noWrap w:val="0"/>
            <w:vAlign w:val="center"/>
          </w:tcPr>
          <w:p>
            <w:pPr>
              <w:widowControl/>
              <w:spacing w:line="240" w:lineRule="exact"/>
              <w:jc w:val="center"/>
              <w:rPr>
                <w:rFonts w:ascii="宋体" w:hAnsi="宋体" w:eastAsia="宋体"/>
                <w:sz w:val="18"/>
                <w:szCs w:val="18"/>
              </w:rPr>
            </w:pPr>
          </w:p>
        </w:tc>
        <w:tc>
          <w:tcPr>
            <w:tcW w:w="986" w:type="dxa"/>
            <w:noWrap w:val="0"/>
            <w:vAlign w:val="center"/>
          </w:tcPr>
          <w:p>
            <w:pPr>
              <w:widowControl/>
              <w:spacing w:line="240" w:lineRule="exact"/>
              <w:jc w:val="center"/>
              <w:rPr>
                <w:rFonts w:ascii="宋体" w:hAnsi="宋体" w:eastAsia="宋体"/>
                <w:sz w:val="18"/>
                <w:szCs w:val="18"/>
              </w:rPr>
            </w:pPr>
          </w:p>
        </w:tc>
        <w:tc>
          <w:tcPr>
            <w:tcW w:w="1126" w:type="dxa"/>
            <w:noWrap w:val="0"/>
            <w:vAlign w:val="center"/>
          </w:tcPr>
          <w:p>
            <w:pPr>
              <w:widowControl/>
              <w:spacing w:line="240" w:lineRule="exact"/>
              <w:jc w:val="center"/>
              <w:rPr>
                <w:rFonts w:ascii="宋体" w:hAnsi="宋体" w:eastAsia="宋体"/>
                <w:sz w:val="18"/>
                <w:szCs w:val="18"/>
              </w:rPr>
            </w:pPr>
          </w:p>
        </w:tc>
        <w:tc>
          <w:tcPr>
            <w:tcW w:w="845" w:type="dxa"/>
            <w:noWrap w:val="0"/>
            <w:vAlign w:val="center"/>
          </w:tcPr>
          <w:p>
            <w:pPr>
              <w:widowControl/>
              <w:spacing w:line="240" w:lineRule="exact"/>
              <w:jc w:val="center"/>
              <w:rPr>
                <w:rFonts w:ascii="宋体" w:hAnsi="宋体" w:eastAsia="宋体"/>
                <w:sz w:val="18"/>
                <w:szCs w:val="18"/>
              </w:rPr>
            </w:pPr>
          </w:p>
        </w:tc>
        <w:tc>
          <w:tcPr>
            <w:tcW w:w="987" w:type="dxa"/>
            <w:noWrap w:val="0"/>
            <w:vAlign w:val="center"/>
          </w:tcPr>
          <w:p>
            <w:pPr>
              <w:widowControl/>
              <w:spacing w:line="240" w:lineRule="exact"/>
              <w:jc w:val="center"/>
              <w:rPr>
                <w:rFonts w:ascii="宋体" w:hAnsi="宋体" w:eastAsia="宋体"/>
                <w:sz w:val="18"/>
                <w:szCs w:val="18"/>
              </w:rPr>
            </w:pPr>
          </w:p>
        </w:tc>
        <w:tc>
          <w:tcPr>
            <w:tcW w:w="988" w:type="dxa"/>
            <w:noWrap w:val="0"/>
            <w:vAlign w:val="center"/>
          </w:tcPr>
          <w:p>
            <w:pPr>
              <w:spacing w:line="240" w:lineRule="exact"/>
              <w:jc w:val="center"/>
              <w:rPr>
                <w:rFonts w:ascii="宋体" w:hAnsi="宋体" w:eastAsia="宋体"/>
                <w:sz w:val="18"/>
                <w:szCs w:val="18"/>
              </w:rPr>
            </w:pPr>
            <w:r>
              <w:rPr>
                <w:rFonts w:hint="eastAsia" w:ascii="宋体" w:hAnsi="宋体" w:eastAsia="宋体"/>
                <w:sz w:val="18"/>
                <w:szCs w:val="18"/>
              </w:rPr>
              <w:t>宾馆</w:t>
            </w:r>
            <w:r>
              <w:rPr>
                <w:rFonts w:ascii="宋体" w:hAnsi="宋体" w:eastAsia="宋体"/>
                <w:sz w:val="18"/>
                <w:szCs w:val="18"/>
              </w:rPr>
              <w:t>饭店</w:t>
            </w:r>
          </w:p>
        </w:tc>
        <w:tc>
          <w:tcPr>
            <w:tcW w:w="986" w:type="dxa"/>
            <w:noWrap w:val="0"/>
            <w:vAlign w:val="center"/>
          </w:tcPr>
          <w:p>
            <w:pPr>
              <w:widowControl/>
              <w:spacing w:line="240" w:lineRule="exact"/>
              <w:jc w:val="center"/>
              <w:rPr>
                <w:rFonts w:ascii="宋体" w:hAnsi="宋体" w:eastAsia="宋体"/>
                <w:sz w:val="18"/>
                <w:szCs w:val="18"/>
              </w:rPr>
            </w:pPr>
          </w:p>
        </w:tc>
        <w:tc>
          <w:tcPr>
            <w:tcW w:w="846" w:type="dxa"/>
            <w:noWrap w:val="0"/>
            <w:vAlign w:val="center"/>
          </w:tcPr>
          <w:p>
            <w:pPr>
              <w:widowControl/>
              <w:spacing w:line="240" w:lineRule="exact"/>
              <w:jc w:val="center"/>
              <w:rPr>
                <w:rFonts w:ascii="宋体" w:hAnsi="宋体" w:eastAsia="宋体"/>
                <w:sz w:val="18"/>
                <w:szCs w:val="18"/>
              </w:rPr>
            </w:pPr>
          </w:p>
        </w:tc>
        <w:tc>
          <w:tcPr>
            <w:tcW w:w="986" w:type="dxa"/>
            <w:noWrap w:val="0"/>
            <w:vAlign w:val="center"/>
          </w:tcPr>
          <w:p>
            <w:pPr>
              <w:widowControl/>
              <w:spacing w:line="240" w:lineRule="exact"/>
              <w:jc w:val="center"/>
              <w:rPr>
                <w:rFonts w:ascii="宋体" w:hAnsi="宋体" w:eastAsia="宋体"/>
                <w:sz w:val="18"/>
                <w:szCs w:val="18"/>
              </w:rPr>
            </w:pPr>
          </w:p>
        </w:tc>
        <w:tc>
          <w:tcPr>
            <w:tcW w:w="845" w:type="dxa"/>
            <w:noWrap w:val="0"/>
            <w:vAlign w:val="center"/>
          </w:tcPr>
          <w:p>
            <w:pPr>
              <w:widowControl/>
              <w:spacing w:line="240" w:lineRule="exact"/>
              <w:jc w:val="center"/>
              <w:rPr>
                <w:rFonts w:ascii="宋体" w:hAnsi="宋体" w:eastAsia="宋体"/>
                <w:sz w:val="18"/>
                <w:szCs w:val="18"/>
              </w:rPr>
            </w:pPr>
          </w:p>
        </w:tc>
        <w:tc>
          <w:tcPr>
            <w:tcW w:w="1008" w:type="dxa"/>
            <w:noWrap w:val="0"/>
            <w:vAlign w:val="center"/>
          </w:tcPr>
          <w:p>
            <w:pPr>
              <w:widowControl/>
              <w:spacing w:line="240" w:lineRule="exact"/>
              <w:jc w:val="center"/>
              <w:rPr>
                <w:rFonts w:ascii="宋体" w:hAnsi="宋体" w:eastAsia="宋体"/>
                <w:sz w:val="18"/>
                <w:szCs w:val="18"/>
              </w:rPr>
            </w:pPr>
          </w:p>
        </w:tc>
        <w:tc>
          <w:tcPr>
            <w:tcW w:w="1408" w:type="dxa"/>
            <w:noWrap w:val="0"/>
            <w:vAlign w:val="center"/>
          </w:tcPr>
          <w:p>
            <w:pPr>
              <w:widowControl/>
              <w:spacing w:line="240" w:lineRule="exact"/>
              <w:jc w:val="center"/>
              <w:rPr>
                <w:rFonts w:ascii="宋体" w:hAnsi="宋体" w:eastAsia="宋体"/>
                <w:sz w:val="18"/>
                <w:szCs w:val="18"/>
              </w:rPr>
            </w:pPr>
          </w:p>
        </w:tc>
        <w:tc>
          <w:tcPr>
            <w:tcW w:w="1539" w:type="dxa"/>
            <w:noWrap w:val="0"/>
            <w:vAlign w:val="center"/>
          </w:tcPr>
          <w:p>
            <w:pPr>
              <w:widowControl/>
              <w:spacing w:line="240" w:lineRule="exact"/>
              <w:jc w:val="center"/>
              <w:rPr>
                <w:rFonts w:ascii="宋体" w:hAnsi="宋体" w:eastAsia="宋体"/>
                <w:sz w:val="18"/>
                <w:szCs w:val="18"/>
              </w:rPr>
            </w:pPr>
          </w:p>
        </w:tc>
      </w:tr>
    </w:tbl>
    <w:p>
      <w:pPr>
        <w:spacing w:line="400" w:lineRule="exact"/>
        <w:rPr>
          <w:sz w:val="28"/>
          <w:szCs w:val="28"/>
        </w:rPr>
      </w:pPr>
      <w:r>
        <w:rPr>
          <w:rFonts w:hint="eastAsia"/>
          <w:sz w:val="28"/>
          <w:szCs w:val="28"/>
        </w:rPr>
        <w:t>注：1.场所类别根据实际从“高层建筑、施工工地、老旧小区（含大屋脊筒子楼）” 中选填一类。</w:t>
      </w:r>
    </w:p>
    <w:p>
      <w:pPr>
        <w:spacing w:line="400" w:lineRule="exact"/>
        <w:ind w:firstLine="552" w:firstLineChars="200"/>
        <w:rPr>
          <w:sz w:val="28"/>
          <w:szCs w:val="28"/>
        </w:rPr>
      </w:pPr>
      <w:r>
        <w:rPr>
          <w:rFonts w:hint="eastAsia"/>
          <w:sz w:val="28"/>
          <w:szCs w:val="28"/>
        </w:rPr>
        <w:t>2.存在风险类别从“A.违规用火用电用油用气B</w:t>
      </w:r>
      <w:r>
        <w:rPr>
          <w:sz w:val="28"/>
          <w:szCs w:val="28"/>
        </w:rPr>
        <w:t>.</w:t>
      </w:r>
      <w:r>
        <w:rPr>
          <w:rFonts w:hint="eastAsia"/>
          <w:sz w:val="28"/>
          <w:szCs w:val="28"/>
        </w:rPr>
        <w:t>违规动火动焊施工作业C</w:t>
      </w:r>
      <w:r>
        <w:rPr>
          <w:sz w:val="28"/>
          <w:szCs w:val="28"/>
        </w:rPr>
        <w:t>.</w:t>
      </w:r>
      <w:r>
        <w:rPr>
          <w:rFonts w:hint="eastAsia"/>
          <w:sz w:val="28"/>
          <w:szCs w:val="28"/>
        </w:rPr>
        <w:t>电动自行车违规停放充电D.违规存放易燃易爆危险品E</w:t>
      </w:r>
      <w:r>
        <w:rPr>
          <w:sz w:val="28"/>
          <w:szCs w:val="28"/>
        </w:rPr>
        <w:t>.</w:t>
      </w:r>
      <w:r>
        <w:rPr>
          <w:rFonts w:hint="eastAsia"/>
          <w:sz w:val="28"/>
          <w:szCs w:val="28"/>
        </w:rPr>
        <w:t>疏散通道不畅通F</w:t>
      </w:r>
      <w:r>
        <w:rPr>
          <w:sz w:val="28"/>
          <w:szCs w:val="28"/>
        </w:rPr>
        <w:t>.</w:t>
      </w:r>
      <w:r>
        <w:rPr>
          <w:rFonts w:hint="eastAsia"/>
          <w:sz w:val="28"/>
          <w:szCs w:val="28"/>
        </w:rPr>
        <w:t>防火分隔不到位G</w:t>
      </w:r>
      <w:r>
        <w:rPr>
          <w:sz w:val="28"/>
          <w:szCs w:val="28"/>
        </w:rPr>
        <w:t>.</w:t>
      </w:r>
      <w:r>
        <w:rPr>
          <w:rFonts w:hint="eastAsia"/>
          <w:sz w:val="28"/>
          <w:szCs w:val="28"/>
        </w:rPr>
        <w:t>消防设施损坏停用H.违规使用易燃可燃材料装修</w:t>
      </w:r>
      <w:r>
        <w:rPr>
          <w:sz w:val="28"/>
          <w:szCs w:val="28"/>
        </w:rPr>
        <w:t>I.</w:t>
      </w:r>
      <w:r>
        <w:rPr>
          <w:rFonts w:hint="eastAsia"/>
          <w:sz w:val="28"/>
          <w:szCs w:val="28"/>
        </w:rPr>
        <w:t>重点岗位人员责任不落实</w:t>
      </w:r>
      <w:r>
        <w:rPr>
          <w:sz w:val="28"/>
          <w:szCs w:val="28"/>
        </w:rPr>
        <w:t>J.</w:t>
      </w:r>
      <w:r>
        <w:rPr>
          <w:rFonts w:hint="eastAsia"/>
          <w:sz w:val="28"/>
          <w:szCs w:val="28"/>
        </w:rPr>
        <w:t>日常管理机制不健全</w:t>
      </w:r>
      <w:r>
        <w:rPr>
          <w:sz w:val="28"/>
          <w:szCs w:val="28"/>
        </w:rPr>
        <w:t>K.</w:t>
      </w:r>
      <w:r>
        <w:rPr>
          <w:rFonts w:hint="eastAsia"/>
          <w:sz w:val="28"/>
          <w:szCs w:val="28"/>
        </w:rPr>
        <w:t>宣传教育培训不深入”中选填编号即可。</w:t>
      </w:r>
    </w:p>
    <w:p>
      <w:pPr>
        <w:spacing w:line="400" w:lineRule="exact"/>
        <w:ind w:firstLine="552" w:firstLineChars="200"/>
        <w:rPr>
          <w:rFonts w:hint="eastAsia"/>
        </w:rPr>
      </w:pPr>
      <w:r>
        <w:rPr>
          <w:rFonts w:hint="eastAsia"/>
          <w:sz w:val="28"/>
          <w:szCs w:val="28"/>
        </w:rPr>
        <w:t>3.整改时限按照YYYY-MM-DD格式填写，如：2019-5-5。</w:t>
      </w:r>
    </w:p>
    <w:p>
      <w:pPr>
        <w:spacing w:line="400" w:lineRule="exact"/>
        <w:ind w:firstLine="632" w:firstLineChars="200"/>
        <w:rPr>
          <w:rFonts w:hint="eastAsia"/>
        </w:rPr>
        <w:sectPr>
          <w:footerReference r:id="rId12" w:type="first"/>
          <w:pgSz w:w="16838" w:h="11906" w:orient="landscape"/>
          <w:pgMar w:top="1588" w:right="2098" w:bottom="1474" w:left="1985" w:header="851" w:footer="1588" w:gutter="0"/>
          <w:cols w:space="720" w:num="1"/>
          <w:docGrid w:type="linesAndChars" w:linePitch="579" w:charSpace="-849"/>
        </w:sectPr>
      </w:pPr>
    </w:p>
    <w:p>
      <w:pPr>
        <w:adjustRightInd w:val="0"/>
        <w:snapToGrid w:val="0"/>
        <w:spacing w:line="600" w:lineRule="exact"/>
        <w:rPr>
          <w:rFonts w:ascii="黑体" w:hAnsi="宋体" w:eastAsia="黑体"/>
        </w:rPr>
      </w:pPr>
      <w:r>
        <w:rPr>
          <w:rFonts w:hint="eastAsia" w:ascii="黑体" w:hAnsi="宋体" w:eastAsia="黑体"/>
        </w:rPr>
        <w:t>附件</w:t>
      </w:r>
      <w:r>
        <w:rPr>
          <w:rFonts w:ascii="黑体" w:hAnsi="宋体" w:eastAsia="黑体"/>
        </w:rPr>
        <w:t>5</w:t>
      </w: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工作联络表</w:t>
      </w:r>
    </w:p>
    <w:p>
      <w:pPr>
        <w:spacing w:line="600" w:lineRule="exact"/>
        <w:ind w:firstLine="629"/>
        <w:rPr>
          <w:rFonts w:hAnsi="宋体"/>
        </w:rPr>
      </w:pPr>
    </w:p>
    <w:tbl>
      <w:tblPr>
        <w:tblStyle w:val="4"/>
        <w:tblW w:w="943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173"/>
        <w:gridCol w:w="1173"/>
        <w:gridCol w:w="1179"/>
        <w:gridCol w:w="1494"/>
        <w:gridCol w:w="1430"/>
        <w:gridCol w:w="18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1172" w:type="dxa"/>
            <w:vMerge w:val="restart"/>
            <w:noWrap w:val="0"/>
            <w:vAlign w:val="center"/>
          </w:tcPr>
          <w:p>
            <w:pPr>
              <w:spacing w:line="600" w:lineRule="exact"/>
              <w:rPr>
                <w:rFonts w:hAnsi="黑体"/>
              </w:rPr>
            </w:pPr>
            <w:r>
              <w:rPr>
                <w:rFonts w:hint="eastAsia" w:hAnsi="黑体"/>
              </w:rPr>
              <w:t>单位</w:t>
            </w:r>
          </w:p>
        </w:tc>
        <w:tc>
          <w:tcPr>
            <w:tcW w:w="3525" w:type="dxa"/>
            <w:gridSpan w:val="3"/>
            <w:noWrap w:val="0"/>
            <w:vAlign w:val="center"/>
          </w:tcPr>
          <w:p>
            <w:pPr>
              <w:spacing w:line="600" w:lineRule="exact"/>
              <w:jc w:val="center"/>
              <w:rPr>
                <w:rFonts w:hAnsi="黑体"/>
              </w:rPr>
            </w:pPr>
            <w:r>
              <w:rPr>
                <w:rFonts w:hint="eastAsia" w:hAnsi="黑体"/>
              </w:rPr>
              <w:t>主管领导</w:t>
            </w:r>
          </w:p>
        </w:tc>
        <w:tc>
          <w:tcPr>
            <w:tcW w:w="4733" w:type="dxa"/>
            <w:gridSpan w:val="3"/>
            <w:noWrap w:val="0"/>
            <w:vAlign w:val="center"/>
          </w:tcPr>
          <w:p>
            <w:pPr>
              <w:spacing w:line="600" w:lineRule="exact"/>
              <w:jc w:val="center"/>
              <w:rPr>
                <w:rFonts w:hAnsi="黑体"/>
              </w:rPr>
            </w:pPr>
            <w:r>
              <w:rPr>
                <w:rFonts w:hint="eastAsia" w:hAnsi="黑体"/>
              </w:rPr>
              <w:t>联络员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2" w:type="dxa"/>
            <w:vMerge w:val="continue"/>
            <w:noWrap w:val="0"/>
            <w:vAlign w:val="center"/>
          </w:tcPr>
          <w:p>
            <w:pPr>
              <w:spacing w:line="600" w:lineRule="exact"/>
              <w:rPr>
                <w:rFonts w:hAnsi="黑体"/>
              </w:rPr>
            </w:pPr>
          </w:p>
        </w:tc>
        <w:tc>
          <w:tcPr>
            <w:tcW w:w="1173" w:type="dxa"/>
            <w:noWrap w:val="0"/>
            <w:vAlign w:val="center"/>
          </w:tcPr>
          <w:p>
            <w:pPr>
              <w:spacing w:line="600" w:lineRule="exact"/>
              <w:jc w:val="center"/>
              <w:rPr>
                <w:rFonts w:hAnsi="黑体"/>
              </w:rPr>
            </w:pPr>
            <w:r>
              <w:rPr>
                <w:rFonts w:hint="eastAsia" w:hAnsi="黑体"/>
              </w:rPr>
              <w:t>姓名</w:t>
            </w:r>
          </w:p>
        </w:tc>
        <w:tc>
          <w:tcPr>
            <w:tcW w:w="1173" w:type="dxa"/>
            <w:noWrap w:val="0"/>
            <w:vAlign w:val="center"/>
          </w:tcPr>
          <w:p>
            <w:pPr>
              <w:spacing w:line="600" w:lineRule="exact"/>
              <w:jc w:val="center"/>
              <w:rPr>
                <w:rFonts w:hAnsi="黑体"/>
              </w:rPr>
            </w:pPr>
            <w:r>
              <w:rPr>
                <w:rFonts w:hint="eastAsia" w:hAnsi="黑体"/>
              </w:rPr>
              <w:t>职务</w:t>
            </w:r>
          </w:p>
        </w:tc>
        <w:tc>
          <w:tcPr>
            <w:tcW w:w="1179" w:type="dxa"/>
            <w:noWrap w:val="0"/>
            <w:vAlign w:val="center"/>
          </w:tcPr>
          <w:p>
            <w:pPr>
              <w:spacing w:line="600" w:lineRule="exact"/>
              <w:jc w:val="center"/>
              <w:rPr>
                <w:rFonts w:hAnsi="黑体"/>
              </w:rPr>
            </w:pPr>
            <w:r>
              <w:rPr>
                <w:rFonts w:hint="eastAsia" w:hAnsi="黑体"/>
              </w:rPr>
              <w:t>电话</w:t>
            </w:r>
          </w:p>
        </w:tc>
        <w:tc>
          <w:tcPr>
            <w:tcW w:w="1494" w:type="dxa"/>
            <w:noWrap w:val="0"/>
            <w:vAlign w:val="center"/>
          </w:tcPr>
          <w:p>
            <w:pPr>
              <w:spacing w:line="600" w:lineRule="exact"/>
              <w:jc w:val="center"/>
              <w:rPr>
                <w:rFonts w:hAnsi="黑体"/>
              </w:rPr>
            </w:pPr>
            <w:r>
              <w:rPr>
                <w:rFonts w:hint="eastAsia" w:hAnsi="黑体"/>
              </w:rPr>
              <w:t>姓名</w:t>
            </w:r>
          </w:p>
        </w:tc>
        <w:tc>
          <w:tcPr>
            <w:tcW w:w="1430" w:type="dxa"/>
            <w:noWrap w:val="0"/>
            <w:vAlign w:val="center"/>
          </w:tcPr>
          <w:p>
            <w:pPr>
              <w:spacing w:line="600" w:lineRule="exact"/>
              <w:jc w:val="center"/>
              <w:rPr>
                <w:rFonts w:hAnsi="黑体"/>
              </w:rPr>
            </w:pPr>
            <w:r>
              <w:rPr>
                <w:rFonts w:hint="eastAsia" w:hAnsi="黑体"/>
              </w:rPr>
              <w:t>职务</w:t>
            </w:r>
          </w:p>
        </w:tc>
        <w:tc>
          <w:tcPr>
            <w:tcW w:w="1809" w:type="dxa"/>
            <w:noWrap w:val="0"/>
            <w:vAlign w:val="center"/>
          </w:tcPr>
          <w:p>
            <w:pPr>
              <w:spacing w:line="600" w:lineRule="exact"/>
              <w:jc w:val="center"/>
              <w:rPr>
                <w:rFonts w:hAnsi="黑体"/>
              </w:rPr>
            </w:pPr>
            <w:r>
              <w:rPr>
                <w:rFonts w:hint="eastAsia" w:hAnsi="黑体"/>
              </w:rPr>
              <w:t>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jc w:val="center"/>
        </w:trPr>
        <w:tc>
          <w:tcPr>
            <w:tcW w:w="1172" w:type="dxa"/>
            <w:noWrap w:val="0"/>
            <w:vAlign w:val="center"/>
          </w:tcPr>
          <w:p>
            <w:pPr>
              <w:spacing w:line="600" w:lineRule="exact"/>
              <w:rPr>
                <w:rFonts w:hAnsi="宋体"/>
              </w:rPr>
            </w:pPr>
          </w:p>
        </w:tc>
        <w:tc>
          <w:tcPr>
            <w:tcW w:w="1173" w:type="dxa"/>
            <w:noWrap w:val="0"/>
            <w:vAlign w:val="center"/>
          </w:tcPr>
          <w:p>
            <w:pPr>
              <w:spacing w:line="600" w:lineRule="exact"/>
              <w:rPr>
                <w:rFonts w:hAnsi="宋体"/>
              </w:rPr>
            </w:pPr>
          </w:p>
        </w:tc>
        <w:tc>
          <w:tcPr>
            <w:tcW w:w="1173" w:type="dxa"/>
            <w:noWrap w:val="0"/>
            <w:vAlign w:val="center"/>
          </w:tcPr>
          <w:p>
            <w:pPr>
              <w:spacing w:line="600" w:lineRule="exact"/>
              <w:rPr>
                <w:rFonts w:hAnsi="宋体"/>
              </w:rPr>
            </w:pPr>
          </w:p>
        </w:tc>
        <w:tc>
          <w:tcPr>
            <w:tcW w:w="1179" w:type="dxa"/>
            <w:noWrap w:val="0"/>
            <w:vAlign w:val="center"/>
          </w:tcPr>
          <w:p>
            <w:pPr>
              <w:spacing w:line="600" w:lineRule="exact"/>
              <w:rPr>
                <w:rFonts w:hAnsi="宋体"/>
              </w:rPr>
            </w:pPr>
          </w:p>
        </w:tc>
        <w:tc>
          <w:tcPr>
            <w:tcW w:w="1494" w:type="dxa"/>
            <w:noWrap w:val="0"/>
            <w:vAlign w:val="center"/>
          </w:tcPr>
          <w:p>
            <w:pPr>
              <w:spacing w:line="600" w:lineRule="exact"/>
              <w:rPr>
                <w:rFonts w:hAnsi="宋体"/>
              </w:rPr>
            </w:pPr>
          </w:p>
        </w:tc>
        <w:tc>
          <w:tcPr>
            <w:tcW w:w="1430" w:type="dxa"/>
            <w:noWrap w:val="0"/>
            <w:vAlign w:val="center"/>
          </w:tcPr>
          <w:p>
            <w:pPr>
              <w:spacing w:line="600" w:lineRule="exact"/>
              <w:rPr>
                <w:rFonts w:hAnsi="宋体"/>
              </w:rPr>
            </w:pPr>
          </w:p>
        </w:tc>
        <w:tc>
          <w:tcPr>
            <w:tcW w:w="1809" w:type="dxa"/>
            <w:noWrap w:val="0"/>
            <w:vAlign w:val="center"/>
          </w:tcPr>
          <w:p>
            <w:pPr>
              <w:spacing w:line="600" w:lineRule="exact"/>
              <w:rPr>
                <w:rFonts w:hAnsi="宋体"/>
              </w:rPr>
            </w:pPr>
          </w:p>
        </w:tc>
      </w:tr>
    </w:tbl>
    <w:p>
      <w:pPr>
        <w:spacing w:line="600" w:lineRule="exact"/>
        <w:rPr>
          <w:rFonts w:ascii="黑体" w:hAnsi="宋体" w:eastAsia="黑体"/>
        </w:rPr>
      </w:pPr>
    </w:p>
    <w:p>
      <w:pPr>
        <w:widowControl/>
        <w:jc w:val="left"/>
        <w:rPr>
          <w:rFonts w:hint="eastAsia" w:ascii="黑体" w:hAnsi="宋体" w:eastAsia="黑体"/>
        </w:rPr>
      </w:pPr>
    </w:p>
    <w:p>
      <w:pPr>
        <w:widowControl/>
        <w:jc w:val="left"/>
        <w:rPr>
          <w:rFonts w:hint="eastAsia" w:ascii="黑体" w:hAnsi="宋体" w:eastAsia="黑体"/>
        </w:rPr>
      </w:pPr>
    </w:p>
    <w:p>
      <w:pPr>
        <w:widowControl/>
        <w:jc w:val="left"/>
        <w:rPr>
          <w:rFonts w:hint="eastAsia" w:ascii="黑体" w:hAnsi="宋体" w:eastAsia="黑体"/>
        </w:rPr>
      </w:pPr>
    </w:p>
    <w:p>
      <w:pPr>
        <w:spacing w:line="560" w:lineRule="exact"/>
        <w:rPr>
          <w:rFonts w:hint="eastAsia"/>
          <w:szCs w:val="32"/>
        </w:rPr>
      </w:pPr>
    </w:p>
    <w:p>
      <w:pPr>
        <w:spacing w:line="560" w:lineRule="exact"/>
        <w:rPr>
          <w:rFonts w:hint="eastAsia"/>
          <w:szCs w:val="32"/>
        </w:rPr>
      </w:pPr>
    </w:p>
    <w:p>
      <w:pPr>
        <w:spacing w:line="560" w:lineRule="exact"/>
        <w:rPr>
          <w:rFonts w:hint="eastAsia"/>
          <w:szCs w:val="32"/>
        </w:rPr>
      </w:pPr>
    </w:p>
    <w:p>
      <w:pPr>
        <w:spacing w:line="560" w:lineRule="exact"/>
        <w:rPr>
          <w:rFonts w:hint="eastAsia"/>
          <w:szCs w:val="32"/>
        </w:rPr>
      </w:pPr>
    </w:p>
    <w:p>
      <w:pPr>
        <w:spacing w:line="560" w:lineRule="exact"/>
        <w:rPr>
          <w:rFonts w:hint="eastAsia"/>
          <w:szCs w:val="32"/>
        </w:rPr>
      </w:pPr>
    </w:p>
    <w:p>
      <w:pPr>
        <w:spacing w:line="560" w:lineRule="exact"/>
        <w:rPr>
          <w:rFonts w:hint="eastAsia"/>
          <w:szCs w:val="32"/>
        </w:rPr>
      </w:pPr>
    </w:p>
    <w:p>
      <w:pPr>
        <w:spacing w:line="560" w:lineRule="exact"/>
        <w:rPr>
          <w:rFonts w:hint="eastAsia"/>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Arial Unicode MS"/>
    <w:panose1 w:val="02010609060101010101"/>
    <w:charset w:val="86"/>
    <w:family w:val="modern"/>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30"/>
        <w:szCs w:val="30"/>
      </w:rPr>
    </w:pPr>
    <w:r>
      <w:rPr>
        <w:sz w:val="30"/>
        <w:szCs w:val="30"/>
      </w:rPr>
      <w:fldChar w:fldCharType="begin"/>
    </w:r>
    <w:r>
      <w:rPr>
        <w:sz w:val="30"/>
        <w:szCs w:val="30"/>
      </w:rPr>
      <w:instrText xml:space="preserve">PAGE   \* MERGEFORMAT</w:instrText>
    </w:r>
    <w:r>
      <w:rPr>
        <w:sz w:val="30"/>
        <w:szCs w:val="30"/>
      </w:rPr>
      <w:fldChar w:fldCharType="separate"/>
    </w:r>
    <w:r>
      <w:rPr>
        <w:sz w:val="30"/>
        <w:szCs w:val="30"/>
        <w:lang w:val="zh-CN"/>
      </w:rPr>
      <w:t>-</w:t>
    </w:r>
    <w:r>
      <w:rPr>
        <w:sz w:val="30"/>
        <w:szCs w:val="30"/>
      </w:rPr>
      <w:t xml:space="preserve"> 1 -</w:t>
    </w:r>
    <w:r>
      <w:rPr>
        <w:sz w:val="30"/>
        <w:szCs w:val="30"/>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30"/>
        <w:szCs w:val="30"/>
      </w:rPr>
    </w:pPr>
    <w:r>
      <w:rPr>
        <w:sz w:val="30"/>
        <w:szCs w:val="30"/>
      </w:rPr>
      <w:fldChar w:fldCharType="begin"/>
    </w:r>
    <w:r>
      <w:rPr>
        <w:sz w:val="30"/>
        <w:szCs w:val="30"/>
      </w:rPr>
      <w:instrText xml:space="preserve">PAGE   \* MERGEFORMAT</w:instrText>
    </w:r>
    <w:r>
      <w:rPr>
        <w:sz w:val="30"/>
        <w:szCs w:val="30"/>
      </w:rPr>
      <w:fldChar w:fldCharType="separate"/>
    </w:r>
    <w:r>
      <w:rPr>
        <w:sz w:val="30"/>
        <w:szCs w:val="30"/>
        <w:lang w:val="zh-CN"/>
      </w:rPr>
      <w:t>-</w:t>
    </w:r>
    <w:r>
      <w:rPr>
        <w:sz w:val="30"/>
        <w:szCs w:val="30"/>
      </w:rPr>
      <w:t xml:space="preserve"> 20 -</w:t>
    </w:r>
    <w:r>
      <w:rPr>
        <w:sz w:val="30"/>
        <w:szCs w:val="30"/>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sz w:val="28"/>
        <w:szCs w:val="28"/>
      </w:rPr>
    </w:pPr>
    <w:r>
      <w:rPr>
        <w:rFonts w:hint="eastAsia"/>
        <w:sz w:val="28"/>
        <w:szCs w:val="28"/>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ascii="仿宋_GB2312"/>
        <w:sz w:val="28"/>
        <w:szCs w:val="28"/>
      </w:rPr>
    </w:pPr>
    <w:r>
      <w:rPr>
        <w:rStyle w:val="6"/>
        <w:rFonts w:hint="eastAsia" w:ascii="仿宋_GB2312"/>
        <w:sz w:val="28"/>
        <w:szCs w:val="28"/>
      </w:rPr>
      <w:t>-</w:t>
    </w:r>
    <w:r>
      <w:rPr>
        <w:rFonts w:hint="eastAsia"/>
        <w:sz w:val="28"/>
        <w:szCs w:val="28"/>
      </w:rPr>
      <w:fldChar w:fldCharType="begin"/>
    </w:r>
    <w:r>
      <w:rPr>
        <w:rStyle w:val="6"/>
        <w:rFonts w:hint="eastAsia" w:ascii="仿宋_GB2312"/>
        <w:sz w:val="28"/>
        <w:szCs w:val="28"/>
      </w:rPr>
      <w:instrText xml:space="preserve">PAGE  </w:instrText>
    </w:r>
    <w:r>
      <w:rPr>
        <w:rFonts w:hint="eastAsia"/>
        <w:sz w:val="28"/>
        <w:szCs w:val="28"/>
      </w:rPr>
      <w:fldChar w:fldCharType="separate"/>
    </w:r>
    <w:r>
      <w:rPr>
        <w:rStyle w:val="6"/>
        <w:rFonts w:ascii="仿宋_GB2312"/>
        <w:sz w:val="28"/>
        <w:szCs w:val="28"/>
      </w:rPr>
      <w:t>23</w:t>
    </w:r>
    <w:r>
      <w:rPr>
        <w:rFonts w:hint="eastAsia"/>
        <w:sz w:val="28"/>
        <w:szCs w:val="28"/>
      </w:rPr>
      <w:fldChar w:fldCharType="end"/>
    </w:r>
    <w:r>
      <w:rPr>
        <w:rStyle w:val="6"/>
        <w:rFonts w:hint="eastAsia" w:ascii="仿宋_GB2312"/>
        <w:sz w:val="28"/>
        <w:szCs w:val="28"/>
      </w:rPr>
      <w:t>-</w:t>
    </w:r>
  </w:p>
  <w:p>
    <w:pPr>
      <w:pStyle w:val="2"/>
      <w:ind w:right="360" w:firstLine="360"/>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30"/>
        <w:szCs w:val="30"/>
      </w:rPr>
    </w:pPr>
    <w:r>
      <w:rPr>
        <w:sz w:val="30"/>
        <w:szCs w:val="30"/>
      </w:rPr>
      <w:fldChar w:fldCharType="begin"/>
    </w:r>
    <w:r>
      <w:rPr>
        <w:sz w:val="30"/>
        <w:szCs w:val="30"/>
      </w:rPr>
      <w:instrText xml:space="preserve">PAGE   \* MERGEFORMAT</w:instrText>
    </w:r>
    <w:r>
      <w:rPr>
        <w:sz w:val="30"/>
        <w:szCs w:val="30"/>
      </w:rPr>
      <w:fldChar w:fldCharType="separate"/>
    </w:r>
    <w:r>
      <w:rPr>
        <w:sz w:val="30"/>
        <w:szCs w:val="30"/>
        <w:lang w:val="zh-CN"/>
      </w:rPr>
      <w:t>-</w:t>
    </w:r>
    <w:r>
      <w:rPr>
        <w:sz w:val="30"/>
        <w:szCs w:val="30"/>
      </w:rPr>
      <w:t xml:space="preserve"> 22 -</w:t>
    </w:r>
    <w:r>
      <w:rPr>
        <w:sz w:val="30"/>
        <w:szCs w:val="30"/>
      </w:rPr>
      <w:fldChar w:fldCharType="end"/>
    </w: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Verdana"/>
        <w:sz w:val="28"/>
        <w:szCs w:val="28"/>
      </w:rPr>
    </w:pPr>
    <w:r>
      <w:rPr>
        <w:rFonts w:ascii="Verdana"/>
        <w:sz w:val="28"/>
        <w:szCs w:val="28"/>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54B12"/>
    <w:multiLevelType w:val="multilevel"/>
    <w:tmpl w:val="61954B12"/>
    <w:lvl w:ilvl="0" w:tentative="0">
      <w:start w:val="1"/>
      <w:numFmt w:val="japaneseCounting"/>
      <w:lvlText w:val="%1、"/>
      <w:lvlJc w:val="left"/>
      <w:pPr>
        <w:ind w:left="1352" w:hanging="720"/>
      </w:pPr>
      <w:rPr>
        <w:rFonts w:hint="default" w:ascii="黑体" w:hAnsi="黑体" w:eastAsia="黑体"/>
      </w:rPr>
    </w:lvl>
    <w:lvl w:ilvl="1" w:tentative="0">
      <w:start w:val="1"/>
      <w:numFmt w:val="lowerLetter"/>
      <w:lvlText w:val="%2)"/>
      <w:lvlJc w:val="left"/>
      <w:pPr>
        <w:ind w:left="1472" w:hanging="420"/>
      </w:pPr>
    </w:lvl>
    <w:lvl w:ilvl="2" w:tentative="0">
      <w:start w:val="1"/>
      <w:numFmt w:val="lowerRoman"/>
      <w:lvlText w:val="%3."/>
      <w:lvlJc w:val="right"/>
      <w:pPr>
        <w:ind w:left="1892" w:hanging="420"/>
      </w:pPr>
    </w:lvl>
    <w:lvl w:ilvl="3" w:tentative="0">
      <w:start w:val="1"/>
      <w:numFmt w:val="decimal"/>
      <w:lvlText w:val="%4."/>
      <w:lvlJc w:val="left"/>
      <w:pPr>
        <w:ind w:left="2312" w:hanging="420"/>
      </w:pPr>
    </w:lvl>
    <w:lvl w:ilvl="4" w:tentative="0">
      <w:start w:val="1"/>
      <w:numFmt w:val="lowerLetter"/>
      <w:lvlText w:val="%5)"/>
      <w:lvlJc w:val="left"/>
      <w:pPr>
        <w:ind w:left="2732" w:hanging="420"/>
      </w:pPr>
    </w:lvl>
    <w:lvl w:ilvl="5" w:tentative="0">
      <w:start w:val="1"/>
      <w:numFmt w:val="lowerRoman"/>
      <w:lvlText w:val="%6."/>
      <w:lvlJc w:val="right"/>
      <w:pPr>
        <w:ind w:left="3152" w:hanging="420"/>
      </w:pPr>
    </w:lvl>
    <w:lvl w:ilvl="6" w:tentative="0">
      <w:start w:val="1"/>
      <w:numFmt w:val="decimal"/>
      <w:lvlText w:val="%7."/>
      <w:lvlJc w:val="left"/>
      <w:pPr>
        <w:ind w:left="3572" w:hanging="420"/>
      </w:pPr>
    </w:lvl>
    <w:lvl w:ilvl="7" w:tentative="0">
      <w:start w:val="1"/>
      <w:numFmt w:val="lowerLetter"/>
      <w:lvlText w:val="%8)"/>
      <w:lvlJc w:val="left"/>
      <w:pPr>
        <w:ind w:left="3992" w:hanging="420"/>
      </w:pPr>
    </w:lvl>
    <w:lvl w:ilvl="8" w:tentative="0">
      <w:start w:val="1"/>
      <w:numFmt w:val="lowerRoman"/>
      <w:lvlText w:val="%9."/>
      <w:lvlJc w:val="right"/>
      <w:pPr>
        <w:ind w:left="44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7E7FD3"/>
    <w:rsid w:val="2B7E7F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hAnsi="Verdana" w:cs="Verdana"/>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uiPriority w:val="0"/>
    <w:rPr>
      <w:rFonts w:ascii="Verdana" w:hAnsi="Verdana" w:eastAsia="仿宋_GB2312" w:cs="Verdana"/>
      <w:kern w:val="0"/>
      <w:sz w:val="24"/>
      <w:lang w:eastAsia="en-US"/>
    </w:rPr>
  </w:style>
  <w:style w:type="character" w:styleId="7">
    <w:name w:val="Hyperlink"/>
    <w:uiPriority w:val="0"/>
    <w:rPr>
      <w:rFonts w:ascii="Verdana" w:hAnsi="Verdana" w:eastAsia="仿宋_GB2312" w:cs="Verdana"/>
      <w:color w:val="0000FF"/>
      <w:kern w:val="0"/>
      <w:sz w:val="24"/>
      <w:u w:val="single"/>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2019-06-14T02:48:00Z</dcterms:created>
  <dc:creator>大通州帝国公民（魏巍）</dc:creator>
  <cp:lastModifiedBy>大通州帝国公民（魏巍）</cp:lastModifiedBy>
  <dcterms:modified xsi:type="dcterms:W3CDTF">2019-06-14T02:49:11Z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