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before="120" w:beforeLines="50" w:after="200" w:line="360" w:lineRule="auto"/>
        <w:ind w:firstLine="198" w:firstLineChars="62"/>
        <w:rPr>
          <w:rFonts w:ascii="黑体" w:hAnsi="黑体" w:eastAsia="黑体"/>
          <w:sz w:val="10"/>
          <w:szCs w:val="10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ascii="黑体" w:hAnsi="黑体" w:eastAsia="黑体"/>
          <w:sz w:val="32"/>
          <w:szCs w:val="32"/>
        </w:rPr>
        <w:t>8</w:t>
      </w:r>
    </w:p>
    <w:p>
      <w:pPr>
        <w:snapToGrid w:val="0"/>
        <w:spacing w:after="200"/>
        <w:ind w:firstLine="880" w:firstLineChars="200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hAnsi="宋体" w:eastAsia="方正小标宋简体"/>
          <w:sz w:val="44"/>
          <w:szCs w:val="44"/>
        </w:rPr>
        <w:t>北京市建筑材料使用管理专项检查表</w:t>
      </w:r>
    </w:p>
    <w:tbl>
      <w:tblPr>
        <w:tblStyle w:val="3"/>
        <w:tblW w:w="142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8"/>
        <w:gridCol w:w="2133"/>
        <w:gridCol w:w="1246"/>
        <w:gridCol w:w="1559"/>
        <w:gridCol w:w="1572"/>
        <w:gridCol w:w="638"/>
        <w:gridCol w:w="496"/>
        <w:gridCol w:w="1287"/>
        <w:gridCol w:w="1252"/>
        <w:gridCol w:w="1076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78" w:type="dxa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工程名称</w:t>
            </w:r>
          </w:p>
        </w:tc>
        <w:tc>
          <w:tcPr>
            <w:tcW w:w="3379" w:type="dxa"/>
            <w:gridSpan w:val="2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施工许可证号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检查日期</w:t>
            </w: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tabs>
                <w:tab w:val="left" w:pos="495"/>
                <w:tab w:val="center" w:pos="891"/>
              </w:tabs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监督机构</w:t>
            </w:r>
          </w:p>
        </w:tc>
        <w:tc>
          <w:tcPr>
            <w:tcW w:w="2919" w:type="dxa"/>
            <w:gridSpan w:val="2"/>
            <w:vAlign w:val="center"/>
          </w:tcPr>
          <w:p>
            <w:pPr>
              <w:tabs>
                <w:tab w:val="left" w:pos="495"/>
                <w:tab w:val="center" w:pos="891"/>
              </w:tabs>
              <w:adjustRightInd w:val="0"/>
              <w:snapToGrid w:val="0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1178" w:type="dxa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施工单位</w:t>
            </w:r>
          </w:p>
        </w:tc>
        <w:tc>
          <w:tcPr>
            <w:tcW w:w="3379" w:type="dxa"/>
            <w:gridSpan w:val="2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结构形式</w:t>
            </w:r>
          </w:p>
        </w:tc>
        <w:tc>
          <w:tcPr>
            <w:tcW w:w="1572" w:type="dxa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建筑面积</w:t>
            </w:r>
          </w:p>
        </w:tc>
        <w:tc>
          <w:tcPr>
            <w:tcW w:w="1287" w:type="dxa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252" w:type="dxa"/>
            <w:vAlign w:val="center"/>
          </w:tcPr>
          <w:p>
            <w:pPr>
              <w:tabs>
                <w:tab w:val="left" w:pos="495"/>
                <w:tab w:val="center" w:pos="891"/>
              </w:tabs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检查人员</w:t>
            </w:r>
          </w:p>
        </w:tc>
        <w:tc>
          <w:tcPr>
            <w:tcW w:w="2919" w:type="dxa"/>
            <w:gridSpan w:val="2"/>
            <w:vAlign w:val="center"/>
          </w:tcPr>
          <w:p>
            <w:pPr>
              <w:tabs>
                <w:tab w:val="left" w:pos="495"/>
                <w:tab w:val="center" w:pos="891"/>
              </w:tabs>
              <w:adjustRightInd w:val="0"/>
              <w:snapToGrid w:val="0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78" w:type="dxa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监理单位</w:t>
            </w:r>
          </w:p>
        </w:tc>
        <w:tc>
          <w:tcPr>
            <w:tcW w:w="3379" w:type="dxa"/>
            <w:gridSpan w:val="2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559" w:type="dxa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施工单位属性</w:t>
            </w:r>
          </w:p>
        </w:tc>
        <w:tc>
          <w:tcPr>
            <w:tcW w:w="3993" w:type="dxa"/>
            <w:gridSpan w:val="4"/>
            <w:vAlign w:val="center"/>
          </w:tcPr>
          <w:p>
            <w:pPr>
              <w:adjustRightInd w:val="0"/>
              <w:snapToGrid w:val="0"/>
              <w:ind w:firstLine="199" w:firstLineChars="95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中央在京□</w:t>
            </w:r>
            <w:r>
              <w:rPr>
                <w:rFonts w:ascii="宋体" w:hAnsi="宋体"/>
                <w:szCs w:val="21"/>
              </w:rPr>
              <w:t xml:space="preserve">         </w:t>
            </w:r>
            <w:r>
              <w:rPr>
                <w:rFonts w:hint="eastAsia" w:ascii="宋体" w:hAnsi="宋体"/>
                <w:szCs w:val="21"/>
              </w:rPr>
              <w:t>市属国企□</w:t>
            </w:r>
          </w:p>
          <w:p>
            <w:pPr>
              <w:adjustRightInd w:val="0"/>
              <w:snapToGrid w:val="0"/>
              <w:ind w:firstLine="199" w:firstLineChars="95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外地进京□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本市民营及其他□</w:t>
            </w:r>
          </w:p>
        </w:tc>
        <w:tc>
          <w:tcPr>
            <w:tcW w:w="1252" w:type="dxa"/>
            <w:vAlign w:val="center"/>
          </w:tcPr>
          <w:p>
            <w:pPr>
              <w:tabs>
                <w:tab w:val="left" w:pos="495"/>
                <w:tab w:val="center" w:pos="891"/>
              </w:tabs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资质等级</w:t>
            </w:r>
          </w:p>
        </w:tc>
        <w:tc>
          <w:tcPr>
            <w:tcW w:w="2919" w:type="dxa"/>
            <w:gridSpan w:val="2"/>
            <w:vAlign w:val="center"/>
          </w:tcPr>
          <w:p>
            <w:pPr>
              <w:tabs>
                <w:tab w:val="left" w:pos="495"/>
                <w:tab w:val="center" w:pos="891"/>
              </w:tabs>
              <w:adjustRightInd w:val="0"/>
              <w:snapToGrid w:val="0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6" w:hRule="atLeast"/>
          <w:jc w:val="center"/>
        </w:trPr>
        <w:tc>
          <w:tcPr>
            <w:tcW w:w="1178" w:type="dxa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工程性质</w:t>
            </w:r>
          </w:p>
        </w:tc>
        <w:tc>
          <w:tcPr>
            <w:tcW w:w="4938" w:type="dxa"/>
            <w:gridSpan w:val="3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工业厂房□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房屋建筑□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hint="eastAsia" w:ascii="宋体" w:hAnsi="宋体"/>
                <w:szCs w:val="21"/>
              </w:rPr>
              <w:t>其它□</w:t>
            </w:r>
          </w:p>
        </w:tc>
        <w:tc>
          <w:tcPr>
            <w:tcW w:w="2210" w:type="dxa"/>
            <w:gridSpan w:val="2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联系人及联系方式</w:t>
            </w:r>
          </w:p>
        </w:tc>
        <w:tc>
          <w:tcPr>
            <w:tcW w:w="3035" w:type="dxa"/>
            <w:gridSpan w:val="3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ind w:firstLine="199" w:firstLineChars="95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得分</w:t>
            </w: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ind w:firstLine="525" w:firstLineChars="25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政策执行情况（</w:t>
            </w:r>
            <w:r>
              <w:rPr>
                <w:rFonts w:ascii="宋体" w:hAnsi="宋体"/>
                <w:szCs w:val="21"/>
              </w:rPr>
              <w:t>40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2133" w:type="dxa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采购备案</w:t>
            </w: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6798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未进行采购备案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备案信息与工程进度、现场实物是否相符</w:t>
            </w: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（每少一个批次信息或出现一次信息不一致的扣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分，最高扣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1252" w:type="dxa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～</w:t>
            </w:r>
            <w:r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133" w:type="dxa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其他政策执行</w:t>
            </w: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6798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违反建材使用管理的“禁限”或其他政策</w:t>
            </w: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（每发现一种违法违规行为扣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分，最高扣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1252" w:type="dxa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～</w:t>
            </w:r>
            <w:r>
              <w:rPr>
                <w:rFonts w:ascii="宋体" w:hAnsi="宋体"/>
                <w:szCs w:val="21"/>
              </w:rPr>
              <w:t>20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制度建设情况（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2133" w:type="dxa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物资管理制度制定</w:t>
            </w: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6798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未能出示施工现场物资管理制度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能出示施工现场物资管理制度</w:t>
            </w:r>
          </w:p>
        </w:tc>
        <w:tc>
          <w:tcPr>
            <w:tcW w:w="1252" w:type="dxa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0/2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133" w:type="dxa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材料试验计划制定</w:t>
            </w: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6798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未能出示材料试验计划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能出示材料试验计划，但存在问题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能出示完整的材料试验计划</w:t>
            </w:r>
          </w:p>
        </w:tc>
        <w:tc>
          <w:tcPr>
            <w:tcW w:w="1252" w:type="dxa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0/2/5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133" w:type="dxa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材料采购手续</w:t>
            </w: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6798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未能出示主要建材的采购合同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能出示部分主要建材的采购合同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能出示主要建材的采购合同</w:t>
            </w:r>
          </w:p>
        </w:tc>
        <w:tc>
          <w:tcPr>
            <w:tcW w:w="1252" w:type="dxa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0/2/4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133" w:type="dxa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不合格材料台账</w:t>
            </w: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4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6798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未能出示不合格材料处理台账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能出示简单的不合格材料记录，但信息不完整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能出示详细的不合格材料处理流程及记录</w:t>
            </w:r>
          </w:p>
        </w:tc>
        <w:tc>
          <w:tcPr>
            <w:tcW w:w="1252" w:type="dxa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0/2/4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133" w:type="dxa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专业人员配备</w:t>
            </w: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5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6798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方正小标宋简体" w:hAnsi="华文中宋" w:eastAsia="方正小标宋简体"/>
                <w:sz w:val="44"/>
                <w:szCs w:val="44"/>
              </w:rPr>
            </w:pPr>
            <w:r>
              <w:rPr>
                <w:rFonts w:hint="eastAsia" w:ascii="宋体" w:hAnsi="宋体"/>
                <w:szCs w:val="21"/>
              </w:rPr>
              <w:t>材料管理人员未持有省级建设行政主管部门颁发的岗位证书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持证上岗，但人数不符合京建发〔</w:t>
            </w:r>
            <w:r>
              <w:rPr>
                <w:rFonts w:ascii="宋体" w:hAnsi="宋体"/>
                <w:szCs w:val="21"/>
              </w:rPr>
              <w:t>2013</w:t>
            </w:r>
            <w:r>
              <w:rPr>
                <w:rFonts w:hint="eastAsia" w:ascii="宋体" w:hAnsi="宋体"/>
                <w:szCs w:val="21"/>
              </w:rPr>
              <w:t>〕</w:t>
            </w:r>
            <w:r>
              <w:rPr>
                <w:rFonts w:ascii="宋体" w:hAnsi="宋体"/>
                <w:szCs w:val="21"/>
              </w:rPr>
              <w:t>536</w:t>
            </w:r>
            <w:r>
              <w:rPr>
                <w:rFonts w:hint="eastAsia" w:ascii="宋体" w:hAnsi="宋体"/>
                <w:szCs w:val="21"/>
              </w:rPr>
              <w:t>号要求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持证上岗人数符合京建发〔</w:t>
            </w:r>
            <w:r>
              <w:rPr>
                <w:rFonts w:ascii="宋体" w:hAnsi="宋体"/>
                <w:szCs w:val="21"/>
              </w:rPr>
              <w:t>2013</w:t>
            </w:r>
            <w:r>
              <w:rPr>
                <w:rFonts w:hint="eastAsia" w:ascii="宋体" w:hAnsi="宋体"/>
                <w:szCs w:val="21"/>
              </w:rPr>
              <w:t>〕</w:t>
            </w:r>
            <w:r>
              <w:rPr>
                <w:rFonts w:ascii="宋体" w:hAnsi="宋体"/>
                <w:szCs w:val="21"/>
              </w:rPr>
              <w:t>536</w:t>
            </w:r>
            <w:r>
              <w:rPr>
                <w:rFonts w:hint="eastAsia" w:ascii="宋体" w:hAnsi="宋体"/>
                <w:szCs w:val="21"/>
              </w:rPr>
              <w:t>号要求</w:t>
            </w:r>
          </w:p>
        </w:tc>
        <w:tc>
          <w:tcPr>
            <w:tcW w:w="1252" w:type="dxa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0/2/5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  <w:jc w:val="center"/>
        </w:trPr>
        <w:tc>
          <w:tcPr>
            <w:tcW w:w="1178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ascii="黑体" w:hAnsi="黑体" w:eastAsia="黑体"/>
                <w:kern w:val="0"/>
                <w:sz w:val="32"/>
                <w:szCs w:val="32"/>
              </w:rPr>
              <w:br w:type="page"/>
            </w:r>
            <w:r>
              <w:rPr>
                <w:rFonts w:hint="eastAsia" w:ascii="宋体" w:hAnsi="宋体"/>
                <w:szCs w:val="21"/>
              </w:rPr>
              <w:t>现场管理情况</w:t>
            </w: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40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2133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进场材料资料管理</w:t>
            </w:r>
          </w:p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6798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未能出示入库台账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能出示入库台账，但材料入库时间、单位、批次、规格、数量等信息不完整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能出示较为完整的信息化入库台账记录</w:t>
            </w:r>
          </w:p>
        </w:tc>
        <w:tc>
          <w:tcPr>
            <w:tcW w:w="1252" w:type="dxa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0/2/4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1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6798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未能出示出库台账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能出示出库台账，但材料出库时间、单位、批次、规格、数量等信息不完整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能出示较为完整的信息化出库台账记录</w:t>
            </w:r>
          </w:p>
        </w:tc>
        <w:tc>
          <w:tcPr>
            <w:tcW w:w="1252" w:type="dxa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0/2/4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1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6798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材料进场相关证明文件及采购证明是否齐全</w:t>
            </w: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（抽查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种材料，每缺少一份资料扣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分，最高扣</w:t>
            </w:r>
            <w:r>
              <w:rPr>
                <w:rFonts w:ascii="宋体" w:hAnsi="宋体"/>
                <w:szCs w:val="21"/>
              </w:rPr>
              <w:t>8</w:t>
            </w:r>
            <w:r>
              <w:rPr>
                <w:rFonts w:hint="eastAsia" w:ascii="宋体" w:hAnsi="宋体"/>
                <w:szCs w:val="21"/>
              </w:rPr>
              <w:t>分。证明文件包括产品合格证、产品出厂检验报告或材质单、产品生产许可证书和国家强制性认证证书、有资质检验单位出具的产品检验报告等，采购证明主要包括供应单位营业执照、随货清单或发票等）。</w:t>
            </w:r>
          </w:p>
        </w:tc>
        <w:tc>
          <w:tcPr>
            <w:tcW w:w="1252" w:type="dxa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～</w:t>
            </w: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1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6798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未能提供复检台账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能提供复检台账，但记录不全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能提供完整复检台账</w:t>
            </w:r>
          </w:p>
        </w:tc>
        <w:tc>
          <w:tcPr>
            <w:tcW w:w="1252" w:type="dxa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0/2/4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133" w:type="dxa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现场材料存储</w:t>
            </w:r>
          </w:p>
          <w:p>
            <w:pPr>
              <w:adjustRightInd w:val="0"/>
              <w:snapToGrid w:val="0"/>
              <w:ind w:firstLine="199" w:firstLineChars="95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</w:t>
            </w:r>
            <w:r>
              <w:rPr>
                <w:rFonts w:ascii="宋体" w:hAnsi="宋体"/>
                <w:szCs w:val="21"/>
              </w:rPr>
              <w:t>20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6798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材料存储未按照合格品与不合格品区分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材料存储按照合格品与不合格品简单区分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材料存储按照合格品与不合格品区分，标识清晰</w:t>
            </w:r>
          </w:p>
        </w:tc>
        <w:tc>
          <w:tcPr>
            <w:tcW w:w="1252" w:type="dxa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0/2/4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1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6798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材料存储无明显标牌信息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材料存储有简单标牌信息</w:t>
            </w:r>
            <w:r>
              <w:rPr>
                <w:rFonts w:ascii="宋体" w:hAnsi="宋体"/>
                <w:szCs w:val="21"/>
              </w:rPr>
              <w:t>/</w:t>
            </w:r>
            <w:r>
              <w:rPr>
                <w:rFonts w:hint="eastAsia" w:ascii="宋体" w:hAnsi="宋体"/>
                <w:szCs w:val="21"/>
              </w:rPr>
              <w:t>材料存储有详细、明显的标牌信息</w:t>
            </w:r>
          </w:p>
        </w:tc>
        <w:tc>
          <w:tcPr>
            <w:tcW w:w="1252" w:type="dxa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ascii="宋体" w:hAnsi="宋体"/>
                <w:szCs w:val="21"/>
              </w:rPr>
              <w:t>0/2/4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78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2133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szCs w:val="21"/>
              </w:rPr>
            </w:pPr>
          </w:p>
        </w:tc>
        <w:tc>
          <w:tcPr>
            <w:tcW w:w="6798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现场材料存储合理性</w:t>
            </w:r>
          </w:p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（见材料存储要求：每出现一项不合格扣</w:t>
            </w:r>
            <w:r>
              <w:rPr>
                <w:rFonts w:ascii="宋体" w:hAnsi="宋体"/>
                <w:szCs w:val="21"/>
              </w:rPr>
              <w:t>2</w:t>
            </w:r>
            <w:r>
              <w:rPr>
                <w:rFonts w:hint="eastAsia" w:ascii="宋体" w:hAnsi="宋体"/>
                <w:szCs w:val="21"/>
              </w:rPr>
              <w:t>分，最高扣</w:t>
            </w:r>
            <w:r>
              <w:rPr>
                <w:rFonts w:ascii="宋体" w:hAnsi="宋体"/>
                <w:szCs w:val="21"/>
              </w:rPr>
              <w:t>12</w:t>
            </w:r>
            <w:r>
              <w:rPr>
                <w:rFonts w:hint="eastAsia" w:ascii="宋体" w:hAnsi="宋体"/>
                <w:szCs w:val="21"/>
              </w:rPr>
              <w:t>分）</w:t>
            </w:r>
          </w:p>
        </w:tc>
        <w:tc>
          <w:tcPr>
            <w:tcW w:w="1252" w:type="dxa"/>
            <w:vAlign w:val="center"/>
          </w:tcPr>
          <w:p>
            <w:pPr>
              <w:adjustRightInd w:val="0"/>
              <w:snapToGrid w:val="0"/>
              <w:rPr>
                <w:rFonts w:ascii="宋体"/>
                <w:szCs w:val="21"/>
              </w:rPr>
            </w:pPr>
            <w:r>
              <w:rPr>
                <w:rFonts w:ascii="宋体"/>
                <w:szCs w:val="21"/>
              </w:rPr>
              <w:t>0</w:t>
            </w:r>
            <w:r>
              <w:rPr>
                <w:rFonts w:hint="eastAsia" w:ascii="宋体" w:hAnsi="宋体"/>
                <w:szCs w:val="21"/>
              </w:rPr>
              <w:t>～</w:t>
            </w:r>
            <w:r>
              <w:rPr>
                <w:rFonts w:ascii="宋体" w:hAnsi="宋体"/>
                <w:szCs w:val="21"/>
              </w:rPr>
              <w:t>12</w:t>
            </w:r>
          </w:p>
        </w:tc>
        <w:tc>
          <w:tcPr>
            <w:tcW w:w="1076" w:type="dxa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843" w:type="dxa"/>
            <w:vAlign w:val="center"/>
          </w:tcPr>
          <w:p>
            <w:pPr>
              <w:adjustRightInd w:val="0"/>
              <w:snapToGrid w:val="0"/>
              <w:ind w:firstLine="420" w:firstLineChars="200"/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spacing w:after="200" w:line="312" w:lineRule="auto"/>
        <w:ind w:firstLine="422" w:firstLineChars="200"/>
        <w:rPr>
          <w:b/>
          <w:szCs w:val="21"/>
        </w:rPr>
      </w:pPr>
      <w:r>
        <w:rPr>
          <w:rFonts w:hint="eastAsia"/>
          <w:b/>
          <w:szCs w:val="21"/>
        </w:rPr>
        <w:t>材料存储要求：</w:t>
      </w:r>
    </w:p>
    <w:p>
      <w:pPr>
        <w:spacing w:line="312" w:lineRule="auto"/>
        <w:rPr>
          <w:rFonts w:asciiTheme="minorEastAsia" w:hAnsiTheme="minorEastAsia"/>
          <w:sz w:val="18"/>
          <w:szCs w:val="18"/>
        </w:rPr>
      </w:pPr>
      <w:r>
        <w:rPr>
          <w:rFonts w:hint="eastAsia" w:asciiTheme="minorEastAsia" w:hAnsiTheme="minorEastAsia"/>
          <w:sz w:val="18"/>
          <w:szCs w:val="18"/>
        </w:rPr>
        <w:t>1.腻子、石膏等易产生粉尘材料应入库存放或露天严密包裹。</w:t>
      </w:r>
    </w:p>
    <w:p>
      <w:pPr>
        <w:spacing w:line="312" w:lineRule="auto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2.</w:t>
      </w:r>
      <w:r>
        <w:rPr>
          <w:rFonts w:hint="eastAsia" w:asciiTheme="minorEastAsia" w:hAnsiTheme="minorEastAsia"/>
          <w:sz w:val="18"/>
          <w:szCs w:val="18"/>
        </w:rPr>
        <w:t>砖、建筑砌块、木方等材料按品种规格码放整齐，高度不超过</w:t>
      </w:r>
      <w:r>
        <w:rPr>
          <w:rFonts w:asciiTheme="minorEastAsia" w:hAnsiTheme="minorEastAsia"/>
          <w:sz w:val="18"/>
          <w:szCs w:val="18"/>
        </w:rPr>
        <w:t>1.5</w:t>
      </w:r>
      <w:r>
        <w:rPr>
          <w:rFonts w:hint="eastAsia" w:asciiTheme="minorEastAsia" w:hAnsiTheme="minorEastAsia"/>
          <w:sz w:val="18"/>
          <w:szCs w:val="18"/>
        </w:rPr>
        <w:t>米。</w:t>
      </w:r>
    </w:p>
    <w:p>
      <w:pPr>
        <w:spacing w:line="312" w:lineRule="auto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3.</w:t>
      </w:r>
      <w:r>
        <w:rPr>
          <w:rFonts w:hint="eastAsia" w:asciiTheme="minorEastAsia" w:hAnsiTheme="minorEastAsia"/>
          <w:sz w:val="18"/>
          <w:szCs w:val="18"/>
        </w:rPr>
        <w:t>防水卷材等分包材料按产品要求存放、不得暴晒及浸泡水中。</w:t>
      </w:r>
    </w:p>
    <w:p>
      <w:pPr>
        <w:spacing w:line="312" w:lineRule="auto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4.</w:t>
      </w:r>
      <w:r>
        <w:rPr>
          <w:rFonts w:hint="eastAsia" w:asciiTheme="minorEastAsia" w:hAnsiTheme="minorEastAsia"/>
          <w:sz w:val="18"/>
          <w:szCs w:val="18"/>
        </w:rPr>
        <w:t>钢材料场要有良好的排水措施，场地平整无杂草、杂物，钢材码放垫底不得低于</w:t>
      </w:r>
      <w:r>
        <w:rPr>
          <w:rFonts w:asciiTheme="minorEastAsia" w:hAnsiTheme="minorEastAsia"/>
          <w:sz w:val="18"/>
          <w:szCs w:val="18"/>
        </w:rPr>
        <w:t>0.25</w:t>
      </w:r>
      <w:r>
        <w:rPr>
          <w:rFonts w:hint="eastAsia" w:asciiTheme="minorEastAsia" w:hAnsiTheme="minorEastAsia"/>
          <w:sz w:val="18"/>
          <w:szCs w:val="18"/>
        </w:rPr>
        <w:t>米，分品种规格码放，不得混放。</w:t>
      </w:r>
    </w:p>
    <w:p>
      <w:pPr>
        <w:snapToGrid w:val="0"/>
        <w:spacing w:line="312" w:lineRule="auto"/>
        <w:rPr>
          <w:rFonts w:asciiTheme="minorEastAsia" w:hAnsiTheme="minorEastAsia"/>
        </w:rPr>
      </w:pPr>
      <w:r>
        <w:rPr>
          <w:rFonts w:asciiTheme="minorEastAsia" w:hAnsiTheme="minorEastAsia"/>
          <w:sz w:val="18"/>
          <w:szCs w:val="18"/>
        </w:rPr>
        <w:t>5.</w:t>
      </w:r>
      <w:r>
        <w:rPr>
          <w:rFonts w:hint="eastAsia" w:asciiTheme="minorEastAsia" w:hAnsiTheme="minorEastAsia"/>
          <w:sz w:val="18"/>
          <w:szCs w:val="18"/>
        </w:rPr>
        <w:t>施工现场应有必要的防雨、防晒、防冻、防火、防爆等措施，易燃、易爆或有毒物品要及时入库，油料仓库必须有防止泄漏和防止污染措施，并设明显标志。施工现场应整齐干净，垃圾、渣土等应及时清理，不得晾晒衣服被褥，现场管理明确相关责任人。</w:t>
      </w:r>
    </w:p>
    <w:p>
      <w:bookmarkStart w:id="0" w:name="_GoBack"/>
      <w:bookmarkEnd w:id="0"/>
    </w:p>
    <w:sectPr>
      <w:pgSz w:w="16838" w:h="11906" w:orient="landscape"/>
      <w:pgMar w:top="1587" w:right="1417" w:bottom="147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E036A2"/>
    <w:rsid w:val="16ED277D"/>
    <w:rsid w:val="22881A92"/>
    <w:rsid w:val="54E03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2019-05-28T06:26:00Z</dcterms:created>
  <dc:creator>admin</dc:creator>
  <cp:lastModifiedBy>admin</cp:lastModifiedBy>
  <dcterms:modified xsi:type="dcterms:W3CDTF">2019-05-28T06:27:31Z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