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hAnsi="Times New Roman" w:eastAsia="方正小标宋简体"/>
          <w:b/>
          <w:bCs/>
          <w:kern w:val="0"/>
          <w:sz w:val="44"/>
          <w:szCs w:val="44"/>
          <w:shd w:val="clear" w:color="auto" w:fill="FFFFFF"/>
        </w:rPr>
      </w:pPr>
      <w:bookmarkStart w:id="7" w:name="_GoBack"/>
      <w:r>
        <w:rPr>
          <w:rFonts w:hint="eastAsia" w:ascii="方正小标宋简体" w:hAnsi="Times New Roman" w:eastAsia="方正小标宋简体"/>
          <w:b/>
          <w:bCs/>
          <w:color w:val="000000"/>
          <w:kern w:val="0"/>
          <w:sz w:val="44"/>
          <w:szCs w:val="44"/>
          <w:shd w:val="clear" w:color="auto" w:fill="FFFFFF"/>
        </w:rPr>
        <w:t>北京市轨道</w:t>
      </w:r>
      <w:r>
        <w:rPr>
          <w:rFonts w:hint="eastAsia" w:ascii="方正小标宋简体" w:hAnsi="Times New Roman" w:eastAsia="方正小标宋简体"/>
          <w:b/>
          <w:bCs/>
          <w:kern w:val="0"/>
          <w:sz w:val="44"/>
          <w:szCs w:val="44"/>
          <w:shd w:val="clear" w:color="auto" w:fill="FFFFFF"/>
        </w:rPr>
        <w:t>交通建设工程盾构施工</w:t>
      </w:r>
    </w:p>
    <w:p>
      <w:pPr>
        <w:widowControl/>
        <w:shd w:val="clear" w:color="auto" w:fill="FFFFFF"/>
        <w:spacing w:line="600" w:lineRule="exact"/>
        <w:jc w:val="center"/>
        <w:rPr>
          <w:rFonts w:ascii="方正小标宋简体" w:hAnsi="Times New Roman" w:eastAsia="方正小标宋简体"/>
          <w:b/>
          <w:bCs/>
          <w:kern w:val="0"/>
          <w:sz w:val="44"/>
          <w:szCs w:val="44"/>
          <w:shd w:val="clear" w:color="auto" w:fill="FFFFFF"/>
        </w:rPr>
      </w:pPr>
      <w:r>
        <w:rPr>
          <w:rFonts w:hint="eastAsia" w:ascii="方正小标宋简体" w:hAnsi="Times New Roman" w:eastAsia="方正小标宋简体"/>
          <w:b/>
          <w:bCs/>
          <w:kern w:val="0"/>
          <w:sz w:val="44"/>
          <w:szCs w:val="44"/>
          <w:shd w:val="clear" w:color="auto" w:fill="FFFFFF"/>
        </w:rPr>
        <w:t>质量安全管理十项规定</w:t>
      </w:r>
    </w:p>
    <w:p>
      <w:pPr>
        <w:widowControl/>
        <w:shd w:val="clear" w:color="auto" w:fill="FFFFFF"/>
        <w:spacing w:line="600" w:lineRule="exact"/>
        <w:jc w:val="center"/>
        <w:rPr>
          <w:rFonts w:hint="eastAsia" w:ascii="方正小标宋简体" w:hAnsi="Times New Roman" w:eastAsia="方正小标宋简体"/>
          <w:b/>
          <w:bCs/>
          <w:kern w:val="0"/>
          <w:sz w:val="44"/>
          <w:szCs w:val="44"/>
          <w:shd w:val="clear" w:color="auto" w:fill="FFFFFF"/>
        </w:rPr>
      </w:pPr>
      <w:r>
        <w:rPr>
          <w:rFonts w:hint="eastAsia" w:ascii="方正小标宋简体" w:hAnsi="Times New Roman" w:eastAsia="方正小标宋简体"/>
          <w:b/>
          <w:bCs/>
          <w:kern w:val="0"/>
          <w:sz w:val="44"/>
          <w:szCs w:val="44"/>
          <w:shd w:val="clear" w:color="auto" w:fill="FFFFFF"/>
        </w:rPr>
        <w:t>（征求意见稿）</w:t>
      </w:r>
      <w:bookmarkEnd w:id="7"/>
    </w:p>
    <w:p>
      <w:pPr>
        <w:widowControl/>
        <w:shd w:val="clear" w:color="auto" w:fill="FFFFFF"/>
        <w:spacing w:line="600" w:lineRule="exact"/>
        <w:jc w:val="center"/>
        <w:rPr>
          <w:rFonts w:ascii="方正小标宋简体" w:hAnsi="Times New Roman" w:eastAsia="方正小标宋简体"/>
          <w:b/>
          <w:bCs/>
          <w:kern w:val="0"/>
          <w:sz w:val="44"/>
          <w:szCs w:val="44"/>
          <w:shd w:val="clear" w:color="auto" w:fill="FFFFFF"/>
        </w:rPr>
      </w:pP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sz w:val="32"/>
          <w:szCs w:val="32"/>
          <w:shd w:val="clear" w:color="auto" w:fill="FFFFFF"/>
        </w:rPr>
        <w:t xml:space="preserve">第一条  </w:t>
      </w:r>
      <w:r>
        <w:rPr>
          <w:rFonts w:hint="eastAsia" w:ascii="仿宋_GB2312" w:hAnsi="Times New Roman" w:eastAsia="仿宋_GB2312"/>
          <w:sz w:val="32"/>
          <w:szCs w:val="32"/>
          <w:shd w:val="clear" w:color="auto" w:fill="FFFFFF"/>
        </w:rPr>
        <w:t>盾构工程施工项目管理部门应配备具有盾构施工履历且经过培训的土木、机电、测量等相关专业技术主管人员。盾构机操作工应经专业技能培训考试合格后持证上岗。严禁无证操作盾构机。</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sz w:val="32"/>
          <w:szCs w:val="32"/>
          <w:shd w:val="clear" w:color="auto" w:fill="FFFFFF"/>
        </w:rPr>
        <w:t xml:space="preserve">第二条  </w:t>
      </w:r>
      <w:r>
        <w:rPr>
          <w:rFonts w:hint="eastAsia" w:ascii="仿宋_GB2312" w:hAnsi="Times New Roman" w:eastAsia="仿宋_GB2312"/>
          <w:sz w:val="32"/>
          <w:szCs w:val="32"/>
          <w:shd w:val="clear" w:color="auto" w:fill="FFFFFF"/>
        </w:rPr>
        <w:t>施工单位必须建立盾构机的安全技术档案，主要内容包括：资产权属、购置证明或租赁合同；设备编号和主要技术性能参数；设备履历书；设备大修、改造和再制造</w:t>
      </w:r>
      <w:bookmarkStart w:id="0" w:name="_Hlk1683522"/>
      <w:r>
        <w:rPr>
          <w:rFonts w:hint="eastAsia" w:ascii="仿宋_GB2312" w:hAnsi="Times New Roman" w:eastAsia="仿宋_GB2312"/>
          <w:sz w:val="32"/>
          <w:szCs w:val="32"/>
          <w:shd w:val="clear" w:color="auto" w:fill="FFFFFF"/>
        </w:rPr>
        <w:t>方案及验收资料</w:t>
      </w:r>
      <w:bookmarkEnd w:id="0"/>
      <w:r>
        <w:rPr>
          <w:rFonts w:hint="eastAsia" w:ascii="仿宋_GB2312" w:hAnsi="Times New Roman" w:eastAsia="仿宋_GB2312"/>
          <w:sz w:val="32"/>
          <w:szCs w:val="32"/>
          <w:shd w:val="clear" w:color="auto" w:fill="FFFFFF"/>
        </w:rPr>
        <w:t>；</w:t>
      </w:r>
      <w:bookmarkStart w:id="1" w:name="_Hlk1683925"/>
      <w:r>
        <w:rPr>
          <w:rFonts w:hint="eastAsia" w:ascii="仿宋_GB2312" w:hAnsi="Times New Roman" w:eastAsia="仿宋_GB2312"/>
          <w:sz w:val="32"/>
          <w:szCs w:val="32"/>
          <w:shd w:val="clear" w:color="auto" w:fill="FFFFFF"/>
        </w:rPr>
        <w:t>盾构机使用说明书</w:t>
      </w:r>
      <w:bookmarkEnd w:id="1"/>
      <w:r>
        <w:rPr>
          <w:rFonts w:hint="eastAsia" w:ascii="仿宋_GB2312" w:hAnsi="Times New Roman" w:eastAsia="仿宋_GB2312"/>
          <w:sz w:val="32"/>
          <w:szCs w:val="32"/>
          <w:shd w:val="clear" w:color="auto" w:fill="FFFFFF"/>
        </w:rPr>
        <w:t>、设备维修保养管理要求、作业指导书、运行记录和维修保养记录等。严禁使用无安全技术档案的盾构机。</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sz w:val="32"/>
          <w:szCs w:val="32"/>
          <w:shd w:val="clear" w:color="auto" w:fill="FFFFFF"/>
        </w:rPr>
        <w:t xml:space="preserve">第三条  </w:t>
      </w:r>
      <w:r>
        <w:rPr>
          <w:rFonts w:hint="eastAsia" w:ascii="仿宋_GB2312" w:hAnsi="Times New Roman" w:eastAsia="仿宋_GB2312"/>
          <w:sz w:val="32"/>
          <w:szCs w:val="32"/>
          <w:shd w:val="clear" w:color="auto" w:fill="FFFFFF"/>
        </w:rPr>
        <w:t>盾构工程专项施工方案的编制、专家论证及实施等应符合《危险性较大的分部分项工程安全管理规定》（住建部令第37号）、《关于实施&lt;危险性较大的分部分项工程安全管理规定&gt;有关问题的通知》（建办质〔2018〕31号）规定。施工前条件核查应符合《北京市城市轨道交通建设工程</w:t>
      </w:r>
      <w:bookmarkStart w:id="2" w:name="_Hlk2846675"/>
      <w:r>
        <w:rPr>
          <w:rFonts w:hint="eastAsia" w:ascii="仿宋_GB2312" w:hAnsi="Times New Roman" w:eastAsia="仿宋_GB2312"/>
          <w:sz w:val="32"/>
          <w:szCs w:val="32"/>
          <w:shd w:val="clear" w:color="auto" w:fill="FFFFFF"/>
        </w:rPr>
        <w:t>关键节点</w:t>
      </w:r>
      <w:bookmarkEnd w:id="2"/>
      <w:r>
        <w:rPr>
          <w:rFonts w:hint="eastAsia" w:ascii="仿宋_GB2312" w:hAnsi="Times New Roman" w:eastAsia="仿宋_GB2312"/>
          <w:sz w:val="32"/>
          <w:szCs w:val="32"/>
          <w:shd w:val="clear" w:color="auto" w:fill="FFFFFF"/>
        </w:rPr>
        <w:t>施工前条件核查管理办法》（京建法〔2018〕1号）要求。未经条件核查或条件核查不通过的，严禁擅自施工。</w:t>
      </w:r>
    </w:p>
    <w:p>
      <w:pPr>
        <w:widowControl/>
        <w:shd w:val="clear" w:color="auto" w:fill="FFFFFF"/>
        <w:spacing w:line="600" w:lineRule="atLeast"/>
        <w:ind w:firstLine="643" w:firstLineChars="200"/>
        <w:jc w:val="left"/>
        <w:rPr>
          <w:rFonts w:ascii="仿宋_GB2312" w:hAnsi="Times New Roman" w:eastAsia="仿宋_GB2312"/>
          <w:bCs/>
          <w:sz w:val="32"/>
          <w:szCs w:val="32"/>
          <w:shd w:val="clear" w:color="auto" w:fill="FFFFFF"/>
        </w:rPr>
      </w:pPr>
      <w:r>
        <w:rPr>
          <w:rFonts w:hint="eastAsia" w:ascii="仿宋_GB2312" w:hAnsi="Times New Roman" w:eastAsia="仿宋_GB2312"/>
          <w:b/>
          <w:bCs/>
          <w:color w:val="000000"/>
          <w:sz w:val="32"/>
          <w:szCs w:val="32"/>
          <w:shd w:val="clear" w:color="auto" w:fill="FFFFFF"/>
        </w:rPr>
        <w:t xml:space="preserve">第四条 </w:t>
      </w:r>
      <w:r>
        <w:rPr>
          <w:rFonts w:hint="eastAsia" w:ascii="仿宋_GB2312" w:hAnsi="Times New Roman" w:eastAsia="仿宋_GB2312"/>
          <w:b/>
          <w:bCs/>
          <w:sz w:val="32"/>
          <w:szCs w:val="32"/>
          <w:shd w:val="clear" w:color="auto" w:fill="FFFFFF"/>
        </w:rPr>
        <w:t xml:space="preserve"> </w:t>
      </w:r>
      <w:r>
        <w:rPr>
          <w:rFonts w:hint="eastAsia" w:ascii="仿宋_GB2312" w:hAnsi="Times New Roman" w:eastAsia="仿宋_GB2312"/>
          <w:bCs/>
          <w:sz w:val="32"/>
          <w:szCs w:val="32"/>
          <w:shd w:val="clear" w:color="auto" w:fill="FFFFFF"/>
        </w:rPr>
        <w:t>各单位工程使用的盾构机在进场前首先应通过适应性评估。新盾构机出厂验收合格后方可进场</w:t>
      </w:r>
      <w:bookmarkStart w:id="3" w:name="_Hlk1405767"/>
      <w:r>
        <w:rPr>
          <w:rFonts w:hint="eastAsia" w:ascii="仿宋_GB2312" w:hAnsi="Times New Roman" w:eastAsia="仿宋_GB2312"/>
          <w:bCs/>
          <w:sz w:val="32"/>
          <w:szCs w:val="32"/>
          <w:shd w:val="clear" w:color="auto" w:fill="FFFFFF"/>
        </w:rPr>
        <w:t>；</w:t>
      </w:r>
      <w:r>
        <w:rPr>
          <w:rFonts w:hint="eastAsia" w:ascii="仿宋_GB2312" w:hAnsi="Times New Roman" w:eastAsia="仿宋_GB2312"/>
          <w:sz w:val="32"/>
          <w:szCs w:val="32"/>
          <w:shd w:val="clear" w:color="auto" w:fill="FFFFFF"/>
        </w:rPr>
        <w:t>旧盾构机应对关键零部件进行检测，应对整机性能进行评估</w:t>
      </w:r>
      <w:bookmarkEnd w:id="3"/>
      <w:r>
        <w:rPr>
          <w:rFonts w:hint="eastAsia" w:ascii="仿宋_GB2312" w:hAnsi="Times New Roman" w:eastAsia="仿宋_GB2312"/>
          <w:sz w:val="32"/>
          <w:szCs w:val="32"/>
          <w:shd w:val="clear" w:color="auto" w:fill="FFFFFF"/>
        </w:rPr>
        <w:t>，并</w:t>
      </w:r>
      <w:r>
        <w:rPr>
          <w:rFonts w:hint="eastAsia" w:ascii="仿宋_GB2312" w:hAnsi="Times New Roman" w:eastAsia="仿宋_GB2312"/>
          <w:bCs/>
          <w:sz w:val="32"/>
          <w:szCs w:val="32"/>
          <w:shd w:val="clear" w:color="auto" w:fill="FFFFFF"/>
        </w:rPr>
        <w:t>由</w:t>
      </w:r>
      <w:bookmarkStart w:id="4" w:name="_Hlk1405884"/>
      <w:r>
        <w:rPr>
          <w:rFonts w:hint="eastAsia" w:ascii="仿宋_GB2312" w:hAnsi="Times New Roman" w:eastAsia="仿宋_GB2312"/>
          <w:bCs/>
          <w:sz w:val="32"/>
          <w:szCs w:val="32"/>
          <w:shd w:val="clear" w:color="auto" w:fill="FFFFFF"/>
        </w:rPr>
        <w:t>建设</w:t>
      </w:r>
      <w:bookmarkEnd w:id="4"/>
      <w:r>
        <w:rPr>
          <w:rFonts w:hint="eastAsia" w:ascii="仿宋_GB2312" w:hAnsi="Times New Roman" w:eastAsia="仿宋_GB2312"/>
          <w:bCs/>
          <w:sz w:val="32"/>
          <w:szCs w:val="32"/>
          <w:shd w:val="clear" w:color="auto" w:fill="FFFFFF"/>
        </w:rPr>
        <w:t>（或监理）单位组织专家和相关人员进行验收合格后方可进场</w:t>
      </w:r>
      <w:bookmarkStart w:id="5" w:name="_Hlk1405779"/>
      <w:r>
        <w:rPr>
          <w:rFonts w:hint="eastAsia" w:ascii="仿宋_GB2312" w:hAnsi="Times New Roman" w:eastAsia="仿宋_GB2312"/>
          <w:bCs/>
          <w:sz w:val="32"/>
          <w:szCs w:val="32"/>
          <w:shd w:val="clear" w:color="auto" w:fill="FFFFFF"/>
        </w:rPr>
        <w:t>；对于改造或再制造盾构机</w:t>
      </w:r>
      <w:bookmarkEnd w:id="5"/>
      <w:r>
        <w:rPr>
          <w:rFonts w:hint="eastAsia" w:ascii="仿宋_GB2312" w:hAnsi="Times New Roman" w:eastAsia="仿宋_GB2312"/>
          <w:bCs/>
          <w:sz w:val="32"/>
          <w:szCs w:val="32"/>
          <w:shd w:val="clear" w:color="auto" w:fill="FFFFFF"/>
        </w:rPr>
        <w:t>还应将盾构机改造或再制造</w:t>
      </w:r>
      <w:r>
        <w:rPr>
          <w:rFonts w:hint="eastAsia" w:ascii="仿宋_GB2312" w:hAnsi="Times New Roman" w:eastAsia="仿宋_GB2312"/>
          <w:sz w:val="32"/>
          <w:szCs w:val="32"/>
          <w:shd w:val="clear" w:color="auto" w:fill="FFFFFF"/>
        </w:rPr>
        <w:t>方案、验收资料等</w:t>
      </w:r>
      <w:r>
        <w:rPr>
          <w:rFonts w:hint="eastAsia" w:ascii="仿宋_GB2312" w:hAnsi="Times New Roman" w:eastAsia="仿宋_GB2312"/>
          <w:bCs/>
          <w:sz w:val="32"/>
          <w:szCs w:val="32"/>
          <w:shd w:val="clear" w:color="auto" w:fill="FFFFFF"/>
        </w:rPr>
        <w:t>报建设单位（监理单位）审核。严禁未经验收或验收不合格的盾构机进场。</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color w:val="000000"/>
          <w:sz w:val="32"/>
          <w:szCs w:val="32"/>
          <w:shd w:val="clear" w:color="auto" w:fill="FFFFFF"/>
        </w:rPr>
        <w:t xml:space="preserve">第五条  </w:t>
      </w:r>
      <w:r>
        <w:rPr>
          <w:rFonts w:hint="eastAsia" w:ascii="仿宋_GB2312" w:hAnsi="Times New Roman" w:eastAsia="仿宋_GB2312"/>
          <w:sz w:val="32"/>
          <w:szCs w:val="32"/>
          <w:shd w:val="clear" w:color="auto" w:fill="FFFFFF"/>
        </w:rPr>
        <w:t>施工单位应根据不同的掘进组段，确定合理的掘进参数，精确控制盾构掘进姿态，对轴线偏差勤纠缓纠，确保盾构匀速连续掘进；掘进速度不宜超过每天18环。严禁野蛮掘进。</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sz w:val="32"/>
          <w:szCs w:val="32"/>
          <w:shd w:val="clear" w:color="auto" w:fill="FFFFFF"/>
        </w:rPr>
        <w:t xml:space="preserve">第六条  </w:t>
      </w:r>
      <w:r>
        <w:rPr>
          <w:rFonts w:hint="eastAsia" w:ascii="仿宋_GB2312" w:hAnsi="Times New Roman" w:eastAsia="仿宋_GB2312"/>
          <w:bCs/>
          <w:sz w:val="32"/>
          <w:szCs w:val="32"/>
          <w:shd w:val="clear" w:color="auto" w:fill="FFFFFF"/>
        </w:rPr>
        <w:t>施工单位</w:t>
      </w:r>
      <w:r>
        <w:rPr>
          <w:rFonts w:hint="eastAsia" w:ascii="仿宋_GB2312" w:hAnsi="宋体" w:eastAsia="仿宋_GB2312" w:cs="宋体"/>
          <w:sz w:val="32"/>
          <w:szCs w:val="32"/>
          <w:shd w:val="clear" w:color="auto" w:fill="FFFFFF"/>
        </w:rPr>
        <w:t>必须定期对测量、导向仪器进行校验；</w:t>
      </w:r>
      <w:r>
        <w:rPr>
          <w:rFonts w:hint="eastAsia" w:ascii="仿宋_GB2312" w:hAnsi="宋体" w:eastAsia="仿宋_GB2312" w:cs="宋体"/>
          <w:sz w:val="32"/>
          <w:szCs w:val="32"/>
        </w:rPr>
        <w:t>必须对盾构导向系统录入的数据进行交叉复核检查；必须及时进行测量迁站，对迁站进行测量检核，并实时上传迁站前后的盾构姿态；必须保证在盾构始发、接收、长隧道中间部位等关键节点的联系测量次数及精度；当轴线偏差超过相关标准需要变更设计时，必须履行审批程序。严禁轴线偏差超限</w:t>
      </w:r>
      <w:r>
        <w:rPr>
          <w:rFonts w:hint="eastAsia" w:ascii="仿宋_GB2312" w:hAnsi="宋体" w:eastAsia="仿宋_GB2312" w:cs="宋体"/>
          <w:sz w:val="32"/>
          <w:szCs w:val="32"/>
          <w:shd w:val="clear" w:color="auto" w:fill="FFFFFF"/>
        </w:rPr>
        <w:t>。</w:t>
      </w:r>
    </w:p>
    <w:p>
      <w:pPr>
        <w:widowControl/>
        <w:shd w:val="clear" w:color="auto" w:fill="FFFFFF"/>
        <w:spacing w:line="600" w:lineRule="atLeast"/>
        <w:ind w:firstLine="643" w:firstLineChars="200"/>
        <w:jc w:val="left"/>
        <w:rPr>
          <w:rFonts w:ascii="仿宋_GB2312" w:hAnsi="宋体" w:eastAsia="仿宋_GB2312" w:cs="宋体"/>
          <w:sz w:val="32"/>
          <w:szCs w:val="32"/>
        </w:rPr>
      </w:pPr>
      <w:r>
        <w:rPr>
          <w:rFonts w:hint="eastAsia" w:ascii="仿宋_GB2312" w:hAnsi="Times New Roman" w:eastAsia="仿宋_GB2312"/>
          <w:b/>
          <w:bCs/>
          <w:color w:val="000000"/>
          <w:sz w:val="32"/>
          <w:szCs w:val="32"/>
          <w:shd w:val="clear" w:color="auto" w:fill="FFFFFF"/>
        </w:rPr>
        <w:t xml:space="preserve">第七条  </w:t>
      </w:r>
      <w:r>
        <w:rPr>
          <w:rFonts w:hint="eastAsia" w:ascii="仿宋_GB2312" w:hAnsi="Times New Roman" w:eastAsia="仿宋_GB2312"/>
          <w:bCs/>
          <w:color w:val="000000"/>
          <w:sz w:val="32"/>
          <w:szCs w:val="32"/>
          <w:shd w:val="clear" w:color="auto" w:fill="FFFFFF"/>
        </w:rPr>
        <w:t>施工单位</w:t>
      </w:r>
      <w:r>
        <w:rPr>
          <w:rFonts w:hint="eastAsia" w:ascii="仿宋_GB2312" w:hAnsi="Times New Roman" w:eastAsia="仿宋_GB2312"/>
          <w:color w:val="000000"/>
          <w:sz w:val="32"/>
          <w:szCs w:val="32"/>
          <w:shd w:val="clear" w:color="auto" w:fill="FFFFFF"/>
        </w:rPr>
        <w:t>应按</w:t>
      </w:r>
      <w:r>
        <w:rPr>
          <w:rFonts w:hint="eastAsia" w:ascii="仿宋_GB2312" w:hAnsi="Times New Roman" w:eastAsia="仿宋_GB2312"/>
          <w:sz w:val="32"/>
          <w:szCs w:val="32"/>
          <w:shd w:val="clear" w:color="auto" w:fill="FFFFFF"/>
        </w:rPr>
        <w:t>照设计文件规定实施监控量测，</w:t>
      </w:r>
      <w:r>
        <w:rPr>
          <w:rFonts w:hint="eastAsia" w:ascii="仿宋_GB2312" w:hAnsi="宋体" w:eastAsia="仿宋_GB2312" w:cs="宋体"/>
          <w:sz w:val="32"/>
          <w:szCs w:val="32"/>
        </w:rPr>
        <w:t>监控量测数据超过预警值应科学分析并及时处置，超过控制值应分析查明原因并形成有效的处置措施。未明确处置措施，严禁组织后续施工。</w:t>
      </w:r>
    </w:p>
    <w:p>
      <w:pPr>
        <w:widowControl/>
        <w:shd w:val="clear" w:color="auto" w:fill="FFFFFF"/>
        <w:spacing w:line="600" w:lineRule="atLeast"/>
        <w:ind w:firstLine="643" w:firstLineChars="200"/>
        <w:rPr>
          <w:rFonts w:ascii="仿宋_GB2312" w:eastAsia="仿宋_GB2312" w:cs="宋体"/>
          <w:sz w:val="32"/>
          <w:szCs w:val="32"/>
        </w:rPr>
      </w:pPr>
      <w:bookmarkStart w:id="6" w:name="_Hlk2092323"/>
      <w:r>
        <w:rPr>
          <w:rFonts w:hint="eastAsia" w:ascii="仿宋_GB2312" w:hAnsi="Times New Roman" w:eastAsia="仿宋_GB2312"/>
          <w:b/>
          <w:bCs/>
          <w:kern w:val="0"/>
          <w:sz w:val="32"/>
          <w:szCs w:val="32"/>
          <w:shd w:val="clear" w:color="auto" w:fill="FFFFFF"/>
        </w:rPr>
        <w:t>第八条</w:t>
      </w:r>
      <w:bookmarkEnd w:id="6"/>
      <w:r>
        <w:rPr>
          <w:rFonts w:hint="eastAsia" w:ascii="仿宋_GB2312" w:hAnsi="Times New Roman" w:eastAsia="仿宋_GB2312"/>
          <w:b/>
          <w:bCs/>
          <w:kern w:val="0"/>
          <w:sz w:val="32"/>
          <w:szCs w:val="32"/>
          <w:shd w:val="clear" w:color="auto" w:fill="FFFFFF"/>
        </w:rPr>
        <w:t xml:space="preserve">  </w:t>
      </w:r>
      <w:r>
        <w:rPr>
          <w:rFonts w:hint="eastAsia" w:ascii="仿宋_GB2312" w:hAnsi="宋体" w:eastAsia="仿宋_GB2312" w:cs="宋体"/>
          <w:sz w:val="32"/>
          <w:szCs w:val="32"/>
        </w:rPr>
        <w:t>施工单位应</w:t>
      </w:r>
      <w:r>
        <w:rPr>
          <w:rFonts w:ascii="仿宋_GB2312" w:eastAsia="仿宋_GB2312" w:cs="宋体"/>
          <w:sz w:val="32"/>
          <w:szCs w:val="32"/>
        </w:rPr>
        <w:t>按照</w:t>
      </w:r>
      <w:r>
        <w:rPr>
          <w:rFonts w:hint="eastAsia" w:ascii="仿宋_GB2312" w:eastAsia="仿宋_GB2312"/>
          <w:sz w:val="32"/>
          <w:szCs w:val="32"/>
          <w:shd w:val="clear" w:color="auto" w:fill="FFFFFF"/>
        </w:rPr>
        <w:t>《</w:t>
      </w:r>
      <w:r>
        <w:rPr>
          <w:rFonts w:hint="eastAsia" w:ascii="仿宋_GB2312" w:eastAsia="仿宋_GB2312" w:cs="宋体"/>
          <w:sz w:val="32"/>
          <w:szCs w:val="32"/>
        </w:rPr>
        <w:t>北京市城市轨道交通建设工程安全风险分级管控和隐患排查治理双重预防机制实施暂行办法</w:t>
      </w:r>
      <w:r>
        <w:rPr>
          <w:rFonts w:hint="eastAsia" w:ascii="仿宋_GB2312" w:eastAsia="仿宋_GB2312"/>
          <w:sz w:val="32"/>
          <w:szCs w:val="32"/>
          <w:shd w:val="clear" w:color="auto" w:fill="FFFFFF"/>
        </w:rPr>
        <w:t>》</w:t>
      </w:r>
      <w:r>
        <w:rPr>
          <w:rFonts w:ascii="仿宋_GB2312" w:eastAsia="仿宋_GB2312" w:cs="宋体"/>
          <w:sz w:val="32"/>
          <w:szCs w:val="32"/>
        </w:rPr>
        <w:t>要求，</w:t>
      </w:r>
      <w:r>
        <w:rPr>
          <w:rFonts w:hint="eastAsia" w:ascii="仿宋_GB2312" w:eastAsia="仿宋_GB2312" w:cs="宋体"/>
          <w:sz w:val="32"/>
          <w:szCs w:val="32"/>
        </w:rPr>
        <w:t>开展</w:t>
      </w:r>
      <w:r>
        <w:rPr>
          <w:rFonts w:ascii="仿宋_GB2312" w:hAnsi="宋体" w:eastAsia="仿宋_GB2312" w:cs="宋体"/>
          <w:sz w:val="32"/>
          <w:szCs w:val="32"/>
        </w:rPr>
        <w:t>安全风险</w:t>
      </w:r>
      <w:r>
        <w:rPr>
          <w:rFonts w:hint="eastAsia" w:ascii="仿宋_GB2312" w:hAnsi="宋体" w:eastAsia="仿宋_GB2312" w:cs="宋体"/>
          <w:sz w:val="32"/>
          <w:szCs w:val="32"/>
        </w:rPr>
        <w:t>管控和隐患排查治理工作。在盾构掘进施工前，</w:t>
      </w:r>
      <w:r>
        <w:rPr>
          <w:rFonts w:ascii="仿宋_GB2312" w:hAnsi="宋体" w:eastAsia="仿宋_GB2312" w:cs="宋体"/>
          <w:sz w:val="32"/>
          <w:szCs w:val="32"/>
        </w:rPr>
        <w:t>对</w:t>
      </w:r>
      <w:r>
        <w:rPr>
          <w:rFonts w:hint="eastAsia" w:ascii="仿宋_GB2312" w:hAnsi="宋体" w:eastAsia="仿宋_GB2312" w:cs="宋体"/>
          <w:sz w:val="32"/>
          <w:szCs w:val="32"/>
        </w:rPr>
        <w:t>地质条件和</w:t>
      </w:r>
      <w:r>
        <w:rPr>
          <w:rFonts w:ascii="仿宋_GB2312" w:hAnsi="宋体" w:eastAsia="仿宋_GB2312" w:cs="宋体"/>
          <w:sz w:val="32"/>
          <w:szCs w:val="32"/>
        </w:rPr>
        <w:t>工程影响范围内的周边环境</w:t>
      </w:r>
      <w:r>
        <w:rPr>
          <w:rFonts w:hint="eastAsia" w:ascii="仿宋_GB2312" w:hAnsi="宋体" w:eastAsia="仿宋_GB2312" w:cs="宋体"/>
          <w:sz w:val="32"/>
          <w:szCs w:val="32"/>
        </w:rPr>
        <w:t>条件</w:t>
      </w:r>
      <w:r>
        <w:rPr>
          <w:rFonts w:ascii="仿宋_GB2312" w:hAnsi="宋体" w:eastAsia="仿宋_GB2312" w:cs="宋体"/>
          <w:sz w:val="32"/>
          <w:szCs w:val="32"/>
        </w:rPr>
        <w:t>进行全面核查</w:t>
      </w:r>
      <w:r>
        <w:rPr>
          <w:rFonts w:hint="eastAsia" w:ascii="仿宋_GB2312" w:hAnsi="宋体" w:eastAsia="仿宋_GB2312" w:cs="宋体"/>
          <w:sz w:val="32"/>
          <w:szCs w:val="32"/>
        </w:rPr>
        <w:t>，必要时</w:t>
      </w:r>
      <w:r>
        <w:rPr>
          <w:rFonts w:ascii="仿宋_GB2312" w:hAnsi="宋体" w:eastAsia="仿宋_GB2312" w:cs="宋体"/>
          <w:sz w:val="32"/>
          <w:szCs w:val="32"/>
        </w:rPr>
        <w:t>建设单位应组织设计、施工等单位补充完善工程</w:t>
      </w:r>
      <w:r>
        <w:rPr>
          <w:rFonts w:hint="eastAsia" w:ascii="仿宋_GB2312" w:hAnsi="宋体" w:eastAsia="仿宋_GB2312" w:cs="宋体"/>
          <w:sz w:val="32"/>
          <w:szCs w:val="32"/>
        </w:rPr>
        <w:t>安全质量保证</w:t>
      </w:r>
      <w:r>
        <w:rPr>
          <w:rFonts w:ascii="仿宋_GB2312" w:hAnsi="宋体" w:eastAsia="仿宋_GB2312" w:cs="宋体"/>
          <w:sz w:val="32"/>
          <w:szCs w:val="32"/>
        </w:rPr>
        <w:t>措施</w:t>
      </w:r>
      <w:r>
        <w:rPr>
          <w:rFonts w:hint="eastAsia" w:ascii="仿宋_GB2312" w:hAnsi="宋体" w:eastAsia="仿宋_GB2312" w:cs="宋体"/>
          <w:sz w:val="32"/>
          <w:szCs w:val="32"/>
        </w:rPr>
        <w:t>；</w:t>
      </w:r>
      <w:r>
        <w:rPr>
          <w:rFonts w:ascii="仿宋_GB2312" w:hAnsi="宋体" w:eastAsia="仿宋_GB2312" w:cs="宋体"/>
          <w:sz w:val="32"/>
          <w:szCs w:val="32"/>
        </w:rPr>
        <w:t>建设单位应委托具有相应资质和经验的单位进行地层空洞普查,发现存在空洞的,施工前应及时处理</w:t>
      </w:r>
      <w:r>
        <w:rPr>
          <w:rFonts w:hint="eastAsia" w:ascii="仿宋_GB2312" w:hAnsi="宋体" w:eastAsia="仿宋_GB2312" w:cs="宋体"/>
          <w:sz w:val="32"/>
          <w:szCs w:val="32"/>
        </w:rPr>
        <w:t>；穿越特级、一级风险前，必须保证盾构机运行状况良好，有条件的宜设置穿越试验段，以检验并调整、确定适宜的掘进参数。严禁不按照双控机制要求盲目掘进施工。</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color w:val="000000"/>
          <w:sz w:val="32"/>
          <w:szCs w:val="32"/>
          <w:shd w:val="clear" w:color="auto" w:fill="FFFFFF"/>
        </w:rPr>
        <w:t xml:space="preserve">第九条  </w:t>
      </w:r>
      <w:r>
        <w:rPr>
          <w:rFonts w:hint="eastAsia" w:ascii="仿宋_GB2312" w:hAnsi="Times New Roman" w:eastAsia="仿宋_GB2312"/>
          <w:bCs/>
          <w:color w:val="000000"/>
          <w:sz w:val="32"/>
          <w:szCs w:val="32"/>
          <w:shd w:val="clear" w:color="auto" w:fill="FFFFFF"/>
        </w:rPr>
        <w:t>施工单位</w:t>
      </w:r>
      <w:r>
        <w:rPr>
          <w:rFonts w:hint="eastAsia" w:ascii="仿宋_GB2312" w:hAnsi="Times New Roman" w:eastAsia="仿宋_GB2312"/>
          <w:color w:val="000000"/>
          <w:sz w:val="32"/>
          <w:szCs w:val="32"/>
          <w:shd w:val="clear" w:color="auto" w:fill="FFFFFF"/>
        </w:rPr>
        <w:t>应严格按照操作规程开展水平运输、垂直运输（起重吊装）作业，按规定对运输设备及轨道进行维修保养，保证各机构运行状态良好；应按</w:t>
      </w:r>
      <w:r>
        <w:rPr>
          <w:rFonts w:hint="eastAsia" w:ascii="仿宋_GB2312" w:hAnsi="Times New Roman" w:eastAsia="仿宋_GB2312"/>
          <w:sz w:val="32"/>
          <w:szCs w:val="32"/>
          <w:shd w:val="clear" w:color="auto" w:fill="FFFFFF"/>
        </w:rPr>
        <w:t>盾构机使用说明书、设备维修保养管理要求对盾构机</w:t>
      </w:r>
      <w:r>
        <w:rPr>
          <w:rFonts w:hint="eastAsia" w:ascii="仿宋_GB2312" w:hAnsi="Times New Roman" w:eastAsia="仿宋_GB2312"/>
          <w:color w:val="000000"/>
          <w:sz w:val="32"/>
          <w:szCs w:val="32"/>
          <w:shd w:val="clear" w:color="auto" w:fill="FFFFFF"/>
        </w:rPr>
        <w:t>进行维修保养；对盾构机各部位运行情况进行实时监控和预警，盾构机出现故障或其它异常情况时，应及时处置。</w:t>
      </w:r>
      <w:r>
        <w:rPr>
          <w:rFonts w:hint="eastAsia" w:ascii="仿宋_GB2312" w:hAnsi="Times New Roman" w:eastAsia="仿宋_GB2312"/>
          <w:sz w:val="32"/>
          <w:szCs w:val="32"/>
          <w:shd w:val="clear" w:color="auto" w:fill="FFFFFF"/>
        </w:rPr>
        <w:t>严禁盾构机带病作业。</w:t>
      </w:r>
    </w:p>
    <w:p>
      <w:pPr>
        <w:widowControl/>
        <w:shd w:val="clear" w:color="auto" w:fill="FFFFFF"/>
        <w:spacing w:line="600" w:lineRule="atLeast"/>
        <w:ind w:firstLine="643" w:firstLineChars="200"/>
        <w:jc w:val="left"/>
        <w:rPr>
          <w:rFonts w:ascii="仿宋_GB2312" w:hAnsi="Times New Roman" w:eastAsia="仿宋_GB2312"/>
          <w:sz w:val="32"/>
          <w:szCs w:val="32"/>
          <w:shd w:val="clear" w:color="auto" w:fill="FFFFFF"/>
        </w:rPr>
      </w:pPr>
      <w:r>
        <w:rPr>
          <w:rFonts w:hint="eastAsia" w:ascii="仿宋_GB2312" w:hAnsi="Times New Roman" w:eastAsia="仿宋_GB2312"/>
          <w:b/>
          <w:bCs/>
          <w:color w:val="000000"/>
          <w:sz w:val="32"/>
          <w:szCs w:val="32"/>
          <w:shd w:val="clear" w:color="auto" w:fill="FFFFFF"/>
        </w:rPr>
        <w:t xml:space="preserve">第十条  </w:t>
      </w:r>
      <w:r>
        <w:rPr>
          <w:rFonts w:hint="eastAsia" w:ascii="仿宋_GB2312" w:hAnsi="Times New Roman" w:eastAsia="仿宋_GB2312"/>
          <w:bCs/>
          <w:color w:val="000000"/>
          <w:sz w:val="32"/>
          <w:szCs w:val="32"/>
          <w:shd w:val="clear" w:color="auto" w:fill="FFFFFF"/>
        </w:rPr>
        <w:t>施工单位</w:t>
      </w:r>
      <w:r>
        <w:rPr>
          <w:rFonts w:hint="eastAsia" w:ascii="仿宋_GB2312" w:hAnsi="Times New Roman" w:eastAsia="仿宋_GB2312"/>
          <w:color w:val="000000"/>
          <w:sz w:val="32"/>
          <w:szCs w:val="32"/>
          <w:shd w:val="clear" w:color="auto" w:fill="FFFFFF"/>
        </w:rPr>
        <w:t>应当</w:t>
      </w:r>
      <w:r>
        <w:rPr>
          <w:rFonts w:ascii="仿宋_GB2312" w:hAnsi="Times New Roman" w:eastAsia="仿宋_GB2312"/>
          <w:color w:val="000000"/>
          <w:sz w:val="32"/>
          <w:szCs w:val="32"/>
          <w:shd w:val="clear" w:color="auto" w:fill="FFFFFF"/>
        </w:rPr>
        <w:t>建立、健全生产安全事故应急工作责任制</w:t>
      </w:r>
      <w:r>
        <w:rPr>
          <w:rFonts w:hint="eastAsia" w:ascii="仿宋_GB2312" w:hAnsi="Times New Roman" w:eastAsia="仿宋_GB2312"/>
          <w:color w:val="000000"/>
          <w:sz w:val="32"/>
          <w:szCs w:val="32"/>
          <w:shd w:val="clear" w:color="auto" w:fill="FFFFFF"/>
        </w:rPr>
        <w:t>，</w:t>
      </w:r>
      <w:r>
        <w:rPr>
          <w:rFonts w:ascii="仿宋_GB2312" w:hAnsi="Times New Roman" w:eastAsia="仿宋_GB2312"/>
          <w:color w:val="000000"/>
          <w:sz w:val="32"/>
          <w:szCs w:val="32"/>
          <w:shd w:val="clear" w:color="auto" w:fill="FFFFFF"/>
        </w:rPr>
        <w:t>制定相应的生产安全事故应急救援预案</w:t>
      </w:r>
      <w:r>
        <w:rPr>
          <w:rFonts w:hint="eastAsia" w:ascii="仿宋_GB2312" w:hAnsi="Times New Roman" w:eastAsia="仿宋_GB2312"/>
          <w:color w:val="000000"/>
          <w:sz w:val="32"/>
          <w:szCs w:val="32"/>
          <w:shd w:val="clear" w:color="auto" w:fill="FFFFFF"/>
        </w:rPr>
        <w:t>，并</w:t>
      </w:r>
      <w:r>
        <w:rPr>
          <w:rFonts w:ascii="仿宋_GB2312" w:hAnsi="Times New Roman" w:eastAsia="仿宋_GB2312"/>
          <w:color w:val="000000"/>
          <w:sz w:val="32"/>
          <w:szCs w:val="32"/>
          <w:shd w:val="clear" w:color="auto" w:fill="FFFFFF"/>
        </w:rPr>
        <w:t>至少每半年组织1次生产安全事故应急救援预案演练</w:t>
      </w:r>
      <w:r>
        <w:rPr>
          <w:rFonts w:hint="eastAsia" w:ascii="仿宋_GB2312" w:hAnsi="Times New Roman" w:eastAsia="仿宋_GB2312"/>
          <w:color w:val="000000"/>
          <w:sz w:val="32"/>
          <w:szCs w:val="32"/>
          <w:shd w:val="clear" w:color="auto" w:fill="FFFFFF"/>
        </w:rPr>
        <w:t>；</w:t>
      </w:r>
      <w:r>
        <w:rPr>
          <w:rFonts w:ascii="仿宋_GB2312" w:hAnsi="Times New Roman" w:eastAsia="仿宋_GB2312"/>
          <w:color w:val="000000"/>
          <w:sz w:val="32"/>
          <w:szCs w:val="32"/>
          <w:shd w:val="clear" w:color="auto" w:fill="FFFFFF"/>
        </w:rPr>
        <w:t>应当建立应急救援队伍</w:t>
      </w:r>
      <w:r>
        <w:rPr>
          <w:rFonts w:hint="eastAsia" w:ascii="仿宋_GB2312" w:hAnsi="Times New Roman" w:eastAsia="仿宋_GB2312"/>
          <w:color w:val="000000"/>
          <w:sz w:val="32"/>
          <w:szCs w:val="32"/>
          <w:shd w:val="clear" w:color="auto" w:fill="FFFFFF"/>
        </w:rPr>
        <w:t>，</w:t>
      </w:r>
      <w:r>
        <w:rPr>
          <w:rFonts w:ascii="仿宋_GB2312" w:hAnsi="Times New Roman" w:eastAsia="仿宋_GB2312"/>
          <w:color w:val="000000"/>
          <w:sz w:val="32"/>
          <w:szCs w:val="32"/>
          <w:shd w:val="clear" w:color="auto" w:fill="FFFFFF"/>
        </w:rPr>
        <w:t>应急救援队伍应当配备必要的应急救援装备和物资，并定期组织训练</w:t>
      </w:r>
      <w:r>
        <w:rPr>
          <w:rFonts w:hint="eastAsia" w:ascii="仿宋_GB2312" w:hAnsi="Times New Roman" w:eastAsia="仿宋_GB2312"/>
          <w:color w:val="000000"/>
          <w:sz w:val="32"/>
          <w:szCs w:val="32"/>
          <w:shd w:val="clear" w:color="auto" w:fill="FFFFFF"/>
        </w:rPr>
        <w:t>，</w:t>
      </w:r>
      <w:r>
        <w:rPr>
          <w:rFonts w:ascii="仿宋_GB2312" w:hAnsi="Times New Roman" w:eastAsia="仿宋_GB2312"/>
          <w:color w:val="000000"/>
          <w:sz w:val="32"/>
          <w:szCs w:val="32"/>
          <w:shd w:val="clear" w:color="auto" w:fill="FFFFFF"/>
        </w:rPr>
        <w:t>对应急救援器材、设备和物资进行经常性维护、保养</w:t>
      </w:r>
      <w:r>
        <w:rPr>
          <w:rFonts w:hint="eastAsia" w:ascii="仿宋_GB2312" w:hAnsi="Times New Roman" w:eastAsia="仿宋_GB2312"/>
          <w:color w:val="000000"/>
          <w:sz w:val="32"/>
          <w:szCs w:val="32"/>
          <w:shd w:val="clear" w:color="auto" w:fill="FFFFFF"/>
        </w:rPr>
        <w:t>。生产安全</w:t>
      </w:r>
      <w:r>
        <w:rPr>
          <w:rFonts w:hint="eastAsia" w:ascii="仿宋_GB2312" w:hAnsi="Times New Roman" w:eastAsia="仿宋_GB2312"/>
          <w:sz w:val="32"/>
          <w:szCs w:val="32"/>
          <w:shd w:val="clear" w:color="auto" w:fill="FFFFFF"/>
        </w:rPr>
        <w:t>事故应急救援过程中应以人为本，科学施救。严禁生产安全事故发生后违章指挥、冒险施救。</w:t>
      </w: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ind w:firstLine="640" w:firstLineChars="200"/>
        <w:jc w:val="left"/>
        <w:rPr>
          <w:rFonts w:ascii="仿宋_GB2312" w:hAnsi="Times New Roman" w:eastAsia="仿宋_GB2312"/>
          <w:sz w:val="32"/>
          <w:szCs w:val="32"/>
          <w:shd w:val="clear" w:color="auto" w:fill="FFFFFF"/>
        </w:rPr>
      </w:pPr>
    </w:p>
    <w:p>
      <w:pPr>
        <w:widowControl/>
        <w:shd w:val="clear" w:color="auto" w:fill="FFFFFF"/>
        <w:spacing w:line="600" w:lineRule="atLeast"/>
        <w:jc w:val="left"/>
        <w:rPr>
          <w:rFonts w:ascii="仿宋_GB2312" w:hAnsi="Times New Roman" w:eastAsia="仿宋_GB2312"/>
          <w:sz w:val="32"/>
          <w:szCs w:val="32"/>
          <w:shd w:val="clear" w:color="auto" w:fill="FFFFFF"/>
        </w:rPr>
      </w:pPr>
    </w:p>
    <w:p>
      <w:pPr>
        <w:widowControl/>
        <w:shd w:val="clear" w:color="auto" w:fill="FFFFFF"/>
        <w:spacing w:line="600" w:lineRule="atLeast"/>
        <w:jc w:val="left"/>
        <w:rPr>
          <w:rFonts w:ascii="仿宋_GB2312" w:hAnsi="Times New Roman" w:eastAsia="仿宋_GB2312"/>
          <w:sz w:val="32"/>
          <w:szCs w:val="32"/>
          <w:shd w:val="clear" w:color="auto" w:fill="FFFFFF"/>
        </w:rPr>
      </w:pPr>
    </w:p>
    <w:p>
      <w:pPr>
        <w:widowControl/>
        <w:shd w:val="clear" w:color="auto" w:fill="FFFFFF"/>
        <w:spacing w:line="600" w:lineRule="atLeast"/>
        <w:jc w:val="left"/>
        <w:rPr>
          <w:rFonts w:ascii="仿宋_GB2312" w:hAnsi="Times New Roman" w:eastAsia="仿宋_GB2312"/>
          <w:sz w:val="32"/>
          <w:szCs w:val="32"/>
          <w:shd w:val="clear" w:color="auto" w:fill="FFFFFF"/>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11F80"/>
    <w:rsid w:val="00006E8F"/>
    <w:rsid w:val="000156C1"/>
    <w:rsid w:val="00024179"/>
    <w:rsid w:val="00035C2E"/>
    <w:rsid w:val="00052BAB"/>
    <w:rsid w:val="00056882"/>
    <w:rsid w:val="000573E2"/>
    <w:rsid w:val="00057FB5"/>
    <w:rsid w:val="000711E3"/>
    <w:rsid w:val="000842BB"/>
    <w:rsid w:val="000A610F"/>
    <w:rsid w:val="000C5450"/>
    <w:rsid w:val="000C5E64"/>
    <w:rsid w:val="000F6AFE"/>
    <w:rsid w:val="00102F22"/>
    <w:rsid w:val="00103C38"/>
    <w:rsid w:val="00111920"/>
    <w:rsid w:val="001137C0"/>
    <w:rsid w:val="0011660E"/>
    <w:rsid w:val="00130297"/>
    <w:rsid w:val="001363BB"/>
    <w:rsid w:val="00152C5F"/>
    <w:rsid w:val="00154FFA"/>
    <w:rsid w:val="0015594B"/>
    <w:rsid w:val="0016439C"/>
    <w:rsid w:val="00175022"/>
    <w:rsid w:val="001A735E"/>
    <w:rsid w:val="001B5BF8"/>
    <w:rsid w:val="001C33CB"/>
    <w:rsid w:val="001D549E"/>
    <w:rsid w:val="001D7A4F"/>
    <w:rsid w:val="001E4D8A"/>
    <w:rsid w:val="001E6F9F"/>
    <w:rsid w:val="001F277E"/>
    <w:rsid w:val="001F693E"/>
    <w:rsid w:val="001F7535"/>
    <w:rsid w:val="0021260D"/>
    <w:rsid w:val="0024484C"/>
    <w:rsid w:val="00250CB9"/>
    <w:rsid w:val="002612F1"/>
    <w:rsid w:val="0026199D"/>
    <w:rsid w:val="00262102"/>
    <w:rsid w:val="00264E31"/>
    <w:rsid w:val="0026520A"/>
    <w:rsid w:val="0027657B"/>
    <w:rsid w:val="002978F0"/>
    <w:rsid w:val="00297A18"/>
    <w:rsid w:val="002A0186"/>
    <w:rsid w:val="002A24B2"/>
    <w:rsid w:val="002A6A15"/>
    <w:rsid w:val="002B23B1"/>
    <w:rsid w:val="002C1AA4"/>
    <w:rsid w:val="002C48EE"/>
    <w:rsid w:val="002E664D"/>
    <w:rsid w:val="002F0E82"/>
    <w:rsid w:val="002F79FA"/>
    <w:rsid w:val="00307A62"/>
    <w:rsid w:val="003131FE"/>
    <w:rsid w:val="003205EF"/>
    <w:rsid w:val="00320FAD"/>
    <w:rsid w:val="00332815"/>
    <w:rsid w:val="003406AD"/>
    <w:rsid w:val="00346F37"/>
    <w:rsid w:val="00354599"/>
    <w:rsid w:val="0037531E"/>
    <w:rsid w:val="0039064C"/>
    <w:rsid w:val="00390D10"/>
    <w:rsid w:val="003A17BF"/>
    <w:rsid w:val="003A34DB"/>
    <w:rsid w:val="003B1781"/>
    <w:rsid w:val="003C2CF3"/>
    <w:rsid w:val="003C6933"/>
    <w:rsid w:val="003D2F3D"/>
    <w:rsid w:val="003D6795"/>
    <w:rsid w:val="003E417E"/>
    <w:rsid w:val="003E6685"/>
    <w:rsid w:val="003F07C6"/>
    <w:rsid w:val="003F2EC0"/>
    <w:rsid w:val="003F3DE4"/>
    <w:rsid w:val="004023B0"/>
    <w:rsid w:val="00412B38"/>
    <w:rsid w:val="00424E15"/>
    <w:rsid w:val="00441A8E"/>
    <w:rsid w:val="0046383F"/>
    <w:rsid w:val="00464F7A"/>
    <w:rsid w:val="00473DC1"/>
    <w:rsid w:val="00492489"/>
    <w:rsid w:val="00495255"/>
    <w:rsid w:val="004A39B9"/>
    <w:rsid w:val="004A77DF"/>
    <w:rsid w:val="004E0775"/>
    <w:rsid w:val="004E4245"/>
    <w:rsid w:val="00504DDE"/>
    <w:rsid w:val="0051631E"/>
    <w:rsid w:val="00516F35"/>
    <w:rsid w:val="00532055"/>
    <w:rsid w:val="00545788"/>
    <w:rsid w:val="00550C7E"/>
    <w:rsid w:val="00553116"/>
    <w:rsid w:val="005533DA"/>
    <w:rsid w:val="0055561A"/>
    <w:rsid w:val="0056438B"/>
    <w:rsid w:val="0059104E"/>
    <w:rsid w:val="005B04CB"/>
    <w:rsid w:val="005C0F59"/>
    <w:rsid w:val="005C3EAE"/>
    <w:rsid w:val="005C5CEA"/>
    <w:rsid w:val="005C73F2"/>
    <w:rsid w:val="005C7934"/>
    <w:rsid w:val="005D7F93"/>
    <w:rsid w:val="005F3BC5"/>
    <w:rsid w:val="00603E16"/>
    <w:rsid w:val="00604761"/>
    <w:rsid w:val="00607EB8"/>
    <w:rsid w:val="006264FD"/>
    <w:rsid w:val="00640A08"/>
    <w:rsid w:val="00664E62"/>
    <w:rsid w:val="0066545A"/>
    <w:rsid w:val="00672CD6"/>
    <w:rsid w:val="00672F80"/>
    <w:rsid w:val="006930DC"/>
    <w:rsid w:val="006A0A24"/>
    <w:rsid w:val="006A6802"/>
    <w:rsid w:val="006B0CBD"/>
    <w:rsid w:val="006B67CD"/>
    <w:rsid w:val="006C0467"/>
    <w:rsid w:val="006C6E9E"/>
    <w:rsid w:val="006D3424"/>
    <w:rsid w:val="006D4AB4"/>
    <w:rsid w:val="006F3832"/>
    <w:rsid w:val="006F60E4"/>
    <w:rsid w:val="00701F84"/>
    <w:rsid w:val="00701FCF"/>
    <w:rsid w:val="0071096A"/>
    <w:rsid w:val="00717FE3"/>
    <w:rsid w:val="00722AF0"/>
    <w:rsid w:val="00737E33"/>
    <w:rsid w:val="007469FF"/>
    <w:rsid w:val="007514B1"/>
    <w:rsid w:val="00752CE2"/>
    <w:rsid w:val="00756FFE"/>
    <w:rsid w:val="007611AE"/>
    <w:rsid w:val="00764761"/>
    <w:rsid w:val="00770469"/>
    <w:rsid w:val="007808A6"/>
    <w:rsid w:val="00783057"/>
    <w:rsid w:val="0079427C"/>
    <w:rsid w:val="007A58F1"/>
    <w:rsid w:val="007A67A7"/>
    <w:rsid w:val="007B2476"/>
    <w:rsid w:val="007B2E12"/>
    <w:rsid w:val="007B547A"/>
    <w:rsid w:val="007C2FA6"/>
    <w:rsid w:val="007C7FA6"/>
    <w:rsid w:val="007E00CA"/>
    <w:rsid w:val="007E11CC"/>
    <w:rsid w:val="007F64DA"/>
    <w:rsid w:val="00800E02"/>
    <w:rsid w:val="00802F49"/>
    <w:rsid w:val="0080743D"/>
    <w:rsid w:val="00811E45"/>
    <w:rsid w:val="00812E95"/>
    <w:rsid w:val="00824C23"/>
    <w:rsid w:val="00825D3B"/>
    <w:rsid w:val="00833543"/>
    <w:rsid w:val="00834BDF"/>
    <w:rsid w:val="00837117"/>
    <w:rsid w:val="008401FB"/>
    <w:rsid w:val="00851A14"/>
    <w:rsid w:val="00855DAF"/>
    <w:rsid w:val="008643D0"/>
    <w:rsid w:val="00865232"/>
    <w:rsid w:val="00865CAE"/>
    <w:rsid w:val="0088019B"/>
    <w:rsid w:val="00885C64"/>
    <w:rsid w:val="008A1435"/>
    <w:rsid w:val="008A3FD8"/>
    <w:rsid w:val="008A48C1"/>
    <w:rsid w:val="008B49FB"/>
    <w:rsid w:val="008B6D4A"/>
    <w:rsid w:val="008C5DBB"/>
    <w:rsid w:val="008D3705"/>
    <w:rsid w:val="008D6A06"/>
    <w:rsid w:val="008E2A04"/>
    <w:rsid w:val="008E6D73"/>
    <w:rsid w:val="008E72CD"/>
    <w:rsid w:val="008F5B49"/>
    <w:rsid w:val="00920CD2"/>
    <w:rsid w:val="00922C28"/>
    <w:rsid w:val="0092691D"/>
    <w:rsid w:val="00937792"/>
    <w:rsid w:val="00940152"/>
    <w:rsid w:val="00946E78"/>
    <w:rsid w:val="00960FD6"/>
    <w:rsid w:val="009654E9"/>
    <w:rsid w:val="00972FA9"/>
    <w:rsid w:val="00976F88"/>
    <w:rsid w:val="00993B27"/>
    <w:rsid w:val="009A38B7"/>
    <w:rsid w:val="009B4CCA"/>
    <w:rsid w:val="009C2AFC"/>
    <w:rsid w:val="009D442C"/>
    <w:rsid w:val="009E05FC"/>
    <w:rsid w:val="009F6655"/>
    <w:rsid w:val="009F6D0F"/>
    <w:rsid w:val="00A11081"/>
    <w:rsid w:val="00A2049B"/>
    <w:rsid w:val="00A21756"/>
    <w:rsid w:val="00A25052"/>
    <w:rsid w:val="00A42604"/>
    <w:rsid w:val="00A4547B"/>
    <w:rsid w:val="00A529B6"/>
    <w:rsid w:val="00A76133"/>
    <w:rsid w:val="00A87A43"/>
    <w:rsid w:val="00AA05EC"/>
    <w:rsid w:val="00AA4727"/>
    <w:rsid w:val="00AA7C6D"/>
    <w:rsid w:val="00AB1803"/>
    <w:rsid w:val="00AB484E"/>
    <w:rsid w:val="00AD7024"/>
    <w:rsid w:val="00AE7971"/>
    <w:rsid w:val="00B028F9"/>
    <w:rsid w:val="00B1663A"/>
    <w:rsid w:val="00B30DC0"/>
    <w:rsid w:val="00B35023"/>
    <w:rsid w:val="00B3754C"/>
    <w:rsid w:val="00B531AE"/>
    <w:rsid w:val="00B65C18"/>
    <w:rsid w:val="00B77725"/>
    <w:rsid w:val="00B860C4"/>
    <w:rsid w:val="00B9505D"/>
    <w:rsid w:val="00B9553B"/>
    <w:rsid w:val="00BD235C"/>
    <w:rsid w:val="00BE5AC1"/>
    <w:rsid w:val="00BF2802"/>
    <w:rsid w:val="00C07090"/>
    <w:rsid w:val="00C14393"/>
    <w:rsid w:val="00C15569"/>
    <w:rsid w:val="00C2069B"/>
    <w:rsid w:val="00C228AE"/>
    <w:rsid w:val="00C6442E"/>
    <w:rsid w:val="00C84303"/>
    <w:rsid w:val="00CC2E58"/>
    <w:rsid w:val="00CC564D"/>
    <w:rsid w:val="00CD29D5"/>
    <w:rsid w:val="00CF015D"/>
    <w:rsid w:val="00D074A4"/>
    <w:rsid w:val="00D16B64"/>
    <w:rsid w:val="00D24234"/>
    <w:rsid w:val="00D261F3"/>
    <w:rsid w:val="00D2670B"/>
    <w:rsid w:val="00D33ADA"/>
    <w:rsid w:val="00D40A8C"/>
    <w:rsid w:val="00D43DAE"/>
    <w:rsid w:val="00D46B40"/>
    <w:rsid w:val="00D47585"/>
    <w:rsid w:val="00D528F4"/>
    <w:rsid w:val="00D570E1"/>
    <w:rsid w:val="00D6302A"/>
    <w:rsid w:val="00D65AD0"/>
    <w:rsid w:val="00D67EF9"/>
    <w:rsid w:val="00D704EE"/>
    <w:rsid w:val="00D77E34"/>
    <w:rsid w:val="00D81B93"/>
    <w:rsid w:val="00DB4732"/>
    <w:rsid w:val="00E20626"/>
    <w:rsid w:val="00E222D2"/>
    <w:rsid w:val="00E25104"/>
    <w:rsid w:val="00E30CEA"/>
    <w:rsid w:val="00E40F72"/>
    <w:rsid w:val="00E5455C"/>
    <w:rsid w:val="00E55925"/>
    <w:rsid w:val="00E567A0"/>
    <w:rsid w:val="00E57D79"/>
    <w:rsid w:val="00E57FBD"/>
    <w:rsid w:val="00E631AE"/>
    <w:rsid w:val="00E6580E"/>
    <w:rsid w:val="00E67081"/>
    <w:rsid w:val="00E67BBF"/>
    <w:rsid w:val="00E84102"/>
    <w:rsid w:val="00E918F1"/>
    <w:rsid w:val="00E947C2"/>
    <w:rsid w:val="00EA4D7D"/>
    <w:rsid w:val="00EA6D2B"/>
    <w:rsid w:val="00EB0632"/>
    <w:rsid w:val="00EC268D"/>
    <w:rsid w:val="00ED66D9"/>
    <w:rsid w:val="00EE5F9B"/>
    <w:rsid w:val="00EF33FF"/>
    <w:rsid w:val="00EF4E1A"/>
    <w:rsid w:val="00EF72E4"/>
    <w:rsid w:val="00F01DC9"/>
    <w:rsid w:val="00F2022F"/>
    <w:rsid w:val="00F2176A"/>
    <w:rsid w:val="00F30158"/>
    <w:rsid w:val="00F34B20"/>
    <w:rsid w:val="00F35FB1"/>
    <w:rsid w:val="00F50BB2"/>
    <w:rsid w:val="00F51081"/>
    <w:rsid w:val="00F620C9"/>
    <w:rsid w:val="00F640E9"/>
    <w:rsid w:val="00F77E5D"/>
    <w:rsid w:val="00F8798F"/>
    <w:rsid w:val="00F90B2A"/>
    <w:rsid w:val="00FA336A"/>
    <w:rsid w:val="00FB5798"/>
    <w:rsid w:val="00FB5E8A"/>
    <w:rsid w:val="00FB726A"/>
    <w:rsid w:val="00FC1613"/>
    <w:rsid w:val="00FC6135"/>
    <w:rsid w:val="00FD61AD"/>
    <w:rsid w:val="00FE74AD"/>
    <w:rsid w:val="01336EDD"/>
    <w:rsid w:val="016D0450"/>
    <w:rsid w:val="01CD03EA"/>
    <w:rsid w:val="02656FD7"/>
    <w:rsid w:val="04225BE4"/>
    <w:rsid w:val="058C59EF"/>
    <w:rsid w:val="05B662E0"/>
    <w:rsid w:val="095A22C7"/>
    <w:rsid w:val="0A410ACD"/>
    <w:rsid w:val="0BD00B70"/>
    <w:rsid w:val="0C20152D"/>
    <w:rsid w:val="0C3F44B8"/>
    <w:rsid w:val="0CD138EC"/>
    <w:rsid w:val="0D7B49EC"/>
    <w:rsid w:val="0DF62EF7"/>
    <w:rsid w:val="0E1B3A29"/>
    <w:rsid w:val="0E280931"/>
    <w:rsid w:val="113D5ED4"/>
    <w:rsid w:val="11E80E0F"/>
    <w:rsid w:val="12EC1B2D"/>
    <w:rsid w:val="130805FC"/>
    <w:rsid w:val="1536736A"/>
    <w:rsid w:val="16D156E4"/>
    <w:rsid w:val="1A373838"/>
    <w:rsid w:val="1A9B7C3E"/>
    <w:rsid w:val="1CEE13DC"/>
    <w:rsid w:val="21B17297"/>
    <w:rsid w:val="22C41384"/>
    <w:rsid w:val="22F13838"/>
    <w:rsid w:val="23680E49"/>
    <w:rsid w:val="24103242"/>
    <w:rsid w:val="24122645"/>
    <w:rsid w:val="24743ABB"/>
    <w:rsid w:val="25E11F80"/>
    <w:rsid w:val="2632248D"/>
    <w:rsid w:val="27826C87"/>
    <w:rsid w:val="27C35EF8"/>
    <w:rsid w:val="291F2F2C"/>
    <w:rsid w:val="29B4573A"/>
    <w:rsid w:val="2A3F6BA0"/>
    <w:rsid w:val="2BA55A7F"/>
    <w:rsid w:val="2C4C695A"/>
    <w:rsid w:val="2E3C68B4"/>
    <w:rsid w:val="2E5B754D"/>
    <w:rsid w:val="2EC40B20"/>
    <w:rsid w:val="304C16DE"/>
    <w:rsid w:val="328019B8"/>
    <w:rsid w:val="32E01746"/>
    <w:rsid w:val="32EF2158"/>
    <w:rsid w:val="33EF48C9"/>
    <w:rsid w:val="349F0F80"/>
    <w:rsid w:val="361A5C40"/>
    <w:rsid w:val="3834180F"/>
    <w:rsid w:val="38ED6AB0"/>
    <w:rsid w:val="3BB8742F"/>
    <w:rsid w:val="3CF55331"/>
    <w:rsid w:val="3D8758BD"/>
    <w:rsid w:val="3DD43017"/>
    <w:rsid w:val="3E2913AA"/>
    <w:rsid w:val="3E356CD4"/>
    <w:rsid w:val="3FD11DE0"/>
    <w:rsid w:val="3FFB41B1"/>
    <w:rsid w:val="41696FF6"/>
    <w:rsid w:val="42455366"/>
    <w:rsid w:val="4420507C"/>
    <w:rsid w:val="45826E7C"/>
    <w:rsid w:val="45860E2F"/>
    <w:rsid w:val="46F9453B"/>
    <w:rsid w:val="49B452C1"/>
    <w:rsid w:val="4B5749BE"/>
    <w:rsid w:val="4BA814C0"/>
    <w:rsid w:val="4C013453"/>
    <w:rsid w:val="4E8802E6"/>
    <w:rsid w:val="4EFA4568"/>
    <w:rsid w:val="4FBA5D9B"/>
    <w:rsid w:val="4FEC5A20"/>
    <w:rsid w:val="50EC49C4"/>
    <w:rsid w:val="50FB0F05"/>
    <w:rsid w:val="52FB658C"/>
    <w:rsid w:val="53E42175"/>
    <w:rsid w:val="55665992"/>
    <w:rsid w:val="559A15BF"/>
    <w:rsid w:val="572B7A49"/>
    <w:rsid w:val="598F7C0D"/>
    <w:rsid w:val="59D86B9E"/>
    <w:rsid w:val="5B3005D4"/>
    <w:rsid w:val="5B6B195C"/>
    <w:rsid w:val="5B9211B8"/>
    <w:rsid w:val="5BE65845"/>
    <w:rsid w:val="5D527E76"/>
    <w:rsid w:val="5DDE4A87"/>
    <w:rsid w:val="5ECE73A7"/>
    <w:rsid w:val="6070094B"/>
    <w:rsid w:val="618F3863"/>
    <w:rsid w:val="62383CD9"/>
    <w:rsid w:val="62F85CED"/>
    <w:rsid w:val="632F32A1"/>
    <w:rsid w:val="63EB7B9B"/>
    <w:rsid w:val="65FD3FC0"/>
    <w:rsid w:val="66935CEE"/>
    <w:rsid w:val="67CD753E"/>
    <w:rsid w:val="6801520D"/>
    <w:rsid w:val="685551F8"/>
    <w:rsid w:val="69243953"/>
    <w:rsid w:val="69A346D8"/>
    <w:rsid w:val="6BA26C10"/>
    <w:rsid w:val="6D535020"/>
    <w:rsid w:val="6E037F6D"/>
    <w:rsid w:val="70DE0D7A"/>
    <w:rsid w:val="71764391"/>
    <w:rsid w:val="723D2477"/>
    <w:rsid w:val="73480F82"/>
    <w:rsid w:val="73565748"/>
    <w:rsid w:val="73D95A29"/>
    <w:rsid w:val="7A4B5985"/>
    <w:rsid w:val="7BB305ED"/>
    <w:rsid w:val="7F9F07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locked/>
    <w:uiPriority w:val="99"/>
    <w:pPr>
      <w:jc w:val="left"/>
    </w:pPr>
  </w:style>
  <w:style w:type="paragraph" w:styleId="3">
    <w:name w:val="Balloon Text"/>
    <w:basedOn w:val="1"/>
    <w:link w:val="16"/>
    <w:semiHidden/>
    <w:unhideWhenUsed/>
    <w:qFormat/>
    <w:locked/>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paragraph" w:styleId="7">
    <w:name w:val="annotation subject"/>
    <w:basedOn w:val="2"/>
    <w:next w:val="2"/>
    <w:link w:val="15"/>
    <w:semiHidden/>
    <w:unhideWhenUsed/>
    <w:qFormat/>
    <w:locked/>
    <w:uiPriority w:val="99"/>
    <w:rPr>
      <w:b/>
      <w:bCs/>
    </w:rPr>
  </w:style>
  <w:style w:type="character" w:styleId="10">
    <w:name w:val="annotation reference"/>
    <w:basedOn w:val="9"/>
    <w:semiHidden/>
    <w:unhideWhenUsed/>
    <w:qFormat/>
    <w:locked/>
    <w:uiPriority w:val="99"/>
    <w:rPr>
      <w:sz w:val="21"/>
      <w:szCs w:val="21"/>
    </w:rPr>
  </w:style>
  <w:style w:type="character" w:customStyle="1" w:styleId="11">
    <w:name w:val="页眉 Char"/>
    <w:basedOn w:val="9"/>
    <w:link w:val="5"/>
    <w:qFormat/>
    <w:locked/>
    <w:uiPriority w:val="99"/>
    <w:rPr>
      <w:rFonts w:ascii="Calibri" w:hAnsi="Calibri" w:eastAsia="宋体" w:cs="Times New Roman"/>
      <w:kern w:val="2"/>
      <w:sz w:val="18"/>
      <w:szCs w:val="18"/>
    </w:rPr>
  </w:style>
  <w:style w:type="character" w:customStyle="1" w:styleId="12">
    <w:name w:val="页脚 Char"/>
    <w:basedOn w:val="9"/>
    <w:link w:val="4"/>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 w:type="character" w:customStyle="1" w:styleId="14">
    <w:name w:val="批注文字 Char"/>
    <w:basedOn w:val="9"/>
    <w:link w:val="2"/>
    <w:qFormat/>
    <w:uiPriority w:val="99"/>
    <w:rPr>
      <w:rFonts w:ascii="Calibri" w:hAnsi="Calibri"/>
      <w:kern w:val="2"/>
      <w:sz w:val="21"/>
      <w:szCs w:val="24"/>
    </w:rPr>
  </w:style>
  <w:style w:type="character" w:customStyle="1" w:styleId="15">
    <w:name w:val="批注主题 Char"/>
    <w:basedOn w:val="14"/>
    <w:link w:val="7"/>
    <w:semiHidden/>
    <w:qFormat/>
    <w:uiPriority w:val="99"/>
    <w:rPr>
      <w:rFonts w:ascii="Calibri" w:hAnsi="Calibri"/>
      <w:b/>
      <w:bCs/>
      <w:kern w:val="2"/>
      <w:sz w:val="21"/>
      <w:szCs w:val="24"/>
    </w:rPr>
  </w:style>
  <w:style w:type="character" w:customStyle="1" w:styleId="16">
    <w:name w:val="批注框文本 Char"/>
    <w:basedOn w:val="9"/>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6A46-BC77-4628-8E75-397B00DB4468}">
  <ds:schemaRefs/>
</ds:datastoreItem>
</file>

<file path=docProps/app.xml><?xml version="1.0" encoding="utf-8"?>
<Properties xmlns="http://schemas.openxmlformats.org/officeDocument/2006/extended-properties" xmlns:vt="http://schemas.openxmlformats.org/officeDocument/2006/docPropsVTypes">
  <Template>0</Template>
  <Company>HP</Company>
  <Pages>4</Pages>
  <Words>235</Words>
  <Characters>1343</Characters>
  <Lines>11</Lines>
  <Paragraphs>3</Paragraphs>
  <TotalTime>4</TotalTime>
  <ScaleCrop>false</ScaleCrop>
  <LinksUpToDate>false</LinksUpToDate>
  <CharactersWithSpaces>1575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2019-04-01T06:17:00Z</dcterms:created>
  <dc:creator>hp</dc:creator>
  <cp:lastModifiedBy>lenovo</cp:lastModifiedBy>
  <cp:lastPrinted>2019-04-01T06:33:00Z</cp:lastPrinted>
  <dcterms:modified xsi:type="dcterms:W3CDTF">2019-04-15T07:04:42Z</dcterms:modified>
  <dc:title>京建法〔2018〕* 号附件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